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62" w:rsidRPr="007D719D" w:rsidRDefault="00756F62" w:rsidP="007D719D">
      <w:pPr>
        <w:pStyle w:val="Nzev"/>
        <w:jc w:val="lef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D719D">
        <w:rPr>
          <w:rFonts w:asciiTheme="minorHAnsi" w:hAnsiTheme="minorHAnsi"/>
          <w:sz w:val="22"/>
          <w:szCs w:val="22"/>
        </w:rPr>
        <w:t>Důvodová zpráva</w:t>
      </w:r>
    </w:p>
    <w:p w:rsidR="00756F62" w:rsidRPr="007D719D" w:rsidRDefault="00756F6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56F62" w:rsidRPr="007D719D" w:rsidRDefault="00756F62" w:rsidP="007D719D">
      <w:pPr>
        <w:rPr>
          <w:rFonts w:asciiTheme="minorHAnsi" w:hAnsiTheme="minorHAnsi"/>
          <w:b/>
          <w:bCs/>
          <w:sz w:val="22"/>
          <w:szCs w:val="22"/>
        </w:rPr>
      </w:pPr>
      <w:r w:rsidRPr="007D719D">
        <w:rPr>
          <w:rFonts w:asciiTheme="minorHAnsi" w:hAnsiTheme="minorHAnsi"/>
          <w:b/>
          <w:bCs/>
          <w:sz w:val="22"/>
          <w:szCs w:val="22"/>
        </w:rPr>
        <w:t>Návrh rozpočtu statutárního města Chomutova</w:t>
      </w:r>
      <w:r w:rsidR="004D03F3" w:rsidRPr="007D719D">
        <w:rPr>
          <w:rFonts w:asciiTheme="minorHAnsi" w:hAnsiTheme="minorHAnsi"/>
          <w:b/>
          <w:bCs/>
          <w:sz w:val="22"/>
          <w:szCs w:val="22"/>
        </w:rPr>
        <w:t xml:space="preserve"> pro rok 201</w:t>
      </w:r>
      <w:r w:rsidR="008B3678" w:rsidRPr="007D719D">
        <w:rPr>
          <w:rFonts w:asciiTheme="minorHAnsi" w:hAnsiTheme="minorHAnsi"/>
          <w:b/>
          <w:bCs/>
          <w:sz w:val="22"/>
          <w:szCs w:val="22"/>
        </w:rPr>
        <w:t>6</w:t>
      </w:r>
    </w:p>
    <w:p w:rsidR="00756F62" w:rsidRPr="007D719D" w:rsidRDefault="00756F6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Odbor ekonomiky překládá k projednání návrh rozpočtu statutárního města Chomutova pro rok 2016.</w:t>
      </w: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Rozpočet je sestaven s vyrovnaným objemem příjmů a výdajů ve výši 1.067.551.000,- Kč. Vyrovnání rozpočtu je technicky zabezpečené prostřednictvím nástroje financování jak příjmové, tak výdajové stránky rozpočtu města.</w:t>
      </w: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Financování výdajů představuje pouze plánovaná splátka úvěru, která odpovídá uzavřenému splátkovému kalendáři ve výši 98,2 mil. Kč. Financování příjmů tvoří zapojení volných finančních prostředků města z let minulých ve výši 279,2 mil. Kč.</w:t>
      </w: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Rozpočet běžného roku 2016 bez financování je výrazně deficitní -181 mil. Kč.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754"/>
        <w:gridCol w:w="3754"/>
      </w:tblGrid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b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b/>
                <w:sz w:val="22"/>
                <w:szCs w:val="22"/>
              </w:rPr>
              <w:t>PŘÍJMY</w:t>
            </w:r>
          </w:p>
        </w:tc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daňové příjmy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620.572.000,-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nedaňové příjmy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120.246.000,-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kapitálové příjmy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6.000.000,-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přijaté transfery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41.495.000,-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Příjmy celkem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1.067.551.000,-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Financování příjmů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279.238.000,-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b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b/>
                <w:sz w:val="22"/>
                <w:szCs w:val="22"/>
              </w:rPr>
              <w:t>VÝDAJE</w:t>
            </w: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běžné výdaje </w:t>
            </w:r>
          </w:p>
        </w:tc>
        <w:tc>
          <w:tcPr>
            <w:tcW w:w="3754" w:type="dxa"/>
          </w:tcPr>
          <w:p w:rsidR="008B3678" w:rsidRPr="007D719D" w:rsidRDefault="00390CAB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782.313.000,-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8B3678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kapitálové výdaje </w:t>
            </w:r>
          </w:p>
        </w:tc>
        <w:tc>
          <w:tcPr>
            <w:tcW w:w="3754" w:type="dxa"/>
          </w:tcPr>
          <w:p w:rsidR="008B3678" w:rsidRPr="007D719D" w:rsidRDefault="008B3678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187.056.000,-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A3566C" w:rsidP="00A3566C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 xml:space="preserve">Výdaje celkem </w:t>
            </w:r>
          </w:p>
        </w:tc>
        <w:tc>
          <w:tcPr>
            <w:tcW w:w="3754" w:type="dxa"/>
          </w:tcPr>
          <w:p w:rsidR="008B3678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1.067.551.000,- Kč</w:t>
            </w:r>
          </w:p>
        </w:tc>
      </w:tr>
      <w:tr w:rsidR="008B3678" w:rsidRPr="007D719D" w:rsidTr="00A3566C">
        <w:trPr>
          <w:jc w:val="center"/>
        </w:trPr>
        <w:tc>
          <w:tcPr>
            <w:tcW w:w="3754" w:type="dxa"/>
          </w:tcPr>
          <w:p w:rsidR="008B3678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Financování výdajů</w:t>
            </w:r>
          </w:p>
        </w:tc>
        <w:tc>
          <w:tcPr>
            <w:tcW w:w="3754" w:type="dxa"/>
          </w:tcPr>
          <w:p w:rsidR="008B3678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98.182.000,- Kč</w:t>
            </w: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b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b/>
                <w:sz w:val="22"/>
                <w:szCs w:val="22"/>
              </w:rPr>
              <w:t>SALDO</w:t>
            </w: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Provozní saldo</w:t>
            </w: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0,- Kč</w:t>
            </w: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Celkové saldo bez financování</w:t>
            </w: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-181.056.000,- Kč</w:t>
            </w:r>
          </w:p>
        </w:tc>
      </w:tr>
      <w:tr w:rsidR="00A3566C" w:rsidRPr="007D719D" w:rsidTr="00A3566C">
        <w:trPr>
          <w:jc w:val="center"/>
        </w:trPr>
        <w:tc>
          <w:tcPr>
            <w:tcW w:w="3754" w:type="dxa"/>
          </w:tcPr>
          <w:p w:rsidR="00A3566C" w:rsidRPr="007D719D" w:rsidRDefault="00A3566C" w:rsidP="008B3678">
            <w:pPr>
              <w:autoSpaceDE w:val="0"/>
              <w:autoSpaceDN w:val="0"/>
              <w:adjustRightInd w:val="0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Celkové saldo vč. Financování</w:t>
            </w:r>
          </w:p>
        </w:tc>
        <w:tc>
          <w:tcPr>
            <w:tcW w:w="3754" w:type="dxa"/>
          </w:tcPr>
          <w:p w:rsidR="00A3566C" w:rsidRPr="007D719D" w:rsidRDefault="00A3566C" w:rsidP="00A3566C">
            <w:pPr>
              <w:autoSpaceDE w:val="0"/>
              <w:autoSpaceDN w:val="0"/>
              <w:adjustRightInd w:val="0"/>
              <w:ind w:right="1162"/>
              <w:jc w:val="right"/>
              <w:rPr>
                <w:rFonts w:asciiTheme="minorHAnsi" w:hAnsiTheme="minorHAnsi" w:cs="MS Shell Dlg"/>
                <w:sz w:val="22"/>
                <w:szCs w:val="22"/>
              </w:rPr>
            </w:pPr>
            <w:r w:rsidRPr="007D719D">
              <w:rPr>
                <w:rFonts w:asciiTheme="minorHAnsi" w:hAnsiTheme="minorHAnsi" w:cs="MS Shell Dlg"/>
                <w:sz w:val="22"/>
                <w:szCs w:val="22"/>
              </w:rPr>
              <w:t>0,- Kč</w:t>
            </w:r>
          </w:p>
        </w:tc>
      </w:tr>
    </w:tbl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A3566C" w:rsidRPr="007D719D" w:rsidRDefault="00A3566C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Při sestavování rozpočtu pro rok 2016 došlo k výraznému překročení možností města a to jednak požadavků na provozní výdaje, tak i požadavků na běžné opravy a údržbu. Navržený rozpočet odráží kompromis mezi možnostmi a požadavky odvětvových odborů města a na rozpočet města napojených organizací města.</w:t>
      </w:r>
    </w:p>
    <w:p w:rsidR="00A3566C" w:rsidRPr="007D719D" w:rsidRDefault="00A3566C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A3566C" w:rsidRPr="007D719D" w:rsidRDefault="00A3566C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Vedení města bylo přítomno projednávání všech organizačních jednotek již v prvním stupni projednávání. Současně rada města jako samostatný materiál předjednala nadhodnocené požadavky na opravy a údržbu majetku města svěřeného organizacím města. Neformální jednání rady města proběhlo rovněž ke stanovení priorit investičních výdajů města pro rok 2016 (jak projektové výdaje, tak vlastní investiční výdaje a tzv. fondové investice do obecné infrastruktury a parkování).</w:t>
      </w:r>
    </w:p>
    <w:p w:rsidR="00A3566C" w:rsidRPr="007D719D" w:rsidRDefault="00A3566C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A3566C" w:rsidRDefault="00A3566C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V roce 2016 došlo k výraznému meziroč</w:t>
      </w:r>
      <w:r w:rsidR="00390CAB" w:rsidRPr="007D719D">
        <w:rPr>
          <w:rFonts w:asciiTheme="minorHAnsi" w:hAnsiTheme="minorHAnsi" w:cs="MS Shell Dlg"/>
          <w:sz w:val="22"/>
          <w:szCs w:val="22"/>
        </w:rPr>
        <w:t xml:space="preserve">nímu navýšení provozních výdajů o 60,6 mil. Kč (výčet nejvýznamnějších je uveden níže). Následkem tohoto došlo ke snížení rezervy města o 30 mil. Kč, oproti </w:t>
      </w:r>
      <w:r w:rsidR="00390CAB" w:rsidRPr="007D719D">
        <w:rPr>
          <w:rFonts w:asciiTheme="minorHAnsi" w:hAnsiTheme="minorHAnsi" w:cs="MS Shell Dlg"/>
          <w:sz w:val="22"/>
          <w:szCs w:val="22"/>
        </w:rPr>
        <w:lastRenderedPageBreak/>
        <w:t>letům minulým. Nespecifikovaná rezerva pro rok 2016 je navržena ve výši 5 mil. Kč a bude sloužit pouze pro řešení nenadálých výdajů (v průběhu roku se do rezervy přesunou prostředky z rozpočtových opatření, hospodářský výsledek r. 2015).</w:t>
      </w:r>
    </w:p>
    <w:p w:rsidR="007D719D" w:rsidRPr="007D719D" w:rsidRDefault="007D719D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390CAB" w:rsidRPr="007D719D" w:rsidRDefault="00390CAB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 xml:space="preserve">Provozní saldo rozpočtu je na technické nule. V průběhu roku by mělo nabývat kladných hodnot zejména díky nahodilým příjmům a nedočerpání některých výdajů. Město se však musí zaměřit i na příjmovou stránku a hlídat si její plnění (nájmy, sankční platby apod.). </w:t>
      </w:r>
    </w:p>
    <w:p w:rsidR="00390CAB" w:rsidRPr="007D719D" w:rsidRDefault="00390CAB" w:rsidP="008B3678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A3566C" w:rsidP="00390CAB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 xml:space="preserve"> 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Rekapitulace meziročního nárůstu provozních výdajů (nejzákladnější položky)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 xml:space="preserve">zvýšení prostředků pro granty 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4,6 mil. Kč</w:t>
      </w:r>
      <w:r w:rsidR="007D719D">
        <w:rPr>
          <w:rFonts w:cs="MS Shell Dlg"/>
        </w:rPr>
        <w:t xml:space="preserve"> (nové dotační tituly)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 xml:space="preserve">zvýšení objemu fondu oprav 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3,0 mil. Kč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opravy areál KJ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 xml:space="preserve">            10,0 mil. Kč</w:t>
      </w:r>
      <w:r w:rsidR="007D719D">
        <w:rPr>
          <w:rFonts w:cs="MS Shell Dlg"/>
        </w:rPr>
        <w:t xml:space="preserve"> (mimořádná injekce do areálu KJ)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plánovaná dotace re:kult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6,0 mil. Kč</w:t>
      </w:r>
      <w:r w:rsidR="007D719D">
        <w:rPr>
          <w:rFonts w:cs="MS Shell Dlg"/>
        </w:rPr>
        <w:t xml:space="preserve"> (nová organizace města – rozjezd)</w:t>
      </w:r>
      <w:r w:rsidR="007D719D">
        <w:rPr>
          <w:rFonts w:cs="MS Shell Dlg"/>
        </w:rPr>
        <w:tab/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zvýšení příspěvku PZOO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2,0 mil. Kč</w:t>
      </w:r>
      <w:r w:rsidR="007D719D">
        <w:rPr>
          <w:rFonts w:cs="MS Shell Dlg"/>
        </w:rPr>
        <w:t xml:space="preserve"> (zvýšení počtu pracovníků)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zvýšení příspěvku TSmCh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3,1 mil. Kč</w:t>
      </w:r>
      <w:r w:rsidR="007D719D">
        <w:rPr>
          <w:rFonts w:cs="MS Shell Dlg"/>
        </w:rPr>
        <w:t xml:space="preserve"> (valorizace mezd, odpady)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zvýšení dotace školám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2,4 mil. Kč</w:t>
      </w:r>
      <w:r w:rsidR="007D719D">
        <w:rPr>
          <w:rFonts w:cs="MS Shell Dlg"/>
        </w:rPr>
        <w:t xml:space="preserve"> (zohlednění potřeb)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zvýšení dotace obyvatelstvu odpady</w:t>
      </w:r>
      <w:r w:rsidRPr="007D719D">
        <w:rPr>
          <w:rFonts w:cs="MS Shell Dlg"/>
        </w:rPr>
        <w:tab/>
        <w:t>1,3 mil. Kč</w:t>
      </w:r>
      <w:r w:rsidR="007D719D">
        <w:rPr>
          <w:rFonts w:cs="MS Shell Dlg"/>
        </w:rPr>
        <w:t xml:space="preserve"> (zachování dotované sazby z roku 2015)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zvýšení dotace DPCHJ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2,5 mil. Kč</w:t>
      </w:r>
      <w:r w:rsidR="007D719D">
        <w:rPr>
          <w:rFonts w:cs="MS Shell Dlg"/>
        </w:rPr>
        <w:t xml:space="preserve"> (zvýšení očekávané ztráty z provozu MHD)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 xml:space="preserve">příspěvky občanům na </w:t>
      </w:r>
      <w:r w:rsidR="007D719D">
        <w:rPr>
          <w:rFonts w:cs="MS Shell Dlg"/>
        </w:rPr>
        <w:t>MHD</w:t>
      </w:r>
      <w:r w:rsidR="007D719D">
        <w:rPr>
          <w:rFonts w:cs="MS Shell Dlg"/>
        </w:rPr>
        <w:tab/>
      </w:r>
      <w:r w:rsidRPr="007D719D">
        <w:rPr>
          <w:rFonts w:cs="MS Shell Dlg"/>
        </w:rPr>
        <w:tab/>
        <w:t>6,1 mil. Kč</w:t>
      </w:r>
      <w:r w:rsidR="007D719D">
        <w:rPr>
          <w:rFonts w:cs="MS Shell Dlg"/>
        </w:rPr>
        <w:t xml:space="preserve"> (bezplatná doprava senioři 70+, dárci krve)</w:t>
      </w:r>
    </w:p>
    <w:p w:rsidR="008B3678" w:rsidRPr="007D719D" w:rsidRDefault="008B3678" w:rsidP="007D719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  <w:sz w:val="20"/>
        </w:rPr>
      </w:pPr>
      <w:r w:rsidRPr="007D719D">
        <w:rPr>
          <w:rFonts w:cs="MS Shell Dlg"/>
        </w:rPr>
        <w:t>platy zaměstnanců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 xml:space="preserve">8,0 mil. Kč </w:t>
      </w:r>
      <w:r w:rsidR="007D719D" w:rsidRPr="007D719D">
        <w:rPr>
          <w:rFonts w:cs="MS Shell Dlg"/>
        </w:rPr>
        <w:t>(tarifní valorizace, předfinancování projektů</w:t>
      </w:r>
      <w:r w:rsidR="007D719D">
        <w:rPr>
          <w:rFonts w:cs="MS Shell Dlg"/>
        </w:rPr>
        <w:t xml:space="preserve"> </w:t>
      </w:r>
      <w:r w:rsidRPr="007D719D">
        <w:rPr>
          <w:rFonts w:cs="MS Shell Dlg"/>
          <w:sz w:val="20"/>
        </w:rPr>
        <w:t>(</w:t>
      </w:r>
      <w:r w:rsidR="007D719D">
        <w:rPr>
          <w:rFonts w:cs="MS Shell Dlg"/>
          <w:sz w:val="20"/>
        </w:rPr>
        <w:t xml:space="preserve">část se následně vrátí např. </w:t>
      </w:r>
      <w:r w:rsidRPr="007D719D">
        <w:rPr>
          <w:rFonts w:cs="MS Shell Dlg"/>
          <w:sz w:val="20"/>
        </w:rPr>
        <w:t>OSPOD, projekty)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související odvody soc. a zdrav. pojištění</w:t>
      </w:r>
    </w:p>
    <w:p w:rsidR="008B3678" w:rsidRPr="007D719D" w:rsidRDefault="008B3678" w:rsidP="008B36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MS Shell Dlg"/>
        </w:rPr>
      </w:pPr>
      <w:r w:rsidRPr="007D719D">
        <w:rPr>
          <w:rFonts w:cs="MS Shell Dlg"/>
        </w:rPr>
        <w:t>nákup dlouhodobého majetku</w:t>
      </w:r>
      <w:r w:rsidRPr="007D719D">
        <w:rPr>
          <w:rFonts w:cs="MS Shell Dlg"/>
        </w:rPr>
        <w:tab/>
      </w:r>
      <w:r w:rsidRPr="007D719D">
        <w:rPr>
          <w:rFonts w:cs="MS Shell Dlg"/>
        </w:rPr>
        <w:tab/>
        <w:t>1,5 mil. Kč (mobiliář, projekty)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Meziroční zvýšení investic ORIaMM</w:t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  <w:t>47,8 mil. Kč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Snížení rezervy města</w:t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  <w:t xml:space="preserve">             -30,0 mil. Kč</w:t>
      </w:r>
    </w:p>
    <w:p w:rsidR="008B3678" w:rsidRPr="007D719D" w:rsidRDefault="008B3678" w:rsidP="007D719D">
      <w:pPr>
        <w:autoSpaceDE w:val="0"/>
        <w:autoSpaceDN w:val="0"/>
        <w:adjustRightInd w:val="0"/>
        <w:ind w:left="4245" w:hanging="4245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Zrušení rezervy FROÚMK</w:t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  <w:t>-4,8 mil. Kč</w:t>
      </w:r>
      <w:r w:rsidR="007D719D">
        <w:rPr>
          <w:rFonts w:asciiTheme="minorHAnsi" w:hAnsiTheme="minorHAnsi" w:cs="MS Shell Dlg"/>
          <w:sz w:val="22"/>
          <w:szCs w:val="22"/>
        </w:rPr>
        <w:t xml:space="preserve"> (celý výnos daně vyčerpán na nové investiční akce a dokrytí poplatku za odpady)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  <w:r w:rsidRPr="007D719D">
        <w:rPr>
          <w:rFonts w:asciiTheme="minorHAnsi" w:hAnsiTheme="minorHAnsi" w:cs="MS Shell Dlg"/>
          <w:sz w:val="22"/>
          <w:szCs w:val="22"/>
        </w:rPr>
        <w:t>Snížení odvodů z loterií</w:t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</w:r>
      <w:r w:rsidRPr="007D719D">
        <w:rPr>
          <w:rFonts w:asciiTheme="minorHAnsi" w:hAnsiTheme="minorHAnsi" w:cs="MS Shell Dlg"/>
          <w:sz w:val="22"/>
          <w:szCs w:val="22"/>
        </w:rPr>
        <w:tab/>
        <w:t>-3,0 mil. Kč (celkový pokles z loterií přes 30 mil. Kč)</w:t>
      </w: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autoSpaceDE w:val="0"/>
        <w:autoSpaceDN w:val="0"/>
        <w:adjustRightInd w:val="0"/>
        <w:rPr>
          <w:rFonts w:asciiTheme="minorHAnsi" w:hAnsiTheme="minorHAnsi" w:cs="MS Shell Dlg"/>
          <w:sz w:val="22"/>
          <w:szCs w:val="22"/>
        </w:rPr>
      </w:pPr>
    </w:p>
    <w:p w:rsidR="008B3678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MS Shell Dlg"/>
          <w:sz w:val="22"/>
          <w:szCs w:val="22"/>
        </w:rPr>
        <w:t>Díky projednání všech rozpočtových položek byly mnohé výdaje poníženy pod úroveň předcházejícího roku, čímž se saldo provozního rozpočtu neprohloubilo. Přesto však dosáhlo záporné hodnoty kolem 7 milionů korun. Na technickou nulu bylo vyrovnáno navýšením daňových příjmů, které se dostaly na reálnou hodnotu predikce (bylo odstraněno jejich podhodnocení).</w:t>
      </w: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MS Shell Dlg"/>
          <w:sz w:val="22"/>
          <w:szCs w:val="22"/>
        </w:rPr>
        <w:t xml:space="preserve">Vzhledem ke změně systému financování registrovaných sociálních služeb, který od roku 2016 plánuje zavést Ústecký kraj, bude ještě dodatkem nebo samostatným materiálem změně smluvní vztah se Sociálními službami Chomutov. </w:t>
      </w: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MS Shell Dlg"/>
          <w:sz w:val="22"/>
          <w:szCs w:val="22"/>
        </w:rPr>
        <w:t xml:space="preserve">Současně bude upřesněno financování sociální služby poskytované v sociálním centu Kamínek. </w:t>
      </w: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974021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  <w:r>
        <w:rPr>
          <w:rFonts w:asciiTheme="minorHAnsi" w:hAnsiTheme="minorHAnsi" w:cs="MS Shell Dlg"/>
          <w:sz w:val="22"/>
          <w:szCs w:val="22"/>
        </w:rPr>
        <w:t>Jednotlivé rozpočty organizací napojených na rozpočet města a odvětvových odborů magistrátu</w:t>
      </w:r>
      <w:r w:rsidR="006D07B0">
        <w:rPr>
          <w:rFonts w:asciiTheme="minorHAnsi" w:hAnsiTheme="minorHAnsi" w:cs="MS Shell Dlg"/>
          <w:sz w:val="22"/>
          <w:szCs w:val="22"/>
        </w:rPr>
        <w:t xml:space="preserve"> a účelových fondů města</w:t>
      </w:r>
      <w:r>
        <w:rPr>
          <w:rFonts w:asciiTheme="minorHAnsi" w:hAnsiTheme="minorHAnsi" w:cs="MS Shell Dlg"/>
          <w:sz w:val="22"/>
          <w:szCs w:val="22"/>
        </w:rPr>
        <w:t xml:space="preserve"> jsou k dispozici v přílohách tohoto materiálu.</w:t>
      </w:r>
    </w:p>
    <w:p w:rsidR="00974021" w:rsidRPr="007D719D" w:rsidRDefault="00974021" w:rsidP="00974021">
      <w:pPr>
        <w:autoSpaceDE w:val="0"/>
        <w:autoSpaceDN w:val="0"/>
        <w:adjustRightInd w:val="0"/>
        <w:jc w:val="both"/>
        <w:rPr>
          <w:rFonts w:asciiTheme="minorHAnsi" w:hAnsiTheme="minorHAnsi" w:cs="MS Shell Dlg"/>
          <w:sz w:val="22"/>
          <w:szCs w:val="22"/>
        </w:rPr>
      </w:pPr>
    </w:p>
    <w:p w:rsidR="008B3678" w:rsidRPr="007D719D" w:rsidRDefault="008B3678" w:rsidP="008B3678">
      <w:pPr>
        <w:rPr>
          <w:rFonts w:asciiTheme="minorHAnsi" w:hAnsiTheme="minorHAnsi"/>
          <w:sz w:val="22"/>
          <w:szCs w:val="22"/>
        </w:rPr>
      </w:pPr>
    </w:p>
    <w:p w:rsidR="001A088F" w:rsidRPr="007D719D" w:rsidRDefault="001A08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1A088F" w:rsidRPr="007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7E5" w:rsidRDefault="00DA17E5" w:rsidP="0092718D">
      <w:r>
        <w:separator/>
      </w:r>
    </w:p>
  </w:endnote>
  <w:endnote w:type="continuationSeparator" w:id="0">
    <w:p w:rsidR="00DA17E5" w:rsidRDefault="00DA17E5" w:rsidP="009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7E5" w:rsidRDefault="00DA17E5" w:rsidP="0092718D">
      <w:r>
        <w:separator/>
      </w:r>
    </w:p>
  </w:footnote>
  <w:footnote w:type="continuationSeparator" w:id="0">
    <w:p w:rsidR="00DA17E5" w:rsidRDefault="00DA17E5" w:rsidP="0092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3557"/>
    <w:multiLevelType w:val="hybridMultilevel"/>
    <w:tmpl w:val="37CCE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E92759"/>
    <w:multiLevelType w:val="hybridMultilevel"/>
    <w:tmpl w:val="73AE6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0AF"/>
    <w:multiLevelType w:val="hybridMultilevel"/>
    <w:tmpl w:val="2E806D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6954D3"/>
    <w:multiLevelType w:val="hybridMultilevel"/>
    <w:tmpl w:val="F99EBA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91A3850"/>
    <w:multiLevelType w:val="hybridMultilevel"/>
    <w:tmpl w:val="D8C6D268"/>
    <w:lvl w:ilvl="0" w:tplc="1B1AF572">
      <w:start w:val="7"/>
      <w:numFmt w:val="bullet"/>
      <w:lvlText w:val="-"/>
      <w:lvlJc w:val="left"/>
      <w:pPr>
        <w:ind w:left="720" w:hanging="360"/>
      </w:pPr>
      <w:rPr>
        <w:rFonts w:ascii="MS Shell Dlg" w:eastAsiaTheme="minorHAnsi" w:hAnsi="MS Shell Dlg" w:cs="MS Shell Dlg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E1FBF"/>
    <w:multiLevelType w:val="hybridMultilevel"/>
    <w:tmpl w:val="35C8A6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62"/>
    <w:rsid w:val="000F34D6"/>
    <w:rsid w:val="00153962"/>
    <w:rsid w:val="001A088F"/>
    <w:rsid w:val="001B2330"/>
    <w:rsid w:val="00390CAB"/>
    <w:rsid w:val="00400267"/>
    <w:rsid w:val="004336D9"/>
    <w:rsid w:val="004D03F3"/>
    <w:rsid w:val="00565239"/>
    <w:rsid w:val="005760F3"/>
    <w:rsid w:val="00592F6B"/>
    <w:rsid w:val="005C14E9"/>
    <w:rsid w:val="006C74A6"/>
    <w:rsid w:val="006D07B0"/>
    <w:rsid w:val="00756F62"/>
    <w:rsid w:val="007A25CB"/>
    <w:rsid w:val="007A4F52"/>
    <w:rsid w:val="007D719D"/>
    <w:rsid w:val="008B3678"/>
    <w:rsid w:val="0092718D"/>
    <w:rsid w:val="00974021"/>
    <w:rsid w:val="00A3566C"/>
    <w:rsid w:val="00D41F96"/>
    <w:rsid w:val="00DA17E5"/>
    <w:rsid w:val="00DB7AEF"/>
    <w:rsid w:val="00DE143A"/>
    <w:rsid w:val="00E27236"/>
    <w:rsid w:val="00E337D0"/>
    <w:rsid w:val="00E3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C4FE65-D4E4-4B2B-A8FD-263D97B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39"/>
    <w:rsid w:val="001A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25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5C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71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718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71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718D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3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MHMP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INF</dc:creator>
  <cp:keywords/>
  <dc:description/>
  <cp:lastModifiedBy>Mareš Jan (Ekonom)</cp:lastModifiedBy>
  <cp:revision>2</cp:revision>
  <cp:lastPrinted>2015-03-04T09:10:00Z</cp:lastPrinted>
  <dcterms:created xsi:type="dcterms:W3CDTF">2015-10-30T12:43:00Z</dcterms:created>
  <dcterms:modified xsi:type="dcterms:W3CDTF">2015-10-30T12:43:00Z</dcterms:modified>
</cp:coreProperties>
</file>