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F62" w:rsidRPr="00E337D0" w:rsidRDefault="00756F62">
      <w:pPr>
        <w:pStyle w:val="Nzev"/>
        <w:rPr>
          <w:rFonts w:asciiTheme="minorHAnsi" w:hAnsiTheme="minorHAnsi"/>
          <w:szCs w:val="22"/>
        </w:rPr>
      </w:pPr>
      <w:r w:rsidRPr="00E337D0">
        <w:rPr>
          <w:rFonts w:asciiTheme="minorHAnsi" w:hAnsiTheme="minorHAnsi"/>
          <w:szCs w:val="22"/>
        </w:rPr>
        <w:t>Důvodová zpráva</w:t>
      </w:r>
    </w:p>
    <w:p w:rsidR="00756F62" w:rsidRPr="00E337D0" w:rsidRDefault="00756F62">
      <w:pPr>
        <w:jc w:val="center"/>
        <w:rPr>
          <w:rFonts w:asciiTheme="minorHAnsi" w:hAnsiTheme="minorHAnsi"/>
          <w:b/>
          <w:bCs/>
          <w:sz w:val="28"/>
          <w:szCs w:val="22"/>
        </w:rPr>
      </w:pPr>
    </w:p>
    <w:p w:rsidR="00756F62" w:rsidRPr="00E337D0" w:rsidRDefault="00756F62">
      <w:pPr>
        <w:jc w:val="center"/>
        <w:rPr>
          <w:rFonts w:asciiTheme="minorHAnsi" w:hAnsiTheme="minorHAnsi"/>
          <w:b/>
          <w:bCs/>
          <w:sz w:val="28"/>
          <w:szCs w:val="22"/>
        </w:rPr>
      </w:pPr>
      <w:r w:rsidRPr="00E337D0">
        <w:rPr>
          <w:rFonts w:asciiTheme="minorHAnsi" w:hAnsiTheme="minorHAnsi"/>
          <w:b/>
          <w:bCs/>
          <w:sz w:val="28"/>
          <w:szCs w:val="22"/>
        </w:rPr>
        <w:t>Návrh rozpočtu statutárního města Chomutova</w:t>
      </w:r>
      <w:r w:rsidR="004D03F3" w:rsidRPr="00E337D0">
        <w:rPr>
          <w:rFonts w:asciiTheme="minorHAnsi" w:hAnsiTheme="minorHAnsi"/>
          <w:b/>
          <w:bCs/>
          <w:sz w:val="28"/>
          <w:szCs w:val="22"/>
        </w:rPr>
        <w:t xml:space="preserve"> pro rok 201</w:t>
      </w:r>
      <w:r w:rsidRPr="00E337D0">
        <w:rPr>
          <w:rFonts w:asciiTheme="minorHAnsi" w:hAnsiTheme="minorHAnsi"/>
          <w:b/>
          <w:bCs/>
          <w:sz w:val="28"/>
          <w:szCs w:val="22"/>
        </w:rPr>
        <w:t>5</w:t>
      </w:r>
    </w:p>
    <w:p w:rsidR="00756F62" w:rsidRPr="00E337D0" w:rsidRDefault="00756F62">
      <w:pPr>
        <w:jc w:val="center"/>
        <w:rPr>
          <w:rFonts w:asciiTheme="minorHAnsi" w:hAnsiTheme="minorHAnsi"/>
          <w:b/>
          <w:bCs/>
          <w:sz w:val="28"/>
          <w:szCs w:val="22"/>
        </w:rPr>
      </w:pPr>
    </w:p>
    <w:p w:rsidR="001A088F" w:rsidRDefault="001A088F">
      <w:pPr>
        <w:jc w:val="center"/>
        <w:rPr>
          <w:rFonts w:asciiTheme="minorHAnsi" w:hAnsiTheme="minorHAnsi"/>
          <w:b/>
          <w:bCs/>
          <w:sz w:val="28"/>
          <w:szCs w:val="22"/>
        </w:rPr>
      </w:pPr>
    </w:p>
    <w:p w:rsidR="007A25CB" w:rsidRPr="00E337D0" w:rsidRDefault="007A25CB">
      <w:pPr>
        <w:jc w:val="center"/>
        <w:rPr>
          <w:rFonts w:asciiTheme="minorHAnsi" w:hAnsiTheme="minorHAnsi"/>
          <w:b/>
          <w:bCs/>
          <w:sz w:val="28"/>
          <w:szCs w:val="22"/>
        </w:rPr>
      </w:pPr>
    </w:p>
    <w:p w:rsidR="00756F62" w:rsidRPr="00E337D0" w:rsidRDefault="00756F62">
      <w:pPr>
        <w:jc w:val="center"/>
        <w:rPr>
          <w:rFonts w:asciiTheme="minorHAnsi" w:hAnsiTheme="minorHAnsi"/>
          <w:b/>
          <w:bCs/>
          <w:sz w:val="28"/>
          <w:szCs w:val="22"/>
        </w:rPr>
      </w:pPr>
      <w:r w:rsidRPr="00E337D0">
        <w:rPr>
          <w:rFonts w:asciiTheme="minorHAnsi" w:hAnsiTheme="minorHAnsi"/>
          <w:b/>
          <w:bCs/>
          <w:sz w:val="28"/>
          <w:szCs w:val="22"/>
        </w:rPr>
        <w:t xml:space="preserve">Úvod </w:t>
      </w:r>
    </w:p>
    <w:p w:rsidR="00756F62" w:rsidRPr="00E337D0" w:rsidRDefault="00756F62">
      <w:pPr>
        <w:jc w:val="center"/>
        <w:rPr>
          <w:rFonts w:asciiTheme="minorHAnsi" w:hAnsiTheme="minorHAnsi"/>
          <w:b/>
          <w:bCs/>
          <w:sz w:val="22"/>
          <w:szCs w:val="22"/>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ab/>
        <w:t>Vzhledem ke skutečnosti, že Krajský soud v Ústí nad Labem rozhodnutím ve věcech volebních ze dne 19. listopadu 2014 č.</w:t>
      </w:r>
      <w:r w:rsidR="004D03F3" w:rsidRPr="00E337D0">
        <w:rPr>
          <w:rFonts w:asciiTheme="minorHAnsi" w:hAnsiTheme="minorHAnsi"/>
          <w:sz w:val="22"/>
          <w:szCs w:val="22"/>
        </w:rPr>
        <w:t xml:space="preserve"> </w:t>
      </w:r>
      <w:r w:rsidRPr="00E337D0">
        <w:rPr>
          <w:rFonts w:asciiTheme="minorHAnsi" w:hAnsiTheme="minorHAnsi"/>
          <w:sz w:val="22"/>
          <w:szCs w:val="22"/>
        </w:rPr>
        <w:t>j. 40 A 26/2014-65 zrušil výsledky řádných podzimních komunálních voleb a nařídil opakované hlasování, vstoupilo statutární město Chomutov do roku 2015 s rozpočtovým provizoriem.</w:t>
      </w:r>
    </w:p>
    <w:p w:rsidR="00756F62" w:rsidRPr="00E337D0" w:rsidRDefault="00756F62">
      <w:pPr>
        <w:jc w:val="both"/>
        <w:rPr>
          <w:rFonts w:asciiTheme="minorHAnsi" w:hAnsiTheme="minorHAnsi"/>
          <w:sz w:val="22"/>
          <w:szCs w:val="22"/>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ab/>
        <w:t xml:space="preserve">Rozpočtové provizorium bylo schváleno Radou statutárního města Chomutova dne </w:t>
      </w:r>
      <w:r w:rsidR="00153962" w:rsidRPr="00E337D0">
        <w:rPr>
          <w:rFonts w:asciiTheme="minorHAnsi" w:hAnsiTheme="minorHAnsi"/>
          <w:sz w:val="22"/>
          <w:szCs w:val="22"/>
        </w:rPr>
        <w:t>8.12.2014</w:t>
      </w:r>
      <w:r w:rsidRPr="00E337D0">
        <w:rPr>
          <w:rFonts w:asciiTheme="minorHAnsi" w:hAnsiTheme="minorHAnsi"/>
          <w:sz w:val="22"/>
          <w:szCs w:val="22"/>
        </w:rPr>
        <w:t xml:space="preserve"> usnesením</w:t>
      </w:r>
      <w:r w:rsidR="00153962" w:rsidRPr="00E337D0">
        <w:rPr>
          <w:rFonts w:asciiTheme="minorHAnsi" w:hAnsiTheme="minorHAnsi"/>
          <w:sz w:val="22"/>
          <w:szCs w:val="22"/>
        </w:rPr>
        <w:t>i</w:t>
      </w:r>
      <w:r w:rsidRPr="00E337D0">
        <w:rPr>
          <w:rFonts w:asciiTheme="minorHAnsi" w:hAnsiTheme="minorHAnsi"/>
          <w:sz w:val="22"/>
          <w:szCs w:val="22"/>
        </w:rPr>
        <w:t xml:space="preserve"> č. </w:t>
      </w:r>
      <w:r w:rsidR="00153962" w:rsidRPr="00E337D0">
        <w:rPr>
          <w:rFonts w:asciiTheme="minorHAnsi" w:hAnsiTheme="minorHAnsi"/>
          <w:sz w:val="22"/>
          <w:szCs w:val="22"/>
        </w:rPr>
        <w:t>414 a 418</w:t>
      </w:r>
      <w:r w:rsidRPr="00E337D0">
        <w:rPr>
          <w:rFonts w:asciiTheme="minorHAnsi" w:hAnsiTheme="minorHAnsi"/>
          <w:sz w:val="22"/>
          <w:szCs w:val="22"/>
        </w:rPr>
        <w:t>/2014</w:t>
      </w:r>
      <w:r w:rsidR="00153962" w:rsidRPr="00E337D0">
        <w:rPr>
          <w:rFonts w:asciiTheme="minorHAnsi" w:hAnsiTheme="minorHAnsi"/>
          <w:sz w:val="22"/>
          <w:szCs w:val="22"/>
        </w:rPr>
        <w:t xml:space="preserve"> v dikci § 102a zákona o obcích</w:t>
      </w:r>
      <w:r w:rsidRPr="00E337D0">
        <w:rPr>
          <w:rFonts w:asciiTheme="minorHAnsi" w:hAnsiTheme="minorHAnsi"/>
          <w:sz w:val="22"/>
          <w:szCs w:val="22"/>
        </w:rPr>
        <w:t>. Společně s rozpočtem vyhlásila rada města i restriktivní pravidla rozpočtového provizoria na období než nově ustanovivší se zastupitelstvo města schválí řádný rozpočet města pro rok 2015.</w:t>
      </w:r>
    </w:p>
    <w:p w:rsidR="00756F62" w:rsidRPr="00E337D0" w:rsidRDefault="00756F62">
      <w:pPr>
        <w:jc w:val="both"/>
        <w:rPr>
          <w:rFonts w:asciiTheme="minorHAnsi" w:hAnsiTheme="minorHAnsi"/>
          <w:sz w:val="22"/>
          <w:szCs w:val="22"/>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ab/>
        <w:t>Odbor ekonomiky připravil návrh rozpočtu města pro rok 2015, který tímto předkládá ke schválení. Ukončení rozpočtového provizoria je navrhováno na 31.</w:t>
      </w:r>
      <w:r w:rsidR="004D03F3" w:rsidRPr="00E337D0">
        <w:rPr>
          <w:rFonts w:asciiTheme="minorHAnsi" w:hAnsiTheme="minorHAnsi"/>
          <w:sz w:val="22"/>
          <w:szCs w:val="22"/>
        </w:rPr>
        <w:t>0</w:t>
      </w:r>
      <w:r w:rsidRPr="00E337D0">
        <w:rPr>
          <w:rFonts w:asciiTheme="minorHAnsi" w:hAnsiTheme="minorHAnsi"/>
          <w:sz w:val="22"/>
          <w:szCs w:val="22"/>
        </w:rPr>
        <w:t>3.2015, s tím že příjmy a výdaje, které se uskutečnily v době rozpočtového provizoria se automaticky dle zákona o rozpočtových pravidlech územních rozpočtů stávají příjmy a výdaji řádného rozpočtu města po jeho schválení.</w:t>
      </w:r>
    </w:p>
    <w:p w:rsidR="00756F62" w:rsidRPr="00E337D0" w:rsidRDefault="00756F62">
      <w:pPr>
        <w:jc w:val="both"/>
        <w:rPr>
          <w:rFonts w:asciiTheme="minorHAnsi" w:hAnsiTheme="minorHAnsi"/>
          <w:sz w:val="22"/>
          <w:szCs w:val="22"/>
        </w:rPr>
      </w:pPr>
    </w:p>
    <w:p w:rsidR="00756F62" w:rsidRPr="00E337D0" w:rsidRDefault="00756F62" w:rsidP="00756F62">
      <w:pPr>
        <w:ind w:firstLine="708"/>
        <w:jc w:val="both"/>
        <w:rPr>
          <w:rFonts w:asciiTheme="minorHAnsi" w:hAnsiTheme="minorHAnsi"/>
          <w:sz w:val="22"/>
          <w:szCs w:val="22"/>
        </w:rPr>
      </w:pPr>
      <w:r w:rsidRPr="00E337D0">
        <w:rPr>
          <w:rFonts w:asciiTheme="minorHAnsi" w:hAnsiTheme="minorHAnsi"/>
          <w:sz w:val="22"/>
          <w:szCs w:val="22"/>
        </w:rPr>
        <w:t xml:space="preserve">Rozpočet </w:t>
      </w:r>
      <w:r w:rsidR="005C14E9" w:rsidRPr="00E337D0">
        <w:rPr>
          <w:rFonts w:asciiTheme="minorHAnsi" w:hAnsiTheme="minorHAnsi"/>
          <w:sz w:val="22"/>
          <w:szCs w:val="22"/>
        </w:rPr>
        <w:t xml:space="preserve">statutárního města Chomutova </w:t>
      </w:r>
      <w:r w:rsidR="00DE143A" w:rsidRPr="00E337D0">
        <w:rPr>
          <w:rFonts w:asciiTheme="minorHAnsi" w:hAnsiTheme="minorHAnsi"/>
          <w:sz w:val="22"/>
          <w:szCs w:val="22"/>
        </w:rPr>
        <w:t>na</w:t>
      </w:r>
      <w:r w:rsidRPr="00E337D0">
        <w:rPr>
          <w:rFonts w:asciiTheme="minorHAnsi" w:hAnsiTheme="minorHAnsi"/>
          <w:sz w:val="22"/>
          <w:szCs w:val="22"/>
        </w:rPr>
        <w:t xml:space="preserve"> rok 20</w:t>
      </w:r>
      <w:r w:rsidR="005760F3" w:rsidRPr="00E337D0">
        <w:rPr>
          <w:rFonts w:asciiTheme="minorHAnsi" w:hAnsiTheme="minorHAnsi"/>
          <w:sz w:val="22"/>
          <w:szCs w:val="22"/>
        </w:rPr>
        <w:t>1</w:t>
      </w:r>
      <w:r w:rsidRPr="00E337D0">
        <w:rPr>
          <w:rFonts w:asciiTheme="minorHAnsi" w:hAnsiTheme="minorHAnsi"/>
          <w:sz w:val="22"/>
          <w:szCs w:val="22"/>
        </w:rPr>
        <w:t>5 je zpracován ve vazbě na platn</w:t>
      </w:r>
      <w:r w:rsidR="005760F3" w:rsidRPr="00E337D0">
        <w:rPr>
          <w:rFonts w:asciiTheme="minorHAnsi" w:hAnsiTheme="minorHAnsi"/>
          <w:sz w:val="22"/>
          <w:szCs w:val="22"/>
        </w:rPr>
        <w:t>ou legislativu (zejména zákon č. 128/2000 Sb., o obcích a zákon č. 250/2000 Sb., o rozpočtových pravidlech územních rozpočtů, v platném znění) a odpovídá potřebám pro financování aktivit města (zajištění provozu magistrátu a financování investičních potřeb a aktivit plynoucích ze schválené Střednědobé strategie rozvoje města Chomutov do roku 2024 – akční plán pro rok 2015) a na rozpočet města napojených obchodních společností a příspěvkových organizací.</w:t>
      </w:r>
    </w:p>
    <w:p w:rsidR="00756F62" w:rsidRPr="00E337D0" w:rsidRDefault="00756F62">
      <w:pPr>
        <w:jc w:val="both"/>
        <w:rPr>
          <w:rFonts w:asciiTheme="minorHAnsi" w:hAnsiTheme="minorHAnsi"/>
          <w:sz w:val="22"/>
          <w:szCs w:val="22"/>
        </w:rPr>
      </w:pPr>
    </w:p>
    <w:p w:rsidR="00756F62" w:rsidRPr="00E337D0" w:rsidRDefault="005760F3">
      <w:pPr>
        <w:jc w:val="both"/>
        <w:rPr>
          <w:rFonts w:asciiTheme="minorHAnsi" w:hAnsiTheme="minorHAnsi"/>
          <w:sz w:val="22"/>
          <w:szCs w:val="22"/>
        </w:rPr>
      </w:pPr>
      <w:r w:rsidRPr="00E337D0">
        <w:rPr>
          <w:rFonts w:asciiTheme="minorHAnsi" w:hAnsiTheme="minorHAnsi"/>
          <w:sz w:val="22"/>
          <w:szCs w:val="22"/>
        </w:rPr>
        <w:tab/>
        <w:t>Vzhledem ke skutečnosti, že rozpočet je schvalován až v průběhu roku 2015, byl oproti původnímu návrhu rozpočtu v rozpočtu zapracován v přesné výši souhrnný dotační vztah (dotace na zajištění přenesené působnosti).</w:t>
      </w:r>
    </w:p>
    <w:p w:rsidR="00756F62" w:rsidRPr="00E337D0" w:rsidRDefault="00756F62">
      <w:pPr>
        <w:jc w:val="both"/>
        <w:rPr>
          <w:rFonts w:asciiTheme="minorHAnsi" w:hAnsiTheme="minorHAnsi"/>
          <w:sz w:val="22"/>
          <w:szCs w:val="22"/>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ab/>
        <w:t xml:space="preserve">Rozpočet </w:t>
      </w:r>
      <w:r w:rsidR="00400267" w:rsidRPr="00E337D0">
        <w:rPr>
          <w:rFonts w:asciiTheme="minorHAnsi" w:hAnsiTheme="minorHAnsi"/>
          <w:sz w:val="22"/>
          <w:szCs w:val="22"/>
        </w:rPr>
        <w:t xml:space="preserve">statutárního města Chomutova pro rok </w:t>
      </w:r>
      <w:r w:rsidRPr="00E337D0">
        <w:rPr>
          <w:rFonts w:asciiTheme="minorHAnsi" w:hAnsiTheme="minorHAnsi"/>
          <w:sz w:val="22"/>
          <w:szCs w:val="22"/>
        </w:rPr>
        <w:t>20</w:t>
      </w:r>
      <w:r w:rsidR="00400267" w:rsidRPr="00E337D0">
        <w:rPr>
          <w:rFonts w:asciiTheme="minorHAnsi" w:hAnsiTheme="minorHAnsi"/>
          <w:sz w:val="22"/>
          <w:szCs w:val="22"/>
        </w:rPr>
        <w:t>1</w:t>
      </w:r>
      <w:r w:rsidRPr="00E337D0">
        <w:rPr>
          <w:rFonts w:asciiTheme="minorHAnsi" w:hAnsiTheme="minorHAnsi"/>
          <w:sz w:val="22"/>
          <w:szCs w:val="22"/>
        </w:rPr>
        <w:t>5</w:t>
      </w:r>
      <w:r w:rsidR="00E27236">
        <w:rPr>
          <w:rFonts w:asciiTheme="minorHAnsi" w:hAnsiTheme="minorHAnsi"/>
          <w:sz w:val="22"/>
          <w:szCs w:val="22"/>
        </w:rPr>
        <w:t>,</w:t>
      </w:r>
      <w:r w:rsidRPr="00E337D0">
        <w:rPr>
          <w:rFonts w:asciiTheme="minorHAnsi" w:hAnsiTheme="minorHAnsi"/>
          <w:sz w:val="22"/>
          <w:szCs w:val="22"/>
        </w:rPr>
        <w:t xml:space="preserve"> tak jako v</w:t>
      </w:r>
      <w:r w:rsidR="00400267" w:rsidRPr="00E337D0">
        <w:rPr>
          <w:rFonts w:asciiTheme="minorHAnsi" w:hAnsiTheme="minorHAnsi"/>
          <w:sz w:val="22"/>
          <w:szCs w:val="22"/>
        </w:rPr>
        <w:t xml:space="preserve"> předešlých letech </w:t>
      </w:r>
      <w:r w:rsidRPr="00E337D0">
        <w:rPr>
          <w:rFonts w:asciiTheme="minorHAnsi" w:hAnsiTheme="minorHAnsi"/>
          <w:sz w:val="22"/>
          <w:szCs w:val="22"/>
        </w:rPr>
        <w:t>vychází ze zdrojových možností města – vlastních příjmů města</w:t>
      </w:r>
      <w:r w:rsidR="00400267" w:rsidRPr="00E337D0">
        <w:rPr>
          <w:rFonts w:asciiTheme="minorHAnsi" w:hAnsiTheme="minorHAnsi"/>
          <w:sz w:val="22"/>
          <w:szCs w:val="22"/>
        </w:rPr>
        <w:t xml:space="preserve"> (výnosy se sdílených daní, nedaňové příjmy /nájemné, příjmy z vlastní činnosti/, kapitálové příjmy) a </w:t>
      </w:r>
      <w:r w:rsidRPr="00E337D0">
        <w:rPr>
          <w:rFonts w:asciiTheme="minorHAnsi" w:hAnsiTheme="minorHAnsi"/>
          <w:sz w:val="22"/>
          <w:szCs w:val="22"/>
        </w:rPr>
        <w:t>dotace</w:t>
      </w:r>
      <w:r w:rsidR="00400267" w:rsidRPr="00E337D0">
        <w:rPr>
          <w:rFonts w:asciiTheme="minorHAnsi" w:hAnsiTheme="minorHAnsi"/>
          <w:sz w:val="22"/>
          <w:szCs w:val="22"/>
        </w:rPr>
        <w:t xml:space="preserve"> na zajištění výkonu přenesení správy. V rámci nástroje financování jsou zapojeny volné finanční prostředky</w:t>
      </w:r>
      <w:r w:rsidRPr="00E337D0">
        <w:rPr>
          <w:rFonts w:asciiTheme="minorHAnsi" w:hAnsiTheme="minorHAnsi"/>
          <w:sz w:val="22"/>
          <w:szCs w:val="22"/>
        </w:rPr>
        <w:t xml:space="preserve"> </w:t>
      </w:r>
      <w:r w:rsidR="00400267" w:rsidRPr="00E337D0">
        <w:rPr>
          <w:rFonts w:asciiTheme="minorHAnsi" w:hAnsiTheme="minorHAnsi"/>
          <w:sz w:val="22"/>
          <w:szCs w:val="22"/>
        </w:rPr>
        <w:t xml:space="preserve">a úspory </w:t>
      </w:r>
      <w:r w:rsidRPr="00E337D0">
        <w:rPr>
          <w:rFonts w:asciiTheme="minorHAnsi" w:hAnsiTheme="minorHAnsi"/>
          <w:sz w:val="22"/>
          <w:szCs w:val="22"/>
        </w:rPr>
        <w:t>z</w:t>
      </w:r>
      <w:r w:rsidR="00400267" w:rsidRPr="00E337D0">
        <w:rPr>
          <w:rFonts w:asciiTheme="minorHAnsi" w:hAnsiTheme="minorHAnsi"/>
          <w:sz w:val="22"/>
          <w:szCs w:val="22"/>
        </w:rPr>
        <w:t xml:space="preserve"> minulých let, současně je objemově zapojen i úvěr, u kterého měsícem dubnem 2015 bude zahájeno období splácení. </w:t>
      </w:r>
    </w:p>
    <w:p w:rsidR="00400267" w:rsidRPr="00E337D0" w:rsidRDefault="00400267">
      <w:pPr>
        <w:jc w:val="both"/>
        <w:rPr>
          <w:rFonts w:asciiTheme="minorHAnsi" w:hAnsiTheme="minorHAnsi"/>
          <w:sz w:val="22"/>
          <w:szCs w:val="22"/>
        </w:rPr>
      </w:pPr>
    </w:p>
    <w:p w:rsidR="00756F62" w:rsidRPr="00E337D0" w:rsidRDefault="00756F62">
      <w:pPr>
        <w:jc w:val="both"/>
        <w:rPr>
          <w:rFonts w:asciiTheme="minorHAnsi" w:eastAsia="Times New Roman" w:hAnsiTheme="minorHAnsi"/>
          <w:sz w:val="22"/>
          <w:szCs w:val="22"/>
        </w:rPr>
      </w:pPr>
      <w:r w:rsidRPr="00E337D0">
        <w:rPr>
          <w:rFonts w:asciiTheme="minorHAnsi" w:hAnsiTheme="minorHAnsi"/>
          <w:sz w:val="22"/>
          <w:szCs w:val="22"/>
        </w:rPr>
        <w:tab/>
      </w:r>
      <w:r w:rsidRPr="00E337D0">
        <w:rPr>
          <w:rFonts w:asciiTheme="minorHAnsi" w:hAnsiTheme="minorHAnsi"/>
          <w:b/>
          <w:bCs/>
          <w:sz w:val="22"/>
          <w:szCs w:val="22"/>
        </w:rPr>
        <w:t>Finanční zdroje</w:t>
      </w:r>
      <w:r w:rsidRPr="00E337D0">
        <w:rPr>
          <w:rFonts w:asciiTheme="minorHAnsi" w:hAnsiTheme="minorHAnsi"/>
          <w:sz w:val="22"/>
          <w:szCs w:val="22"/>
        </w:rPr>
        <w:t xml:space="preserve"> rozpočtu </w:t>
      </w:r>
      <w:r w:rsidR="00400267" w:rsidRPr="00E337D0">
        <w:rPr>
          <w:rFonts w:asciiTheme="minorHAnsi" w:hAnsiTheme="minorHAnsi"/>
          <w:sz w:val="22"/>
          <w:szCs w:val="22"/>
        </w:rPr>
        <w:t>statutárního města Chomutova pro</w:t>
      </w:r>
      <w:r w:rsidRPr="00E337D0">
        <w:rPr>
          <w:rFonts w:asciiTheme="minorHAnsi" w:hAnsiTheme="minorHAnsi"/>
          <w:sz w:val="22"/>
          <w:szCs w:val="22"/>
        </w:rPr>
        <w:t xml:space="preserve"> rok 20</w:t>
      </w:r>
      <w:r w:rsidR="00400267" w:rsidRPr="00E337D0">
        <w:rPr>
          <w:rFonts w:asciiTheme="minorHAnsi" w:hAnsiTheme="minorHAnsi"/>
          <w:sz w:val="22"/>
          <w:szCs w:val="22"/>
        </w:rPr>
        <w:t>1</w:t>
      </w:r>
      <w:r w:rsidRPr="00E337D0">
        <w:rPr>
          <w:rFonts w:asciiTheme="minorHAnsi" w:hAnsiTheme="minorHAnsi"/>
          <w:sz w:val="22"/>
          <w:szCs w:val="22"/>
        </w:rPr>
        <w:t xml:space="preserve">5 jsou v celkové výši </w:t>
      </w:r>
      <w:r w:rsidR="004D03F3" w:rsidRPr="00E337D0">
        <w:rPr>
          <w:rFonts w:asciiTheme="minorHAnsi" w:eastAsia="Times New Roman" w:hAnsiTheme="minorHAnsi"/>
          <w:b/>
          <w:bCs/>
          <w:sz w:val="22"/>
          <w:szCs w:val="22"/>
        </w:rPr>
        <w:t>1 347 655,00 tis. Kč.</w:t>
      </w:r>
      <w:r w:rsidRPr="00E337D0">
        <w:rPr>
          <w:rFonts w:asciiTheme="minorHAnsi" w:hAnsiTheme="minorHAnsi"/>
          <w:sz w:val="22"/>
          <w:szCs w:val="22"/>
        </w:rPr>
        <w:t xml:space="preserve"> Z tohoto objemu připadá </w:t>
      </w:r>
      <w:r w:rsidRPr="00E337D0">
        <w:rPr>
          <w:rFonts w:asciiTheme="minorHAnsi" w:hAnsiTheme="minorHAnsi"/>
          <w:sz w:val="22"/>
          <w:szCs w:val="22"/>
          <w:u w:val="single"/>
        </w:rPr>
        <w:t>na rozpočtové příjmy</w:t>
      </w:r>
      <w:r w:rsidRPr="00E337D0">
        <w:rPr>
          <w:rFonts w:asciiTheme="minorHAnsi" w:hAnsiTheme="minorHAnsi"/>
          <w:sz w:val="22"/>
          <w:szCs w:val="22"/>
        </w:rPr>
        <w:t xml:space="preserve"> </w:t>
      </w:r>
      <w:r w:rsidR="004D03F3" w:rsidRPr="00E337D0">
        <w:rPr>
          <w:rFonts w:asciiTheme="minorHAnsi" w:eastAsia="Times New Roman" w:hAnsiTheme="minorHAnsi"/>
          <w:b/>
          <w:bCs/>
          <w:sz w:val="22"/>
          <w:szCs w:val="22"/>
        </w:rPr>
        <w:t>893 542,60</w:t>
      </w:r>
      <w:r w:rsidRPr="00E337D0">
        <w:rPr>
          <w:rFonts w:asciiTheme="minorHAnsi" w:hAnsiTheme="minorHAnsi"/>
          <w:sz w:val="22"/>
          <w:szCs w:val="22"/>
        </w:rPr>
        <w:t xml:space="preserve"> tis</w:t>
      </w:r>
      <w:r w:rsidR="004D03F3" w:rsidRPr="00E337D0">
        <w:rPr>
          <w:rFonts w:asciiTheme="minorHAnsi" w:hAnsiTheme="minorHAnsi"/>
          <w:sz w:val="22"/>
          <w:szCs w:val="22"/>
        </w:rPr>
        <w:t xml:space="preserve">. </w:t>
      </w:r>
      <w:r w:rsidRPr="00E337D0">
        <w:rPr>
          <w:rFonts w:asciiTheme="minorHAnsi" w:hAnsiTheme="minorHAnsi"/>
          <w:sz w:val="22"/>
          <w:szCs w:val="22"/>
        </w:rPr>
        <w:t>Kč a na zdroje zař</w:t>
      </w:r>
      <w:r w:rsidR="004D03F3" w:rsidRPr="00E337D0">
        <w:rPr>
          <w:rFonts w:asciiTheme="minorHAnsi" w:hAnsiTheme="minorHAnsi"/>
          <w:sz w:val="22"/>
          <w:szCs w:val="22"/>
        </w:rPr>
        <w:t xml:space="preserve">azené do třídy 8 – financování </w:t>
      </w:r>
      <w:r w:rsidR="004D03F3" w:rsidRPr="00E337D0">
        <w:rPr>
          <w:rFonts w:asciiTheme="minorHAnsi" w:eastAsia="Times New Roman" w:hAnsiTheme="minorHAnsi"/>
          <w:sz w:val="22"/>
          <w:szCs w:val="22"/>
        </w:rPr>
        <w:t xml:space="preserve">454 112,40 </w:t>
      </w:r>
      <w:r w:rsidRPr="00E337D0">
        <w:rPr>
          <w:rFonts w:asciiTheme="minorHAnsi" w:hAnsiTheme="minorHAnsi"/>
          <w:sz w:val="22"/>
          <w:szCs w:val="22"/>
        </w:rPr>
        <w:t>tis.Kč.</w:t>
      </w:r>
    </w:p>
    <w:p w:rsidR="00756F62" w:rsidRPr="00E337D0" w:rsidRDefault="00756F62">
      <w:pPr>
        <w:jc w:val="both"/>
        <w:rPr>
          <w:rFonts w:asciiTheme="minorHAnsi" w:hAnsiTheme="minorHAnsi"/>
          <w:sz w:val="22"/>
          <w:szCs w:val="22"/>
        </w:rPr>
      </w:pPr>
    </w:p>
    <w:p w:rsidR="00756F62" w:rsidRPr="00E337D0" w:rsidRDefault="00756F62" w:rsidP="004D03F3">
      <w:pPr>
        <w:ind w:firstLine="708"/>
        <w:jc w:val="both"/>
        <w:rPr>
          <w:rFonts w:asciiTheme="minorHAnsi" w:eastAsia="Times New Roman" w:hAnsiTheme="minorHAnsi"/>
          <w:b/>
          <w:bCs/>
          <w:sz w:val="22"/>
          <w:szCs w:val="22"/>
        </w:rPr>
      </w:pPr>
      <w:r w:rsidRPr="00E337D0">
        <w:rPr>
          <w:rFonts w:asciiTheme="minorHAnsi" w:hAnsiTheme="minorHAnsi"/>
          <w:b/>
          <w:bCs/>
          <w:sz w:val="22"/>
          <w:szCs w:val="22"/>
        </w:rPr>
        <w:t xml:space="preserve">Celkové výdaje </w:t>
      </w:r>
      <w:r w:rsidRPr="00E337D0">
        <w:rPr>
          <w:rFonts w:asciiTheme="minorHAnsi" w:hAnsiTheme="minorHAnsi"/>
          <w:sz w:val="22"/>
          <w:szCs w:val="22"/>
        </w:rPr>
        <w:t xml:space="preserve">rozpočtu jsou ve výši vytvořených zdrojů, to je </w:t>
      </w:r>
      <w:r w:rsidR="004D03F3" w:rsidRPr="00E337D0">
        <w:rPr>
          <w:rFonts w:asciiTheme="minorHAnsi" w:eastAsia="Times New Roman" w:hAnsiTheme="minorHAnsi"/>
          <w:b/>
          <w:bCs/>
          <w:sz w:val="22"/>
          <w:szCs w:val="22"/>
        </w:rPr>
        <w:t>1 347 655,00 tis. Kč.</w:t>
      </w:r>
      <w:r w:rsidRPr="00E337D0">
        <w:rPr>
          <w:rFonts w:asciiTheme="minorHAnsi" w:hAnsiTheme="minorHAnsi"/>
          <w:sz w:val="22"/>
          <w:szCs w:val="22"/>
        </w:rPr>
        <w:t xml:space="preserve"> Z toho jsou </w:t>
      </w:r>
      <w:r w:rsidRPr="00E337D0">
        <w:rPr>
          <w:rFonts w:asciiTheme="minorHAnsi" w:hAnsiTheme="minorHAnsi"/>
          <w:sz w:val="22"/>
          <w:szCs w:val="22"/>
          <w:u w:val="single"/>
        </w:rPr>
        <w:t>rozpočtové výdaje</w:t>
      </w:r>
      <w:r w:rsidRPr="00E337D0">
        <w:rPr>
          <w:rFonts w:asciiTheme="minorHAnsi" w:hAnsiTheme="minorHAnsi"/>
          <w:sz w:val="22"/>
          <w:szCs w:val="22"/>
        </w:rPr>
        <w:t xml:space="preserve"> ve výši </w:t>
      </w:r>
      <w:r w:rsidR="004D03F3" w:rsidRPr="00E337D0">
        <w:rPr>
          <w:rFonts w:asciiTheme="minorHAnsi" w:eastAsia="Times New Roman" w:hAnsiTheme="minorHAnsi"/>
          <w:b/>
          <w:bCs/>
          <w:sz w:val="22"/>
          <w:szCs w:val="22"/>
        </w:rPr>
        <w:t xml:space="preserve">1 017 655,00 tis. </w:t>
      </w:r>
      <w:r w:rsidRPr="00E337D0">
        <w:rPr>
          <w:rFonts w:asciiTheme="minorHAnsi" w:hAnsiTheme="minorHAnsi"/>
          <w:sz w:val="22"/>
          <w:szCs w:val="22"/>
        </w:rPr>
        <w:t xml:space="preserve">Kč a výdaje třídy 8 – financování ve výši </w:t>
      </w:r>
      <w:r w:rsidR="004D03F3" w:rsidRPr="00E337D0">
        <w:rPr>
          <w:rFonts w:asciiTheme="minorHAnsi" w:eastAsia="Times New Roman" w:hAnsiTheme="minorHAnsi"/>
          <w:sz w:val="22"/>
          <w:szCs w:val="22"/>
        </w:rPr>
        <w:t xml:space="preserve">330 000,00 </w:t>
      </w:r>
      <w:r w:rsidRPr="00E337D0">
        <w:rPr>
          <w:rFonts w:asciiTheme="minorHAnsi" w:hAnsiTheme="minorHAnsi"/>
          <w:sz w:val="22"/>
          <w:szCs w:val="22"/>
        </w:rPr>
        <w:t>tis.</w:t>
      </w:r>
      <w:r w:rsidR="004D03F3" w:rsidRPr="00E337D0">
        <w:rPr>
          <w:rFonts w:asciiTheme="minorHAnsi" w:hAnsiTheme="minorHAnsi"/>
          <w:sz w:val="22"/>
          <w:szCs w:val="22"/>
        </w:rPr>
        <w:t xml:space="preserve"> </w:t>
      </w:r>
      <w:r w:rsidRPr="00E337D0">
        <w:rPr>
          <w:rFonts w:asciiTheme="minorHAnsi" w:hAnsiTheme="minorHAnsi"/>
          <w:sz w:val="22"/>
          <w:szCs w:val="22"/>
        </w:rPr>
        <w:t>Kč.</w:t>
      </w:r>
    </w:p>
    <w:p w:rsidR="00756F62" w:rsidRDefault="00756F62">
      <w:pPr>
        <w:ind w:firstLine="708"/>
        <w:jc w:val="both"/>
        <w:rPr>
          <w:rFonts w:asciiTheme="minorHAnsi" w:hAnsiTheme="minorHAnsi"/>
          <w:sz w:val="22"/>
          <w:szCs w:val="22"/>
        </w:rPr>
      </w:pPr>
    </w:p>
    <w:p w:rsidR="00E337D0" w:rsidRDefault="00E337D0">
      <w:pPr>
        <w:ind w:firstLine="708"/>
        <w:jc w:val="both"/>
        <w:rPr>
          <w:rFonts w:asciiTheme="minorHAnsi" w:hAnsiTheme="minorHAnsi"/>
          <w:sz w:val="22"/>
          <w:szCs w:val="22"/>
        </w:rPr>
      </w:pPr>
    </w:p>
    <w:p w:rsidR="007A25CB" w:rsidRDefault="007A25CB">
      <w:pPr>
        <w:ind w:firstLine="708"/>
        <w:jc w:val="both"/>
        <w:rPr>
          <w:rFonts w:asciiTheme="minorHAnsi" w:hAnsiTheme="minorHAnsi"/>
          <w:sz w:val="22"/>
          <w:szCs w:val="22"/>
        </w:rPr>
      </w:pPr>
    </w:p>
    <w:p w:rsidR="007A25CB" w:rsidRDefault="007A25CB">
      <w:pPr>
        <w:ind w:firstLine="708"/>
        <w:jc w:val="both"/>
        <w:rPr>
          <w:rFonts w:asciiTheme="minorHAnsi" w:hAnsiTheme="minorHAnsi"/>
          <w:sz w:val="22"/>
          <w:szCs w:val="22"/>
        </w:rPr>
      </w:pPr>
    </w:p>
    <w:p w:rsidR="00756F62" w:rsidRPr="00E337D0" w:rsidRDefault="00756F62">
      <w:pPr>
        <w:jc w:val="both"/>
        <w:rPr>
          <w:rFonts w:asciiTheme="minorHAnsi" w:hAnsiTheme="minorHAnsi"/>
          <w:b/>
          <w:sz w:val="22"/>
          <w:szCs w:val="22"/>
          <w:u w:val="single"/>
        </w:rPr>
      </w:pPr>
      <w:r w:rsidRPr="00E337D0">
        <w:rPr>
          <w:rFonts w:asciiTheme="minorHAnsi" w:hAnsiTheme="minorHAnsi"/>
          <w:b/>
          <w:sz w:val="22"/>
          <w:szCs w:val="22"/>
        </w:rPr>
        <w:lastRenderedPageBreak/>
        <w:t xml:space="preserve">   </w:t>
      </w:r>
      <w:r w:rsidRPr="00E337D0">
        <w:rPr>
          <w:rFonts w:asciiTheme="minorHAnsi" w:hAnsiTheme="minorHAnsi"/>
          <w:b/>
          <w:sz w:val="22"/>
          <w:szCs w:val="22"/>
          <w:u w:val="single"/>
        </w:rPr>
        <w:t>FINANČNÍ  ZDROJE  ROZPOČTU</w:t>
      </w:r>
    </w:p>
    <w:p w:rsidR="00756F62" w:rsidRPr="00E337D0" w:rsidRDefault="00756F62">
      <w:pPr>
        <w:jc w:val="both"/>
        <w:rPr>
          <w:rFonts w:asciiTheme="minorHAnsi" w:hAnsiTheme="minorHAnsi"/>
          <w:sz w:val="22"/>
          <w:szCs w:val="22"/>
          <w:u w:val="single"/>
        </w:rPr>
      </w:pPr>
    </w:p>
    <w:p w:rsidR="00756F62" w:rsidRPr="00E337D0" w:rsidRDefault="00756F62">
      <w:pPr>
        <w:jc w:val="both"/>
        <w:rPr>
          <w:rFonts w:asciiTheme="minorHAnsi" w:hAnsiTheme="minorHAnsi"/>
          <w:sz w:val="22"/>
          <w:szCs w:val="22"/>
          <w:u w:val="single"/>
        </w:rPr>
      </w:pPr>
    </w:p>
    <w:p w:rsidR="00756F62" w:rsidRPr="00E337D0" w:rsidRDefault="00756F62">
      <w:pPr>
        <w:jc w:val="both"/>
        <w:rPr>
          <w:rFonts w:asciiTheme="minorHAnsi" w:hAnsiTheme="minorHAnsi"/>
          <w:b/>
          <w:sz w:val="22"/>
          <w:szCs w:val="22"/>
        </w:rPr>
      </w:pPr>
      <w:r w:rsidRPr="00E337D0">
        <w:rPr>
          <w:rFonts w:asciiTheme="minorHAnsi" w:hAnsiTheme="minorHAnsi"/>
          <w:b/>
          <w:sz w:val="22"/>
          <w:szCs w:val="22"/>
        </w:rPr>
        <w:t xml:space="preserve">     a) Rozpočtové příjmy</w:t>
      </w:r>
    </w:p>
    <w:p w:rsidR="00756F62" w:rsidRPr="00E337D0" w:rsidRDefault="00756F62">
      <w:pPr>
        <w:jc w:val="both"/>
        <w:rPr>
          <w:rFonts w:asciiTheme="minorHAnsi" w:hAnsiTheme="minorHAnsi"/>
          <w:sz w:val="22"/>
          <w:szCs w:val="22"/>
        </w:rPr>
      </w:pPr>
    </w:p>
    <w:p w:rsidR="00756F62" w:rsidRPr="00E337D0" w:rsidRDefault="00756F62">
      <w:pPr>
        <w:jc w:val="both"/>
        <w:rPr>
          <w:rFonts w:asciiTheme="minorHAnsi" w:hAnsiTheme="minorHAnsi"/>
          <w:sz w:val="22"/>
          <w:szCs w:val="22"/>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ab/>
        <w:t xml:space="preserve">Rozpočtové příjmy se dělí na základě platné rozpočtové skladby do čtyř tříd, a to na příjmy daňové, nedaňové, kapitálové a přijaté dotace. Mezi rozpočtové příjmy </w:t>
      </w:r>
      <w:r w:rsidR="004D03F3" w:rsidRPr="00E337D0">
        <w:rPr>
          <w:rFonts w:asciiTheme="minorHAnsi" w:hAnsiTheme="minorHAnsi"/>
          <w:sz w:val="22"/>
          <w:szCs w:val="22"/>
        </w:rPr>
        <w:t>se nezahrnují cizí finanč</w:t>
      </w:r>
      <w:r w:rsidRPr="00E337D0">
        <w:rPr>
          <w:rFonts w:asciiTheme="minorHAnsi" w:hAnsiTheme="minorHAnsi"/>
          <w:sz w:val="22"/>
          <w:szCs w:val="22"/>
        </w:rPr>
        <w:t>ní prostředky</w:t>
      </w:r>
      <w:r w:rsidR="004D03F3" w:rsidRPr="00E337D0">
        <w:rPr>
          <w:rFonts w:asciiTheme="minorHAnsi" w:hAnsiTheme="minorHAnsi"/>
          <w:sz w:val="22"/>
          <w:szCs w:val="22"/>
        </w:rPr>
        <w:t xml:space="preserve"> (půjčky a úvěry)</w:t>
      </w:r>
      <w:r w:rsidRPr="00E337D0">
        <w:rPr>
          <w:rFonts w:asciiTheme="minorHAnsi" w:hAnsiTheme="minorHAnsi"/>
          <w:sz w:val="22"/>
          <w:szCs w:val="22"/>
        </w:rPr>
        <w:t xml:space="preserve"> ani finanční prostředky, které byly vytvořeny v minulých letech a do rozpočtu bývají zapojovány jako úspora hospodaření. Tyto finanční prostředky se do rozpočtu zapojují prostřednictvím rozpočtové třídy 8 – financování.</w:t>
      </w:r>
    </w:p>
    <w:p w:rsidR="00756F62" w:rsidRPr="00E337D0" w:rsidRDefault="00756F62">
      <w:pPr>
        <w:jc w:val="both"/>
        <w:rPr>
          <w:rFonts w:asciiTheme="minorHAnsi" w:hAnsiTheme="minorHAnsi"/>
          <w:sz w:val="22"/>
          <w:szCs w:val="22"/>
        </w:rPr>
      </w:pPr>
    </w:p>
    <w:p w:rsidR="00756F62" w:rsidRPr="00E337D0" w:rsidRDefault="00756F62">
      <w:pPr>
        <w:jc w:val="both"/>
        <w:rPr>
          <w:rFonts w:asciiTheme="minorHAnsi" w:hAnsiTheme="minorHAnsi"/>
          <w:sz w:val="22"/>
          <w:szCs w:val="22"/>
        </w:rPr>
      </w:pPr>
    </w:p>
    <w:p w:rsidR="00756F62" w:rsidRPr="00E337D0" w:rsidRDefault="00756F62">
      <w:pPr>
        <w:jc w:val="right"/>
        <w:rPr>
          <w:rFonts w:asciiTheme="minorHAnsi" w:hAnsiTheme="minorHAnsi"/>
          <w:sz w:val="22"/>
          <w:szCs w:val="22"/>
        </w:rPr>
      </w:pPr>
      <w:r w:rsidRPr="00E337D0">
        <w:rPr>
          <w:rFonts w:asciiTheme="minorHAnsi" w:hAnsiTheme="minorHAnsi"/>
          <w:sz w:val="22"/>
          <w:szCs w:val="22"/>
        </w:rPr>
        <w:t>v tis. Kč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5"/>
        <w:gridCol w:w="1792"/>
        <w:gridCol w:w="1793"/>
        <w:gridCol w:w="1793"/>
        <w:gridCol w:w="1789"/>
      </w:tblGrid>
      <w:tr w:rsidR="00756F62" w:rsidRPr="00E337D0" w:rsidTr="006C74A6">
        <w:tc>
          <w:tcPr>
            <w:tcW w:w="1925" w:type="dxa"/>
          </w:tcPr>
          <w:p w:rsidR="00756F62" w:rsidRPr="00E337D0" w:rsidRDefault="00756F62">
            <w:pPr>
              <w:jc w:val="center"/>
              <w:rPr>
                <w:rFonts w:asciiTheme="minorHAnsi" w:hAnsiTheme="minorHAnsi"/>
                <w:b/>
                <w:bCs/>
                <w:sz w:val="22"/>
                <w:szCs w:val="22"/>
              </w:rPr>
            </w:pPr>
          </w:p>
        </w:tc>
        <w:tc>
          <w:tcPr>
            <w:tcW w:w="1821" w:type="dxa"/>
          </w:tcPr>
          <w:p w:rsidR="006C74A6" w:rsidRPr="00E337D0" w:rsidRDefault="00153962" w:rsidP="004D03F3">
            <w:pPr>
              <w:jc w:val="center"/>
              <w:rPr>
                <w:rFonts w:asciiTheme="minorHAnsi" w:hAnsiTheme="minorHAnsi"/>
                <w:b/>
                <w:bCs/>
                <w:sz w:val="22"/>
                <w:szCs w:val="22"/>
              </w:rPr>
            </w:pPr>
            <w:r w:rsidRPr="00E337D0">
              <w:rPr>
                <w:rFonts w:asciiTheme="minorHAnsi" w:hAnsiTheme="minorHAnsi"/>
                <w:b/>
                <w:bCs/>
                <w:sz w:val="22"/>
                <w:szCs w:val="22"/>
              </w:rPr>
              <w:t>Schválený rozpočet</w:t>
            </w:r>
          </w:p>
          <w:p w:rsidR="00756F62" w:rsidRPr="00E337D0" w:rsidRDefault="004D03F3" w:rsidP="004D03F3">
            <w:pPr>
              <w:jc w:val="center"/>
              <w:rPr>
                <w:rFonts w:asciiTheme="minorHAnsi" w:hAnsiTheme="minorHAnsi"/>
                <w:b/>
                <w:bCs/>
                <w:sz w:val="22"/>
                <w:szCs w:val="22"/>
              </w:rPr>
            </w:pPr>
            <w:r w:rsidRPr="00E337D0">
              <w:rPr>
                <w:rFonts w:asciiTheme="minorHAnsi" w:hAnsiTheme="minorHAnsi"/>
                <w:b/>
                <w:bCs/>
                <w:sz w:val="22"/>
                <w:szCs w:val="22"/>
              </w:rPr>
              <w:t>2012</w:t>
            </w:r>
          </w:p>
        </w:tc>
        <w:tc>
          <w:tcPr>
            <w:tcW w:w="1822" w:type="dxa"/>
          </w:tcPr>
          <w:p w:rsidR="00153962" w:rsidRPr="00E337D0" w:rsidRDefault="00153962" w:rsidP="00153962">
            <w:pPr>
              <w:jc w:val="center"/>
              <w:rPr>
                <w:rFonts w:asciiTheme="minorHAnsi" w:hAnsiTheme="minorHAnsi"/>
                <w:b/>
                <w:bCs/>
                <w:sz w:val="22"/>
                <w:szCs w:val="22"/>
              </w:rPr>
            </w:pPr>
            <w:r w:rsidRPr="00E337D0">
              <w:rPr>
                <w:rFonts w:asciiTheme="minorHAnsi" w:hAnsiTheme="minorHAnsi"/>
                <w:b/>
                <w:bCs/>
                <w:sz w:val="22"/>
                <w:szCs w:val="22"/>
              </w:rPr>
              <w:t>Schválený rozpočet</w:t>
            </w:r>
          </w:p>
          <w:p w:rsidR="00756F62" w:rsidRPr="00E337D0" w:rsidRDefault="004D03F3" w:rsidP="004D03F3">
            <w:pPr>
              <w:jc w:val="center"/>
              <w:rPr>
                <w:rFonts w:asciiTheme="minorHAnsi" w:hAnsiTheme="minorHAnsi"/>
                <w:b/>
                <w:bCs/>
                <w:sz w:val="22"/>
                <w:szCs w:val="22"/>
              </w:rPr>
            </w:pPr>
            <w:r w:rsidRPr="00E337D0">
              <w:rPr>
                <w:rFonts w:asciiTheme="minorHAnsi" w:hAnsiTheme="minorHAnsi"/>
                <w:b/>
                <w:bCs/>
                <w:sz w:val="22"/>
                <w:szCs w:val="22"/>
              </w:rPr>
              <w:t>2013</w:t>
            </w:r>
          </w:p>
        </w:tc>
        <w:tc>
          <w:tcPr>
            <w:tcW w:w="1822" w:type="dxa"/>
          </w:tcPr>
          <w:p w:rsidR="00153962" w:rsidRPr="00E337D0" w:rsidRDefault="00153962" w:rsidP="00153962">
            <w:pPr>
              <w:jc w:val="center"/>
              <w:rPr>
                <w:rFonts w:asciiTheme="minorHAnsi" w:hAnsiTheme="minorHAnsi"/>
                <w:b/>
                <w:bCs/>
                <w:sz w:val="22"/>
                <w:szCs w:val="22"/>
              </w:rPr>
            </w:pPr>
            <w:r w:rsidRPr="00E337D0">
              <w:rPr>
                <w:rFonts w:asciiTheme="minorHAnsi" w:hAnsiTheme="minorHAnsi"/>
                <w:b/>
                <w:bCs/>
                <w:sz w:val="22"/>
                <w:szCs w:val="22"/>
              </w:rPr>
              <w:t>Schválený rozpočet</w:t>
            </w:r>
          </w:p>
          <w:p w:rsidR="00756F62" w:rsidRPr="00E337D0" w:rsidRDefault="004D03F3" w:rsidP="004D03F3">
            <w:pPr>
              <w:jc w:val="center"/>
              <w:rPr>
                <w:rFonts w:asciiTheme="minorHAnsi" w:hAnsiTheme="minorHAnsi"/>
                <w:b/>
                <w:bCs/>
                <w:sz w:val="22"/>
                <w:szCs w:val="22"/>
              </w:rPr>
            </w:pPr>
            <w:r w:rsidRPr="00E337D0">
              <w:rPr>
                <w:rFonts w:asciiTheme="minorHAnsi" w:hAnsiTheme="minorHAnsi"/>
                <w:b/>
                <w:bCs/>
                <w:sz w:val="22"/>
                <w:szCs w:val="22"/>
              </w:rPr>
              <w:t>2014</w:t>
            </w:r>
          </w:p>
        </w:tc>
        <w:tc>
          <w:tcPr>
            <w:tcW w:w="1822" w:type="dxa"/>
          </w:tcPr>
          <w:p w:rsidR="00756F62" w:rsidRPr="00E337D0" w:rsidRDefault="00756F62">
            <w:pPr>
              <w:jc w:val="center"/>
              <w:rPr>
                <w:rFonts w:asciiTheme="minorHAnsi" w:hAnsiTheme="minorHAnsi"/>
                <w:b/>
                <w:bCs/>
                <w:sz w:val="22"/>
                <w:szCs w:val="22"/>
              </w:rPr>
            </w:pPr>
            <w:r w:rsidRPr="00E337D0">
              <w:rPr>
                <w:rFonts w:asciiTheme="minorHAnsi" w:hAnsiTheme="minorHAnsi"/>
                <w:b/>
                <w:bCs/>
                <w:sz w:val="22"/>
                <w:szCs w:val="22"/>
              </w:rPr>
              <w:t xml:space="preserve">Návrh rozpočtu </w:t>
            </w:r>
          </w:p>
          <w:p w:rsidR="00756F62" w:rsidRPr="00E337D0" w:rsidRDefault="004D03F3">
            <w:pPr>
              <w:jc w:val="center"/>
              <w:rPr>
                <w:rFonts w:asciiTheme="minorHAnsi" w:hAnsiTheme="minorHAnsi"/>
                <w:b/>
                <w:bCs/>
                <w:sz w:val="22"/>
                <w:szCs w:val="22"/>
              </w:rPr>
            </w:pPr>
            <w:r w:rsidRPr="00E337D0">
              <w:rPr>
                <w:rFonts w:asciiTheme="minorHAnsi" w:hAnsiTheme="minorHAnsi"/>
                <w:b/>
                <w:bCs/>
                <w:sz w:val="22"/>
                <w:szCs w:val="22"/>
              </w:rPr>
              <w:t>201</w:t>
            </w:r>
            <w:r w:rsidR="00756F62" w:rsidRPr="00E337D0">
              <w:rPr>
                <w:rFonts w:asciiTheme="minorHAnsi" w:hAnsiTheme="minorHAnsi"/>
                <w:b/>
                <w:bCs/>
                <w:sz w:val="22"/>
                <w:szCs w:val="22"/>
              </w:rPr>
              <w:t>5</w:t>
            </w:r>
          </w:p>
        </w:tc>
      </w:tr>
      <w:tr w:rsidR="00153962" w:rsidRPr="00E337D0" w:rsidTr="00153962">
        <w:tc>
          <w:tcPr>
            <w:tcW w:w="1925" w:type="dxa"/>
          </w:tcPr>
          <w:p w:rsidR="00153962" w:rsidRPr="00E337D0" w:rsidRDefault="00153962" w:rsidP="00153962">
            <w:pPr>
              <w:jc w:val="both"/>
              <w:rPr>
                <w:rFonts w:asciiTheme="minorHAnsi" w:hAnsiTheme="minorHAnsi"/>
                <w:sz w:val="22"/>
                <w:szCs w:val="22"/>
              </w:rPr>
            </w:pPr>
            <w:r w:rsidRPr="00E337D0">
              <w:rPr>
                <w:rFonts w:asciiTheme="minorHAnsi" w:hAnsiTheme="minorHAnsi"/>
                <w:sz w:val="22"/>
                <w:szCs w:val="22"/>
              </w:rPr>
              <w:t>Daňové příjmy</w:t>
            </w:r>
          </w:p>
        </w:tc>
        <w:tc>
          <w:tcPr>
            <w:tcW w:w="1821"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546 225,00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581 260,00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567 403,00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590 943,00</w:t>
            </w:r>
          </w:p>
        </w:tc>
      </w:tr>
      <w:tr w:rsidR="00153962" w:rsidRPr="00E337D0" w:rsidTr="00153962">
        <w:tc>
          <w:tcPr>
            <w:tcW w:w="1925" w:type="dxa"/>
          </w:tcPr>
          <w:p w:rsidR="00153962" w:rsidRPr="00E337D0" w:rsidRDefault="00153962" w:rsidP="00153962">
            <w:pPr>
              <w:jc w:val="both"/>
              <w:rPr>
                <w:rFonts w:asciiTheme="minorHAnsi" w:hAnsiTheme="minorHAnsi"/>
                <w:sz w:val="22"/>
                <w:szCs w:val="22"/>
              </w:rPr>
            </w:pPr>
            <w:r w:rsidRPr="00E337D0">
              <w:rPr>
                <w:rFonts w:asciiTheme="minorHAnsi" w:hAnsiTheme="minorHAnsi"/>
                <w:sz w:val="22"/>
                <w:szCs w:val="22"/>
              </w:rPr>
              <w:t>Nedaňové příjmy</w:t>
            </w:r>
          </w:p>
        </w:tc>
        <w:tc>
          <w:tcPr>
            <w:tcW w:w="1821"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568 320,00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616 500,00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210 947,00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248 555,00</w:t>
            </w:r>
          </w:p>
        </w:tc>
      </w:tr>
      <w:tr w:rsidR="00153962" w:rsidRPr="00E337D0" w:rsidTr="00153962">
        <w:tc>
          <w:tcPr>
            <w:tcW w:w="1925" w:type="dxa"/>
          </w:tcPr>
          <w:p w:rsidR="00153962" w:rsidRPr="00E337D0" w:rsidRDefault="00153962" w:rsidP="00153962">
            <w:pPr>
              <w:jc w:val="both"/>
              <w:rPr>
                <w:rFonts w:asciiTheme="minorHAnsi" w:hAnsiTheme="minorHAnsi"/>
                <w:sz w:val="22"/>
                <w:szCs w:val="22"/>
              </w:rPr>
            </w:pPr>
            <w:r w:rsidRPr="00E337D0">
              <w:rPr>
                <w:rFonts w:asciiTheme="minorHAnsi" w:hAnsiTheme="minorHAnsi"/>
                <w:sz w:val="22"/>
                <w:szCs w:val="22"/>
              </w:rPr>
              <w:t>Kapitálové příjmy</w:t>
            </w:r>
          </w:p>
        </w:tc>
        <w:tc>
          <w:tcPr>
            <w:tcW w:w="1821"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30 000,00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14 850,00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10 450,00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12 550,00</w:t>
            </w:r>
          </w:p>
        </w:tc>
      </w:tr>
      <w:tr w:rsidR="00153962" w:rsidRPr="00E337D0" w:rsidTr="00153962">
        <w:tc>
          <w:tcPr>
            <w:tcW w:w="1925" w:type="dxa"/>
          </w:tcPr>
          <w:p w:rsidR="00153962" w:rsidRPr="00E337D0" w:rsidRDefault="00153962" w:rsidP="00153962">
            <w:pPr>
              <w:jc w:val="both"/>
              <w:rPr>
                <w:rFonts w:asciiTheme="minorHAnsi" w:hAnsiTheme="minorHAnsi"/>
                <w:sz w:val="22"/>
                <w:szCs w:val="22"/>
              </w:rPr>
            </w:pPr>
            <w:r w:rsidRPr="00E337D0">
              <w:rPr>
                <w:rFonts w:asciiTheme="minorHAnsi" w:hAnsiTheme="minorHAnsi"/>
                <w:sz w:val="22"/>
                <w:szCs w:val="22"/>
              </w:rPr>
              <w:t>Přijaté dotace</w:t>
            </w:r>
          </w:p>
        </w:tc>
        <w:tc>
          <w:tcPr>
            <w:tcW w:w="1821"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253 250,00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41 527,00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41 527,00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41 447,00</w:t>
            </w:r>
          </w:p>
        </w:tc>
      </w:tr>
      <w:tr w:rsidR="00153962" w:rsidRPr="00E337D0" w:rsidTr="00153962">
        <w:tc>
          <w:tcPr>
            <w:tcW w:w="1925" w:type="dxa"/>
          </w:tcPr>
          <w:p w:rsidR="00153962" w:rsidRPr="00E337D0" w:rsidRDefault="00153962" w:rsidP="00153962">
            <w:pPr>
              <w:jc w:val="both"/>
              <w:rPr>
                <w:rFonts w:asciiTheme="minorHAnsi" w:hAnsiTheme="minorHAnsi"/>
                <w:sz w:val="22"/>
                <w:szCs w:val="22"/>
              </w:rPr>
            </w:pPr>
            <w:r w:rsidRPr="00E337D0">
              <w:rPr>
                <w:rFonts w:asciiTheme="minorHAnsi" w:hAnsiTheme="minorHAnsi"/>
                <w:sz w:val="22"/>
                <w:szCs w:val="22"/>
              </w:rPr>
              <w:t>Úhrn příjmů</w:t>
            </w:r>
          </w:p>
        </w:tc>
        <w:tc>
          <w:tcPr>
            <w:tcW w:w="1821"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1 397 795,00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1 254 137,00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830 327,00</w:t>
            </w:r>
          </w:p>
        </w:tc>
        <w:tc>
          <w:tcPr>
            <w:tcW w:w="1822" w:type="dxa"/>
            <w:vAlign w:val="center"/>
          </w:tcPr>
          <w:p w:rsidR="00153962" w:rsidRPr="00E337D0" w:rsidRDefault="00153962" w:rsidP="00153962">
            <w:pPr>
              <w:jc w:val="right"/>
              <w:rPr>
                <w:rFonts w:asciiTheme="minorHAnsi" w:hAnsiTheme="minorHAnsi"/>
                <w:sz w:val="22"/>
                <w:szCs w:val="22"/>
              </w:rPr>
            </w:pPr>
            <w:r w:rsidRPr="00E337D0">
              <w:rPr>
                <w:rFonts w:asciiTheme="minorHAnsi" w:hAnsiTheme="minorHAnsi"/>
                <w:sz w:val="22"/>
                <w:szCs w:val="22"/>
              </w:rPr>
              <w:t>893 495,00</w:t>
            </w:r>
          </w:p>
        </w:tc>
      </w:tr>
    </w:tbl>
    <w:p w:rsidR="00756F62" w:rsidRPr="00E337D0" w:rsidRDefault="00756F62">
      <w:pPr>
        <w:jc w:val="both"/>
        <w:rPr>
          <w:rFonts w:asciiTheme="minorHAnsi" w:hAnsiTheme="minorHAnsi"/>
          <w:sz w:val="22"/>
          <w:szCs w:val="22"/>
        </w:rPr>
      </w:pPr>
      <w:r w:rsidRPr="00E337D0">
        <w:rPr>
          <w:rFonts w:asciiTheme="minorHAnsi" w:hAnsiTheme="minorHAnsi"/>
          <w:sz w:val="22"/>
          <w:szCs w:val="22"/>
        </w:rPr>
        <w:tab/>
      </w:r>
    </w:p>
    <w:p w:rsidR="00756F62" w:rsidRPr="00E337D0" w:rsidRDefault="00756F62">
      <w:pPr>
        <w:jc w:val="both"/>
        <w:rPr>
          <w:rFonts w:asciiTheme="minorHAnsi" w:hAnsiTheme="minorHAnsi"/>
          <w:sz w:val="22"/>
          <w:szCs w:val="22"/>
        </w:rPr>
      </w:pPr>
    </w:p>
    <w:p w:rsidR="00756F62" w:rsidRPr="00E337D0" w:rsidRDefault="00756F62">
      <w:pPr>
        <w:ind w:firstLine="708"/>
        <w:jc w:val="both"/>
        <w:rPr>
          <w:rFonts w:asciiTheme="minorHAnsi" w:hAnsiTheme="minorHAnsi"/>
          <w:b/>
          <w:bCs/>
          <w:sz w:val="22"/>
          <w:szCs w:val="22"/>
        </w:rPr>
      </w:pPr>
      <w:r w:rsidRPr="00E337D0">
        <w:rPr>
          <w:rFonts w:asciiTheme="minorHAnsi" w:hAnsiTheme="minorHAnsi"/>
          <w:sz w:val="22"/>
          <w:szCs w:val="22"/>
        </w:rPr>
        <w:t xml:space="preserve">První rozpočtová třída zahrnuje </w:t>
      </w:r>
      <w:r w:rsidRPr="00E337D0">
        <w:rPr>
          <w:rFonts w:asciiTheme="minorHAnsi" w:hAnsiTheme="minorHAnsi"/>
          <w:sz w:val="22"/>
          <w:szCs w:val="22"/>
          <w:u w:val="single"/>
        </w:rPr>
        <w:t>příjmy daňové</w:t>
      </w:r>
      <w:r w:rsidRPr="00E337D0">
        <w:rPr>
          <w:rFonts w:asciiTheme="minorHAnsi" w:hAnsiTheme="minorHAnsi"/>
          <w:sz w:val="22"/>
          <w:szCs w:val="22"/>
        </w:rPr>
        <w:t xml:space="preserve">, které dosahují v rozpočtu </w:t>
      </w:r>
      <w:r w:rsidR="004D03F3" w:rsidRPr="00E337D0">
        <w:rPr>
          <w:rFonts w:asciiTheme="minorHAnsi" w:hAnsiTheme="minorHAnsi"/>
          <w:sz w:val="22"/>
          <w:szCs w:val="22"/>
        </w:rPr>
        <w:t>města pro rok 201</w:t>
      </w:r>
      <w:r w:rsidRPr="00E337D0">
        <w:rPr>
          <w:rFonts w:asciiTheme="minorHAnsi" w:hAnsiTheme="minorHAnsi"/>
          <w:sz w:val="22"/>
          <w:szCs w:val="22"/>
        </w:rPr>
        <w:t xml:space="preserve">5 celkové výše  </w:t>
      </w:r>
      <w:r w:rsidR="00153962" w:rsidRPr="00E337D0">
        <w:rPr>
          <w:rFonts w:asciiTheme="minorHAnsi" w:hAnsiTheme="minorHAnsi"/>
          <w:b/>
          <w:sz w:val="22"/>
          <w:szCs w:val="22"/>
        </w:rPr>
        <w:t>590 943</w:t>
      </w:r>
      <w:r w:rsidRPr="00E337D0">
        <w:rPr>
          <w:rFonts w:asciiTheme="minorHAnsi" w:hAnsiTheme="minorHAnsi"/>
          <w:b/>
          <w:bCs/>
          <w:sz w:val="22"/>
          <w:szCs w:val="22"/>
        </w:rPr>
        <w:t>,0 tis. Kč.</w:t>
      </w:r>
    </w:p>
    <w:p w:rsidR="00756F62" w:rsidRPr="00E337D0" w:rsidRDefault="00756F62">
      <w:pPr>
        <w:jc w:val="both"/>
        <w:rPr>
          <w:rFonts w:asciiTheme="minorHAnsi" w:hAnsiTheme="minorHAnsi"/>
          <w:b/>
          <w:bCs/>
          <w:sz w:val="22"/>
          <w:szCs w:val="22"/>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ab/>
        <w:t xml:space="preserve">Návrh rozpočtu daňových příjmů </w:t>
      </w:r>
      <w:r w:rsidR="004D03F3" w:rsidRPr="00E337D0">
        <w:rPr>
          <w:rFonts w:asciiTheme="minorHAnsi" w:hAnsiTheme="minorHAnsi"/>
          <w:sz w:val="22"/>
          <w:szCs w:val="22"/>
        </w:rPr>
        <w:t>statutárního města Chomutova pro rok 2015</w:t>
      </w:r>
      <w:r w:rsidRPr="00E337D0">
        <w:rPr>
          <w:rFonts w:asciiTheme="minorHAnsi" w:hAnsiTheme="minorHAnsi"/>
          <w:sz w:val="22"/>
          <w:szCs w:val="22"/>
        </w:rPr>
        <w:t xml:space="preserve"> vychází ze zákona</w:t>
      </w:r>
      <w:r w:rsidR="004D03F3" w:rsidRPr="00E337D0">
        <w:rPr>
          <w:rFonts w:asciiTheme="minorHAnsi" w:hAnsiTheme="minorHAnsi"/>
          <w:sz w:val="22"/>
          <w:szCs w:val="22"/>
        </w:rPr>
        <w:t xml:space="preserve"> č</w:t>
      </w:r>
      <w:r w:rsidRPr="00E337D0">
        <w:rPr>
          <w:rFonts w:asciiTheme="minorHAnsi" w:hAnsiTheme="minorHAnsi"/>
          <w:sz w:val="22"/>
          <w:szCs w:val="22"/>
        </w:rPr>
        <w:t>. 243/2000 Sb., o rozpočtovém určení výnosů některých daní územním samosprávným celkům a některým státním fondům (zákon o rozpočtovém určení daní), ve znění pozdějších předpisů</w:t>
      </w:r>
      <w:r w:rsidR="004D03F3" w:rsidRPr="00E337D0">
        <w:rPr>
          <w:rFonts w:asciiTheme="minorHAnsi" w:hAnsiTheme="minorHAnsi"/>
          <w:sz w:val="22"/>
          <w:szCs w:val="22"/>
        </w:rPr>
        <w:t>).</w:t>
      </w:r>
    </w:p>
    <w:p w:rsidR="00756F62" w:rsidRPr="00E337D0" w:rsidRDefault="00756F62">
      <w:pPr>
        <w:jc w:val="both"/>
        <w:rPr>
          <w:rFonts w:asciiTheme="minorHAnsi" w:hAnsiTheme="minorHAnsi"/>
          <w:sz w:val="22"/>
          <w:szCs w:val="22"/>
        </w:rPr>
      </w:pPr>
    </w:p>
    <w:p w:rsidR="00756F62" w:rsidRPr="00E337D0" w:rsidRDefault="00756F62">
      <w:pPr>
        <w:ind w:firstLine="708"/>
        <w:jc w:val="both"/>
        <w:rPr>
          <w:rFonts w:asciiTheme="minorHAnsi" w:hAnsiTheme="minorHAnsi"/>
          <w:sz w:val="22"/>
          <w:szCs w:val="22"/>
        </w:rPr>
      </w:pPr>
      <w:r w:rsidRPr="00E337D0">
        <w:rPr>
          <w:rFonts w:asciiTheme="minorHAnsi" w:hAnsiTheme="minorHAnsi"/>
          <w:sz w:val="22"/>
          <w:szCs w:val="22"/>
        </w:rPr>
        <w:t>Při sta</w:t>
      </w:r>
      <w:r w:rsidR="004D03F3" w:rsidRPr="00E337D0">
        <w:rPr>
          <w:rFonts w:asciiTheme="minorHAnsi" w:hAnsiTheme="minorHAnsi"/>
          <w:sz w:val="22"/>
          <w:szCs w:val="22"/>
        </w:rPr>
        <w:t>novení návrhu rozpočtu na r. 201</w:t>
      </w:r>
      <w:r w:rsidRPr="00E337D0">
        <w:rPr>
          <w:rFonts w:asciiTheme="minorHAnsi" w:hAnsiTheme="minorHAnsi"/>
          <w:sz w:val="22"/>
          <w:szCs w:val="22"/>
        </w:rPr>
        <w:t>5 se vycházelo z</w:t>
      </w:r>
      <w:r w:rsidR="004D03F3" w:rsidRPr="00E337D0">
        <w:rPr>
          <w:rFonts w:asciiTheme="minorHAnsi" w:hAnsiTheme="minorHAnsi"/>
          <w:sz w:val="22"/>
          <w:szCs w:val="22"/>
        </w:rPr>
        <w:t>e skutečnosti roku 2014, která zohlednila</w:t>
      </w:r>
      <w:r w:rsidRPr="00E337D0">
        <w:rPr>
          <w:rFonts w:asciiTheme="minorHAnsi" w:hAnsiTheme="minorHAnsi"/>
          <w:sz w:val="22"/>
          <w:szCs w:val="22"/>
        </w:rPr>
        <w:t xml:space="preserve"> jak vývoj plnění daní v</w:t>
      </w:r>
      <w:r w:rsidR="001A088F" w:rsidRPr="00E337D0">
        <w:rPr>
          <w:rFonts w:asciiTheme="minorHAnsi" w:hAnsiTheme="minorHAnsi"/>
          <w:sz w:val="22"/>
          <w:szCs w:val="22"/>
        </w:rPr>
        <w:t xml:space="preserve"> prvních 10 měsících </w:t>
      </w:r>
      <w:r w:rsidRPr="00E337D0">
        <w:rPr>
          <w:rFonts w:asciiTheme="minorHAnsi" w:hAnsiTheme="minorHAnsi"/>
          <w:sz w:val="22"/>
          <w:szCs w:val="22"/>
        </w:rPr>
        <w:t>roku 20</w:t>
      </w:r>
      <w:r w:rsidR="004D03F3" w:rsidRPr="00E337D0">
        <w:rPr>
          <w:rFonts w:asciiTheme="minorHAnsi" w:hAnsiTheme="minorHAnsi"/>
          <w:sz w:val="22"/>
          <w:szCs w:val="22"/>
        </w:rPr>
        <w:t>1</w:t>
      </w:r>
      <w:r w:rsidRPr="00E337D0">
        <w:rPr>
          <w:rFonts w:asciiTheme="minorHAnsi" w:hAnsiTheme="minorHAnsi"/>
          <w:sz w:val="22"/>
          <w:szCs w:val="22"/>
        </w:rPr>
        <w:t xml:space="preserve">4, tak </w:t>
      </w:r>
      <w:r w:rsidR="004D03F3" w:rsidRPr="00E337D0">
        <w:rPr>
          <w:rFonts w:asciiTheme="minorHAnsi" w:hAnsiTheme="minorHAnsi"/>
          <w:sz w:val="22"/>
          <w:szCs w:val="22"/>
        </w:rPr>
        <w:t>očekávaného výnosu daní pro rok 2015 (indexace dle střednědobého výhledu státu). Celkové výnosy byly mírně podhodnoceny z důvodu,</w:t>
      </w:r>
      <w:r w:rsidR="007A4F52" w:rsidRPr="00E337D0">
        <w:rPr>
          <w:rFonts w:asciiTheme="minorHAnsi" w:hAnsiTheme="minorHAnsi"/>
          <w:sz w:val="22"/>
          <w:szCs w:val="22"/>
        </w:rPr>
        <w:t xml:space="preserve"> </w:t>
      </w:r>
      <w:r w:rsidR="004D03F3" w:rsidRPr="00E337D0">
        <w:rPr>
          <w:rFonts w:asciiTheme="minorHAnsi" w:hAnsiTheme="minorHAnsi"/>
          <w:sz w:val="22"/>
          <w:szCs w:val="22"/>
        </w:rPr>
        <w:t>kdy neumíme odhadnou</w:t>
      </w:r>
      <w:r w:rsidR="001A088F" w:rsidRPr="00E337D0">
        <w:rPr>
          <w:rFonts w:asciiTheme="minorHAnsi" w:hAnsiTheme="minorHAnsi"/>
          <w:sz w:val="22"/>
          <w:szCs w:val="22"/>
        </w:rPr>
        <w:t>t</w:t>
      </w:r>
      <w:r w:rsidR="007A25CB">
        <w:rPr>
          <w:rFonts w:asciiTheme="minorHAnsi" w:hAnsiTheme="minorHAnsi"/>
          <w:sz w:val="22"/>
          <w:szCs w:val="22"/>
        </w:rPr>
        <w:t>,</w:t>
      </w:r>
      <w:r w:rsidR="004D03F3" w:rsidRPr="00E337D0">
        <w:rPr>
          <w:rFonts w:asciiTheme="minorHAnsi" w:hAnsiTheme="minorHAnsi"/>
          <w:sz w:val="22"/>
          <w:szCs w:val="22"/>
        </w:rPr>
        <w:t xml:space="preserve"> co přinese třetí sazba daně z přidané hodnoty</w:t>
      </w:r>
      <w:r w:rsidR="007A25CB">
        <w:rPr>
          <w:rFonts w:asciiTheme="minorHAnsi" w:hAnsiTheme="minorHAnsi"/>
          <w:sz w:val="22"/>
          <w:szCs w:val="22"/>
        </w:rPr>
        <w:t>,</w:t>
      </w:r>
      <w:r w:rsidR="004D03F3" w:rsidRPr="00E337D0">
        <w:rPr>
          <w:rFonts w:asciiTheme="minorHAnsi" w:hAnsiTheme="minorHAnsi"/>
          <w:sz w:val="22"/>
          <w:szCs w:val="22"/>
        </w:rPr>
        <w:t xml:space="preserve"> a</w:t>
      </w:r>
      <w:r w:rsidR="000F34D6" w:rsidRPr="00E337D0">
        <w:rPr>
          <w:rFonts w:asciiTheme="minorHAnsi" w:hAnsiTheme="minorHAnsi"/>
          <w:sz w:val="22"/>
          <w:szCs w:val="22"/>
        </w:rPr>
        <w:t xml:space="preserve"> změny ve slevách u poplatníků daní z příjmů.</w:t>
      </w:r>
    </w:p>
    <w:p w:rsidR="00756F62" w:rsidRPr="00E337D0" w:rsidRDefault="00756F62">
      <w:pPr>
        <w:jc w:val="both"/>
        <w:rPr>
          <w:rFonts w:asciiTheme="minorHAnsi" w:hAnsiTheme="minorHAnsi"/>
          <w:sz w:val="22"/>
          <w:szCs w:val="22"/>
        </w:rPr>
      </w:pPr>
    </w:p>
    <w:p w:rsidR="00756F62" w:rsidRPr="00E337D0" w:rsidRDefault="00756F62">
      <w:pPr>
        <w:jc w:val="center"/>
        <w:rPr>
          <w:rFonts w:asciiTheme="minorHAnsi" w:hAnsiTheme="minorHAnsi"/>
          <w:sz w:val="22"/>
          <w:szCs w:val="22"/>
          <w:u w:val="single"/>
        </w:rPr>
      </w:pPr>
      <w:r w:rsidRPr="00E337D0">
        <w:rPr>
          <w:rFonts w:asciiTheme="minorHAnsi" w:hAnsiTheme="minorHAnsi"/>
          <w:sz w:val="22"/>
          <w:szCs w:val="22"/>
          <w:u w:val="single"/>
        </w:rPr>
        <w:t xml:space="preserve">Návrh rozpočtu jednotlivých položek </w:t>
      </w:r>
      <w:r w:rsidR="000F34D6" w:rsidRPr="00E337D0">
        <w:rPr>
          <w:rFonts w:asciiTheme="minorHAnsi" w:hAnsiTheme="minorHAnsi"/>
          <w:sz w:val="22"/>
          <w:szCs w:val="22"/>
          <w:u w:val="single"/>
        </w:rPr>
        <w:t>statutárního města Chomutova pro rok</w:t>
      </w:r>
      <w:r w:rsidRPr="00E337D0">
        <w:rPr>
          <w:rFonts w:asciiTheme="minorHAnsi" w:hAnsiTheme="minorHAnsi"/>
          <w:sz w:val="22"/>
          <w:szCs w:val="22"/>
          <w:u w:val="single"/>
        </w:rPr>
        <w:t xml:space="preserve"> 20</w:t>
      </w:r>
      <w:r w:rsidR="000F34D6" w:rsidRPr="00E337D0">
        <w:rPr>
          <w:rFonts w:asciiTheme="minorHAnsi" w:hAnsiTheme="minorHAnsi"/>
          <w:sz w:val="22"/>
          <w:szCs w:val="22"/>
          <w:u w:val="single"/>
        </w:rPr>
        <w:t>1</w:t>
      </w:r>
      <w:r w:rsidRPr="00E337D0">
        <w:rPr>
          <w:rFonts w:asciiTheme="minorHAnsi" w:hAnsiTheme="minorHAnsi"/>
          <w:sz w:val="22"/>
          <w:szCs w:val="22"/>
          <w:u w:val="single"/>
        </w:rPr>
        <w:t>5</w:t>
      </w:r>
    </w:p>
    <w:p w:rsidR="00756F62" w:rsidRPr="00E337D0" w:rsidRDefault="00756F62">
      <w:pPr>
        <w:jc w:val="both"/>
        <w:rPr>
          <w:rFonts w:asciiTheme="minorHAnsi" w:hAnsiTheme="minorHAnsi"/>
          <w:sz w:val="22"/>
          <w:szCs w:val="22"/>
          <w:u w:val="single"/>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 xml:space="preserve">1) </w:t>
      </w:r>
      <w:r w:rsidR="001A088F" w:rsidRPr="00E337D0">
        <w:rPr>
          <w:rFonts w:asciiTheme="minorHAnsi" w:hAnsiTheme="minorHAnsi"/>
          <w:sz w:val="22"/>
          <w:szCs w:val="22"/>
        </w:rPr>
        <w:t>Sdílené daně</w:t>
      </w:r>
    </w:p>
    <w:p w:rsidR="00756F62" w:rsidRPr="00E337D0" w:rsidRDefault="00756F62">
      <w:pPr>
        <w:jc w:val="both"/>
        <w:rPr>
          <w:rFonts w:asciiTheme="minorHAnsi" w:hAnsiTheme="minorHAnsi"/>
          <w:sz w:val="22"/>
          <w:szCs w:val="22"/>
        </w:rPr>
      </w:pPr>
    </w:p>
    <w:p w:rsidR="00756F62" w:rsidRPr="00E337D0" w:rsidRDefault="00756F62">
      <w:pPr>
        <w:ind w:firstLine="708"/>
        <w:jc w:val="both"/>
        <w:rPr>
          <w:rFonts w:asciiTheme="minorHAnsi" w:hAnsiTheme="minorHAnsi"/>
          <w:sz w:val="22"/>
          <w:szCs w:val="22"/>
        </w:rPr>
      </w:pPr>
      <w:r w:rsidRPr="00E337D0">
        <w:rPr>
          <w:rFonts w:asciiTheme="minorHAnsi" w:hAnsiTheme="minorHAnsi"/>
          <w:sz w:val="22"/>
          <w:szCs w:val="22"/>
        </w:rPr>
        <w:t xml:space="preserve">Do rozpočtu </w:t>
      </w:r>
      <w:r w:rsidR="000F34D6" w:rsidRPr="00E337D0">
        <w:rPr>
          <w:rFonts w:asciiTheme="minorHAnsi" w:hAnsiTheme="minorHAnsi"/>
          <w:sz w:val="22"/>
          <w:szCs w:val="22"/>
        </w:rPr>
        <w:t>statutárního města Chomutova</w:t>
      </w:r>
      <w:r w:rsidRPr="00E337D0">
        <w:rPr>
          <w:rFonts w:asciiTheme="minorHAnsi" w:hAnsiTheme="minorHAnsi"/>
          <w:sz w:val="22"/>
          <w:szCs w:val="22"/>
        </w:rPr>
        <w:t xml:space="preserve"> jsou podle výše uvedených zákonů převáděny z celostátních výnosů podíly na stanoveném procentu dle koeficientu, a to</w:t>
      </w:r>
    </w:p>
    <w:p w:rsidR="00756F62" w:rsidRPr="00E337D0" w:rsidRDefault="00756F62" w:rsidP="000F34D6">
      <w:pPr>
        <w:numPr>
          <w:ilvl w:val="0"/>
          <w:numId w:val="5"/>
        </w:numPr>
        <w:jc w:val="both"/>
        <w:rPr>
          <w:rFonts w:asciiTheme="minorHAnsi" w:hAnsiTheme="minorHAnsi"/>
          <w:sz w:val="22"/>
          <w:szCs w:val="22"/>
        </w:rPr>
      </w:pPr>
      <w:r w:rsidRPr="00E337D0">
        <w:rPr>
          <w:rFonts w:asciiTheme="minorHAnsi" w:hAnsiTheme="minorHAnsi"/>
          <w:sz w:val="22"/>
          <w:szCs w:val="22"/>
        </w:rPr>
        <w:t>daně z příjmů fyzických osob ze závislé činnosti</w:t>
      </w:r>
    </w:p>
    <w:p w:rsidR="00756F62" w:rsidRPr="00E337D0" w:rsidRDefault="00756F62" w:rsidP="000F34D6">
      <w:pPr>
        <w:numPr>
          <w:ilvl w:val="0"/>
          <w:numId w:val="5"/>
        </w:numPr>
        <w:jc w:val="both"/>
        <w:rPr>
          <w:rFonts w:asciiTheme="minorHAnsi" w:hAnsiTheme="minorHAnsi"/>
          <w:sz w:val="22"/>
          <w:szCs w:val="22"/>
        </w:rPr>
      </w:pPr>
      <w:r w:rsidRPr="00E337D0">
        <w:rPr>
          <w:rFonts w:asciiTheme="minorHAnsi" w:hAnsiTheme="minorHAnsi"/>
          <w:sz w:val="22"/>
          <w:szCs w:val="22"/>
        </w:rPr>
        <w:t>daně z příjmů fyzických osob z podnikání</w:t>
      </w:r>
    </w:p>
    <w:p w:rsidR="00756F62" w:rsidRPr="00E337D0" w:rsidRDefault="00756F62" w:rsidP="000F34D6">
      <w:pPr>
        <w:numPr>
          <w:ilvl w:val="0"/>
          <w:numId w:val="5"/>
        </w:numPr>
        <w:jc w:val="both"/>
        <w:rPr>
          <w:rFonts w:asciiTheme="minorHAnsi" w:hAnsiTheme="minorHAnsi"/>
          <w:sz w:val="22"/>
          <w:szCs w:val="22"/>
        </w:rPr>
      </w:pPr>
      <w:r w:rsidRPr="00E337D0">
        <w:rPr>
          <w:rFonts w:asciiTheme="minorHAnsi" w:hAnsiTheme="minorHAnsi"/>
          <w:sz w:val="22"/>
          <w:szCs w:val="22"/>
        </w:rPr>
        <w:t>daně z příjmů fyzických osob vybírané srážkou</w:t>
      </w:r>
    </w:p>
    <w:p w:rsidR="001A088F" w:rsidRPr="00E337D0" w:rsidRDefault="000F34D6" w:rsidP="001A088F">
      <w:pPr>
        <w:numPr>
          <w:ilvl w:val="0"/>
          <w:numId w:val="5"/>
        </w:numPr>
        <w:jc w:val="both"/>
        <w:rPr>
          <w:rFonts w:asciiTheme="minorHAnsi" w:hAnsiTheme="minorHAnsi"/>
          <w:sz w:val="22"/>
          <w:szCs w:val="22"/>
        </w:rPr>
      </w:pPr>
      <w:r w:rsidRPr="00E337D0">
        <w:rPr>
          <w:rFonts w:asciiTheme="minorHAnsi" w:hAnsiTheme="minorHAnsi"/>
          <w:sz w:val="22"/>
          <w:szCs w:val="22"/>
        </w:rPr>
        <w:t>motivační složka 30% daně z příjmů osob s trvalým pobytem v</w:t>
      </w:r>
      <w:r w:rsidR="001A088F" w:rsidRPr="00E337D0">
        <w:rPr>
          <w:rFonts w:asciiTheme="minorHAnsi" w:hAnsiTheme="minorHAnsi"/>
          <w:sz w:val="22"/>
          <w:szCs w:val="22"/>
        </w:rPr>
        <w:t> </w:t>
      </w:r>
      <w:r w:rsidRPr="00E337D0">
        <w:rPr>
          <w:rFonts w:asciiTheme="minorHAnsi" w:hAnsiTheme="minorHAnsi"/>
          <w:sz w:val="22"/>
          <w:szCs w:val="22"/>
        </w:rPr>
        <w:t>Chomutově</w:t>
      </w:r>
    </w:p>
    <w:p w:rsidR="001A088F" w:rsidRPr="00E337D0" w:rsidRDefault="001A088F" w:rsidP="001A088F">
      <w:pPr>
        <w:numPr>
          <w:ilvl w:val="0"/>
          <w:numId w:val="5"/>
        </w:numPr>
        <w:jc w:val="both"/>
        <w:rPr>
          <w:rFonts w:asciiTheme="minorHAnsi" w:hAnsiTheme="minorHAnsi"/>
          <w:sz w:val="22"/>
          <w:szCs w:val="22"/>
        </w:rPr>
      </w:pPr>
      <w:r w:rsidRPr="00E337D0">
        <w:rPr>
          <w:rFonts w:asciiTheme="minorHAnsi" w:hAnsiTheme="minorHAnsi"/>
          <w:sz w:val="22"/>
          <w:szCs w:val="22"/>
        </w:rPr>
        <w:t>d</w:t>
      </w:r>
      <w:r w:rsidR="00756F62" w:rsidRPr="00E337D0">
        <w:rPr>
          <w:rFonts w:asciiTheme="minorHAnsi" w:hAnsiTheme="minorHAnsi"/>
          <w:sz w:val="22"/>
          <w:szCs w:val="22"/>
        </w:rPr>
        <w:t>aň z příjmů právnických osob</w:t>
      </w:r>
    </w:p>
    <w:p w:rsidR="00756F62" w:rsidRPr="00E337D0" w:rsidRDefault="001A088F" w:rsidP="001A088F">
      <w:pPr>
        <w:numPr>
          <w:ilvl w:val="0"/>
          <w:numId w:val="5"/>
        </w:numPr>
        <w:jc w:val="both"/>
        <w:rPr>
          <w:rFonts w:asciiTheme="minorHAnsi" w:hAnsiTheme="minorHAnsi"/>
          <w:sz w:val="22"/>
          <w:szCs w:val="22"/>
        </w:rPr>
      </w:pPr>
      <w:r w:rsidRPr="00E337D0">
        <w:rPr>
          <w:rFonts w:asciiTheme="minorHAnsi" w:hAnsiTheme="minorHAnsi"/>
          <w:sz w:val="22"/>
          <w:szCs w:val="22"/>
        </w:rPr>
        <w:t>d</w:t>
      </w:r>
      <w:r w:rsidR="00756F62" w:rsidRPr="00E337D0">
        <w:rPr>
          <w:rFonts w:asciiTheme="minorHAnsi" w:hAnsiTheme="minorHAnsi"/>
          <w:sz w:val="22"/>
          <w:szCs w:val="22"/>
        </w:rPr>
        <w:t>aň z přidané hodnoty</w:t>
      </w:r>
    </w:p>
    <w:p w:rsidR="001A088F" w:rsidRDefault="001A088F" w:rsidP="001A088F">
      <w:pPr>
        <w:numPr>
          <w:ilvl w:val="0"/>
          <w:numId w:val="5"/>
        </w:numPr>
        <w:jc w:val="both"/>
        <w:rPr>
          <w:rFonts w:asciiTheme="minorHAnsi" w:hAnsiTheme="minorHAnsi"/>
          <w:sz w:val="22"/>
          <w:szCs w:val="22"/>
        </w:rPr>
      </w:pPr>
      <w:r w:rsidRPr="00E337D0">
        <w:rPr>
          <w:rFonts w:asciiTheme="minorHAnsi" w:hAnsiTheme="minorHAnsi"/>
          <w:sz w:val="22"/>
          <w:szCs w:val="22"/>
        </w:rPr>
        <w:t>daň z nabytí nemovitých věcí</w:t>
      </w:r>
    </w:p>
    <w:p w:rsidR="00E337D0" w:rsidRDefault="00E337D0" w:rsidP="00E337D0">
      <w:pPr>
        <w:jc w:val="both"/>
        <w:rPr>
          <w:rFonts w:asciiTheme="minorHAnsi" w:hAnsiTheme="minorHAnsi"/>
          <w:sz w:val="22"/>
          <w:szCs w:val="22"/>
        </w:rPr>
      </w:pPr>
    </w:p>
    <w:p w:rsidR="00E337D0" w:rsidRPr="00E337D0" w:rsidRDefault="00E337D0" w:rsidP="00E337D0">
      <w:pPr>
        <w:jc w:val="both"/>
        <w:rPr>
          <w:rFonts w:asciiTheme="minorHAnsi" w:hAnsiTheme="minorHAnsi"/>
          <w:sz w:val="22"/>
          <w:szCs w:val="22"/>
        </w:rPr>
      </w:pPr>
    </w:p>
    <w:tbl>
      <w:tblPr>
        <w:tblStyle w:val="Mkatabulky"/>
        <w:tblW w:w="0" w:type="auto"/>
        <w:tblLook w:val="04A0" w:firstRow="1" w:lastRow="0" w:firstColumn="1" w:lastColumn="0" w:noHBand="0" w:noVBand="1"/>
      </w:tblPr>
      <w:tblGrid>
        <w:gridCol w:w="4494"/>
        <w:gridCol w:w="941"/>
        <w:gridCol w:w="941"/>
        <w:gridCol w:w="941"/>
        <w:gridCol w:w="941"/>
        <w:gridCol w:w="673"/>
      </w:tblGrid>
      <w:tr w:rsidR="001A088F" w:rsidRPr="00E337D0" w:rsidTr="001A088F">
        <w:trPr>
          <w:trHeight w:val="240"/>
        </w:trPr>
        <w:tc>
          <w:tcPr>
            <w:tcW w:w="0" w:type="auto"/>
            <w:hideMark/>
          </w:tcPr>
          <w:p w:rsidR="001A088F" w:rsidRPr="00E337D0" w:rsidRDefault="001A088F" w:rsidP="001A088F">
            <w:pPr>
              <w:rPr>
                <w:rFonts w:asciiTheme="minorHAnsi" w:eastAsia="Times New Roman" w:hAnsiTheme="minorHAnsi"/>
                <w:b/>
                <w:bCs/>
                <w:sz w:val="20"/>
                <w:szCs w:val="22"/>
              </w:rPr>
            </w:pPr>
            <w:r w:rsidRPr="00E337D0">
              <w:rPr>
                <w:rFonts w:asciiTheme="minorHAnsi" w:eastAsia="Times New Roman" w:hAnsiTheme="minorHAnsi"/>
                <w:b/>
                <w:bCs/>
                <w:sz w:val="20"/>
                <w:szCs w:val="22"/>
              </w:rPr>
              <w:t>Název položky</w:t>
            </w:r>
          </w:p>
        </w:tc>
        <w:tc>
          <w:tcPr>
            <w:tcW w:w="0" w:type="auto"/>
            <w:hideMark/>
          </w:tcPr>
          <w:p w:rsidR="001A088F" w:rsidRPr="00E337D0" w:rsidRDefault="001B2330" w:rsidP="001B2330">
            <w:pPr>
              <w:rPr>
                <w:rFonts w:asciiTheme="minorHAnsi" w:eastAsia="Times New Roman" w:hAnsiTheme="minorHAnsi"/>
                <w:b/>
                <w:bCs/>
                <w:sz w:val="20"/>
                <w:szCs w:val="22"/>
              </w:rPr>
            </w:pPr>
            <w:r w:rsidRPr="00E337D0">
              <w:rPr>
                <w:rFonts w:asciiTheme="minorHAnsi" w:eastAsia="Times New Roman" w:hAnsiTheme="minorHAnsi"/>
                <w:b/>
                <w:bCs/>
                <w:sz w:val="20"/>
                <w:szCs w:val="22"/>
              </w:rPr>
              <w:t>S</w:t>
            </w:r>
            <w:r w:rsidR="001A088F" w:rsidRPr="00E337D0">
              <w:rPr>
                <w:rFonts w:asciiTheme="minorHAnsi" w:eastAsia="Times New Roman" w:hAnsiTheme="minorHAnsi"/>
                <w:b/>
                <w:bCs/>
                <w:sz w:val="20"/>
                <w:szCs w:val="22"/>
              </w:rPr>
              <w:t>R 2012</w:t>
            </w:r>
          </w:p>
        </w:tc>
        <w:tc>
          <w:tcPr>
            <w:tcW w:w="0" w:type="auto"/>
            <w:hideMark/>
          </w:tcPr>
          <w:p w:rsidR="001A088F" w:rsidRPr="00E337D0" w:rsidRDefault="001A088F" w:rsidP="001A088F">
            <w:pPr>
              <w:rPr>
                <w:rFonts w:asciiTheme="minorHAnsi" w:eastAsia="Times New Roman" w:hAnsiTheme="minorHAnsi"/>
                <w:b/>
                <w:bCs/>
                <w:sz w:val="20"/>
                <w:szCs w:val="22"/>
              </w:rPr>
            </w:pPr>
            <w:r w:rsidRPr="00E337D0">
              <w:rPr>
                <w:rFonts w:asciiTheme="minorHAnsi" w:eastAsia="Times New Roman" w:hAnsiTheme="minorHAnsi"/>
                <w:b/>
                <w:bCs/>
                <w:sz w:val="20"/>
                <w:szCs w:val="22"/>
              </w:rPr>
              <w:t>S</w:t>
            </w:r>
            <w:r w:rsidR="001B2330" w:rsidRPr="00E337D0">
              <w:rPr>
                <w:rFonts w:asciiTheme="minorHAnsi" w:eastAsia="Times New Roman" w:hAnsiTheme="minorHAnsi"/>
                <w:b/>
                <w:bCs/>
                <w:sz w:val="20"/>
                <w:szCs w:val="22"/>
              </w:rPr>
              <w:t>R</w:t>
            </w:r>
            <w:r w:rsidRPr="00E337D0">
              <w:rPr>
                <w:rFonts w:asciiTheme="minorHAnsi" w:eastAsia="Times New Roman" w:hAnsiTheme="minorHAnsi"/>
                <w:b/>
                <w:bCs/>
                <w:sz w:val="20"/>
                <w:szCs w:val="22"/>
              </w:rPr>
              <w:t xml:space="preserve"> 2013</w:t>
            </w:r>
          </w:p>
        </w:tc>
        <w:tc>
          <w:tcPr>
            <w:tcW w:w="0" w:type="auto"/>
            <w:hideMark/>
          </w:tcPr>
          <w:p w:rsidR="001A088F" w:rsidRPr="00E337D0" w:rsidRDefault="001A088F" w:rsidP="001A088F">
            <w:pPr>
              <w:rPr>
                <w:rFonts w:asciiTheme="minorHAnsi" w:eastAsia="Times New Roman" w:hAnsiTheme="minorHAnsi"/>
                <w:b/>
                <w:bCs/>
                <w:sz w:val="20"/>
                <w:szCs w:val="22"/>
              </w:rPr>
            </w:pPr>
            <w:r w:rsidRPr="00E337D0">
              <w:rPr>
                <w:rFonts w:asciiTheme="minorHAnsi" w:eastAsia="Times New Roman" w:hAnsiTheme="minorHAnsi"/>
                <w:b/>
                <w:bCs/>
                <w:sz w:val="20"/>
                <w:szCs w:val="22"/>
              </w:rPr>
              <w:t>S</w:t>
            </w:r>
            <w:r w:rsidR="001B2330" w:rsidRPr="00E337D0">
              <w:rPr>
                <w:rFonts w:asciiTheme="minorHAnsi" w:eastAsia="Times New Roman" w:hAnsiTheme="minorHAnsi"/>
                <w:b/>
                <w:bCs/>
                <w:sz w:val="20"/>
                <w:szCs w:val="22"/>
              </w:rPr>
              <w:t>R</w:t>
            </w:r>
            <w:r w:rsidRPr="00E337D0">
              <w:rPr>
                <w:rFonts w:asciiTheme="minorHAnsi" w:eastAsia="Times New Roman" w:hAnsiTheme="minorHAnsi"/>
                <w:b/>
                <w:bCs/>
                <w:sz w:val="20"/>
                <w:szCs w:val="22"/>
              </w:rPr>
              <w:t xml:space="preserve"> 2014</w:t>
            </w:r>
          </w:p>
        </w:tc>
        <w:tc>
          <w:tcPr>
            <w:tcW w:w="0" w:type="auto"/>
            <w:hideMark/>
          </w:tcPr>
          <w:p w:rsidR="001A088F" w:rsidRPr="00E337D0" w:rsidRDefault="001A088F" w:rsidP="001A088F">
            <w:pPr>
              <w:rPr>
                <w:rFonts w:asciiTheme="minorHAnsi" w:eastAsia="Times New Roman" w:hAnsiTheme="minorHAnsi"/>
                <w:b/>
                <w:bCs/>
                <w:sz w:val="20"/>
                <w:szCs w:val="22"/>
              </w:rPr>
            </w:pPr>
            <w:r w:rsidRPr="00E337D0">
              <w:rPr>
                <w:rFonts w:asciiTheme="minorHAnsi" w:eastAsia="Times New Roman" w:hAnsiTheme="minorHAnsi"/>
                <w:b/>
                <w:bCs/>
                <w:sz w:val="20"/>
                <w:szCs w:val="22"/>
              </w:rPr>
              <w:t>N</w:t>
            </w:r>
            <w:r w:rsidR="001B2330" w:rsidRPr="00E337D0">
              <w:rPr>
                <w:rFonts w:asciiTheme="minorHAnsi" w:eastAsia="Times New Roman" w:hAnsiTheme="minorHAnsi"/>
                <w:b/>
                <w:bCs/>
                <w:sz w:val="20"/>
                <w:szCs w:val="22"/>
              </w:rPr>
              <w:t>R</w:t>
            </w:r>
            <w:r w:rsidRPr="00E337D0">
              <w:rPr>
                <w:rFonts w:asciiTheme="minorHAnsi" w:eastAsia="Times New Roman" w:hAnsiTheme="minorHAnsi"/>
                <w:b/>
                <w:bCs/>
                <w:sz w:val="20"/>
                <w:szCs w:val="22"/>
              </w:rPr>
              <w:t xml:space="preserve"> 2015 </w:t>
            </w:r>
          </w:p>
        </w:tc>
        <w:tc>
          <w:tcPr>
            <w:tcW w:w="0" w:type="auto"/>
            <w:noWrap/>
            <w:hideMark/>
          </w:tcPr>
          <w:p w:rsidR="001A088F" w:rsidRPr="00E337D0" w:rsidRDefault="001A088F" w:rsidP="001A088F">
            <w:pPr>
              <w:rPr>
                <w:rFonts w:asciiTheme="minorHAnsi" w:eastAsia="Times New Roman" w:hAnsiTheme="minorHAnsi"/>
                <w:b/>
                <w:bCs/>
                <w:sz w:val="20"/>
                <w:szCs w:val="22"/>
              </w:rPr>
            </w:pPr>
            <w:r w:rsidRPr="00E337D0">
              <w:rPr>
                <w:rFonts w:asciiTheme="minorHAnsi" w:eastAsia="Times New Roman" w:hAnsiTheme="minorHAnsi"/>
                <w:b/>
                <w:bCs/>
                <w:sz w:val="20"/>
                <w:szCs w:val="22"/>
              </w:rPr>
              <w:t>index</w:t>
            </w:r>
          </w:p>
        </w:tc>
      </w:tr>
      <w:tr w:rsidR="001A088F" w:rsidRPr="00E337D0" w:rsidTr="001A088F">
        <w:trPr>
          <w:trHeight w:val="255"/>
        </w:trPr>
        <w:tc>
          <w:tcPr>
            <w:tcW w:w="0" w:type="auto"/>
            <w:noWrap/>
            <w:hideMark/>
          </w:tcPr>
          <w:p w:rsidR="001A088F" w:rsidRPr="007A25CB" w:rsidRDefault="001A088F" w:rsidP="001A088F">
            <w:pPr>
              <w:rPr>
                <w:rFonts w:asciiTheme="minorHAnsi" w:eastAsia="Times New Roman" w:hAnsiTheme="minorHAnsi"/>
                <w:sz w:val="16"/>
                <w:szCs w:val="18"/>
              </w:rPr>
            </w:pPr>
            <w:r w:rsidRPr="007A25CB">
              <w:rPr>
                <w:rFonts w:asciiTheme="minorHAnsi" w:eastAsia="Times New Roman" w:hAnsiTheme="minorHAnsi"/>
                <w:sz w:val="16"/>
                <w:szCs w:val="18"/>
              </w:rPr>
              <w:t>Daň z příjmů fyzických osob ze závislé činnosti a funkčních požitků</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105 200,00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105 200,00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107 650,00</w:t>
            </w:r>
          </w:p>
        </w:tc>
        <w:tc>
          <w:tcPr>
            <w:tcW w:w="0" w:type="auto"/>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118 254,00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1,09</w:t>
            </w:r>
          </w:p>
        </w:tc>
      </w:tr>
      <w:tr w:rsidR="001A088F" w:rsidRPr="00E337D0" w:rsidTr="001A088F">
        <w:trPr>
          <w:trHeight w:val="255"/>
        </w:trPr>
        <w:tc>
          <w:tcPr>
            <w:tcW w:w="0" w:type="auto"/>
            <w:noWrap/>
            <w:hideMark/>
          </w:tcPr>
          <w:p w:rsidR="001A088F" w:rsidRPr="007A25CB" w:rsidRDefault="001A088F" w:rsidP="001A088F">
            <w:pPr>
              <w:rPr>
                <w:rFonts w:asciiTheme="minorHAnsi" w:eastAsia="Times New Roman" w:hAnsiTheme="minorHAnsi"/>
                <w:sz w:val="16"/>
                <w:szCs w:val="18"/>
              </w:rPr>
            </w:pPr>
            <w:r w:rsidRPr="007A25CB">
              <w:rPr>
                <w:rFonts w:asciiTheme="minorHAnsi" w:eastAsia="Times New Roman" w:hAnsiTheme="minorHAnsi"/>
                <w:sz w:val="16"/>
                <w:szCs w:val="18"/>
              </w:rPr>
              <w:t>Daň z příjmů fyzických osob ze samostatné výdělečné činnosti</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11 900,00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11 900,00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11 900,00</w:t>
            </w:r>
          </w:p>
        </w:tc>
        <w:tc>
          <w:tcPr>
            <w:tcW w:w="0" w:type="auto"/>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11 347,00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0,95</w:t>
            </w:r>
          </w:p>
        </w:tc>
      </w:tr>
      <w:tr w:rsidR="001A088F" w:rsidRPr="00E337D0" w:rsidTr="001A088F">
        <w:trPr>
          <w:trHeight w:val="255"/>
        </w:trPr>
        <w:tc>
          <w:tcPr>
            <w:tcW w:w="0" w:type="auto"/>
            <w:noWrap/>
            <w:hideMark/>
          </w:tcPr>
          <w:p w:rsidR="001A088F" w:rsidRPr="007A25CB" w:rsidRDefault="001A088F" w:rsidP="001A088F">
            <w:pPr>
              <w:rPr>
                <w:rFonts w:asciiTheme="minorHAnsi" w:eastAsia="Times New Roman" w:hAnsiTheme="minorHAnsi"/>
                <w:sz w:val="16"/>
                <w:szCs w:val="18"/>
              </w:rPr>
            </w:pPr>
            <w:r w:rsidRPr="007A25CB">
              <w:rPr>
                <w:rFonts w:asciiTheme="minorHAnsi" w:eastAsia="Times New Roman" w:hAnsiTheme="minorHAnsi"/>
                <w:sz w:val="16"/>
                <w:szCs w:val="18"/>
              </w:rPr>
              <w:t>Daň z příjmů fyzických osob z kapitálových výnosů</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9 400,00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9 400,00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9 400,00</w:t>
            </w:r>
          </w:p>
        </w:tc>
        <w:tc>
          <w:tcPr>
            <w:tcW w:w="0" w:type="auto"/>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9 797,00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1,04</w:t>
            </w:r>
          </w:p>
        </w:tc>
      </w:tr>
      <w:tr w:rsidR="001A088F" w:rsidRPr="00E337D0" w:rsidTr="001A088F">
        <w:trPr>
          <w:trHeight w:val="255"/>
        </w:trPr>
        <w:tc>
          <w:tcPr>
            <w:tcW w:w="0" w:type="auto"/>
            <w:noWrap/>
            <w:hideMark/>
          </w:tcPr>
          <w:p w:rsidR="001A088F" w:rsidRPr="007A25CB" w:rsidRDefault="001A088F" w:rsidP="001A088F">
            <w:pPr>
              <w:rPr>
                <w:rFonts w:asciiTheme="minorHAnsi" w:eastAsia="Times New Roman" w:hAnsiTheme="minorHAnsi"/>
                <w:sz w:val="16"/>
                <w:szCs w:val="18"/>
              </w:rPr>
            </w:pPr>
            <w:r w:rsidRPr="007A25CB">
              <w:rPr>
                <w:rFonts w:asciiTheme="minorHAnsi" w:eastAsia="Times New Roman" w:hAnsiTheme="minorHAnsi"/>
                <w:sz w:val="16"/>
                <w:szCs w:val="18"/>
              </w:rPr>
              <w:t>Daň z příjmů právnických osob</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99 300,00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99 300,00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99 300,00</w:t>
            </w:r>
          </w:p>
        </w:tc>
        <w:tc>
          <w:tcPr>
            <w:tcW w:w="0" w:type="auto"/>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108 260,00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1,09</w:t>
            </w:r>
          </w:p>
        </w:tc>
      </w:tr>
      <w:tr w:rsidR="001A088F" w:rsidRPr="00E337D0" w:rsidTr="001A088F">
        <w:trPr>
          <w:trHeight w:val="255"/>
        </w:trPr>
        <w:tc>
          <w:tcPr>
            <w:tcW w:w="0" w:type="auto"/>
            <w:noWrap/>
            <w:hideMark/>
          </w:tcPr>
          <w:p w:rsidR="001A088F" w:rsidRPr="007A25CB" w:rsidRDefault="001A088F" w:rsidP="001A088F">
            <w:pPr>
              <w:rPr>
                <w:rFonts w:asciiTheme="minorHAnsi" w:eastAsia="Times New Roman" w:hAnsiTheme="minorHAnsi"/>
                <w:sz w:val="16"/>
                <w:szCs w:val="18"/>
              </w:rPr>
            </w:pPr>
            <w:r w:rsidRPr="007A25CB">
              <w:rPr>
                <w:rFonts w:asciiTheme="minorHAnsi" w:eastAsia="Times New Roman" w:hAnsiTheme="minorHAnsi"/>
                <w:sz w:val="16"/>
                <w:szCs w:val="18"/>
              </w:rPr>
              <w:t>Daň z přidané hodnoty</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223 100,00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223 100,00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229 703,00</w:t>
            </w:r>
          </w:p>
        </w:tc>
        <w:tc>
          <w:tcPr>
            <w:tcW w:w="0" w:type="auto"/>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238 920,00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1,04</w:t>
            </w:r>
          </w:p>
        </w:tc>
      </w:tr>
      <w:tr w:rsidR="001A088F" w:rsidRPr="00E337D0" w:rsidTr="001A088F">
        <w:trPr>
          <w:trHeight w:val="255"/>
        </w:trPr>
        <w:tc>
          <w:tcPr>
            <w:tcW w:w="0" w:type="auto"/>
            <w:noWrap/>
            <w:hideMark/>
          </w:tcPr>
          <w:p w:rsidR="001A088F" w:rsidRPr="007A25CB" w:rsidRDefault="001A088F" w:rsidP="001A088F">
            <w:pPr>
              <w:rPr>
                <w:rFonts w:asciiTheme="minorHAnsi" w:eastAsia="Times New Roman" w:hAnsiTheme="minorHAnsi"/>
                <w:sz w:val="16"/>
                <w:szCs w:val="18"/>
              </w:rPr>
            </w:pPr>
            <w:r w:rsidRPr="007A25CB">
              <w:rPr>
                <w:rFonts w:asciiTheme="minorHAnsi" w:eastAsia="Times New Roman" w:hAnsiTheme="minorHAnsi"/>
                <w:sz w:val="16"/>
                <w:szCs w:val="18"/>
              </w:rPr>
              <w:t>Daň z nemovitých věcí</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32 160,00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60 000,00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60 000,00</w:t>
            </w:r>
          </w:p>
        </w:tc>
        <w:tc>
          <w:tcPr>
            <w:tcW w:w="0" w:type="auto"/>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63 315,00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1,05</w:t>
            </w:r>
          </w:p>
        </w:tc>
      </w:tr>
      <w:tr w:rsidR="001A088F" w:rsidRPr="00E337D0" w:rsidTr="001A088F">
        <w:trPr>
          <w:trHeight w:val="255"/>
        </w:trPr>
        <w:tc>
          <w:tcPr>
            <w:tcW w:w="0" w:type="auto"/>
            <w:noWrap/>
            <w:hideMark/>
          </w:tcPr>
          <w:p w:rsidR="001A088F" w:rsidRPr="007A25CB" w:rsidRDefault="001A088F" w:rsidP="001A088F">
            <w:pPr>
              <w:jc w:val="right"/>
              <w:rPr>
                <w:rFonts w:asciiTheme="minorHAnsi" w:eastAsia="Times New Roman" w:hAnsiTheme="minorHAnsi"/>
                <w:sz w:val="16"/>
                <w:szCs w:val="18"/>
              </w:rPr>
            </w:pP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481 060,00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508 900,00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517 953,00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549 893,00</w:t>
            </w:r>
          </w:p>
        </w:tc>
        <w:tc>
          <w:tcPr>
            <w:tcW w:w="0" w:type="auto"/>
            <w:noWrap/>
            <w:hideMark/>
          </w:tcPr>
          <w:p w:rsidR="001A088F" w:rsidRPr="007A25CB" w:rsidRDefault="001A088F" w:rsidP="001A088F">
            <w:pPr>
              <w:jc w:val="right"/>
              <w:rPr>
                <w:rFonts w:asciiTheme="minorHAnsi" w:eastAsia="Times New Roman" w:hAnsiTheme="minorHAnsi"/>
                <w:sz w:val="16"/>
                <w:szCs w:val="18"/>
              </w:rPr>
            </w:pPr>
            <w:r w:rsidRPr="007A25CB">
              <w:rPr>
                <w:rFonts w:asciiTheme="minorHAnsi" w:eastAsia="Times New Roman" w:hAnsiTheme="minorHAnsi"/>
                <w:sz w:val="16"/>
                <w:szCs w:val="18"/>
              </w:rPr>
              <w:t>1,06</w:t>
            </w:r>
          </w:p>
        </w:tc>
      </w:tr>
    </w:tbl>
    <w:p w:rsidR="00756F62" w:rsidRPr="00E337D0" w:rsidRDefault="00756F62">
      <w:pPr>
        <w:jc w:val="both"/>
        <w:rPr>
          <w:rFonts w:asciiTheme="minorHAnsi" w:hAnsiTheme="minorHAnsi"/>
          <w:sz w:val="22"/>
          <w:szCs w:val="22"/>
        </w:rPr>
      </w:pPr>
    </w:p>
    <w:p w:rsidR="001A088F" w:rsidRPr="00E337D0" w:rsidRDefault="001A088F">
      <w:pPr>
        <w:jc w:val="both"/>
        <w:rPr>
          <w:rFonts w:asciiTheme="minorHAnsi" w:hAnsiTheme="minorHAnsi"/>
          <w:sz w:val="22"/>
          <w:szCs w:val="22"/>
        </w:rPr>
      </w:pPr>
      <w:r w:rsidRPr="00E337D0">
        <w:rPr>
          <w:rFonts w:asciiTheme="minorHAnsi" w:hAnsiTheme="minorHAnsi"/>
          <w:sz w:val="22"/>
          <w:szCs w:val="22"/>
        </w:rPr>
        <w:t xml:space="preserve">Celkově je u sdílených daní navržen nárůst ve výši 6%, a to zejména díky </w:t>
      </w:r>
      <w:r w:rsidR="001B2330" w:rsidRPr="00E337D0">
        <w:rPr>
          <w:rFonts w:asciiTheme="minorHAnsi" w:hAnsiTheme="minorHAnsi"/>
          <w:sz w:val="22"/>
          <w:szCs w:val="22"/>
        </w:rPr>
        <w:t xml:space="preserve">velmi </w:t>
      </w:r>
      <w:r w:rsidRPr="00E337D0">
        <w:rPr>
          <w:rFonts w:asciiTheme="minorHAnsi" w:hAnsiTheme="minorHAnsi"/>
          <w:sz w:val="22"/>
          <w:szCs w:val="22"/>
        </w:rPr>
        <w:t>příznivému plnění v roce 2014</w:t>
      </w:r>
      <w:r w:rsidR="001B2330" w:rsidRPr="00E337D0">
        <w:rPr>
          <w:rFonts w:asciiTheme="minorHAnsi" w:hAnsiTheme="minorHAnsi"/>
          <w:sz w:val="22"/>
          <w:szCs w:val="22"/>
        </w:rPr>
        <w:t xml:space="preserve"> (návrh byl výrazněji podhodnocen)</w:t>
      </w:r>
      <w:r w:rsidRPr="00E337D0">
        <w:rPr>
          <w:rFonts w:asciiTheme="minorHAnsi" w:hAnsiTheme="minorHAnsi"/>
          <w:sz w:val="22"/>
          <w:szCs w:val="22"/>
        </w:rPr>
        <w:t xml:space="preserve">. </w:t>
      </w:r>
      <w:r w:rsidR="001B2330" w:rsidRPr="00E337D0">
        <w:rPr>
          <w:rFonts w:asciiTheme="minorHAnsi" w:hAnsiTheme="minorHAnsi"/>
          <w:sz w:val="22"/>
          <w:szCs w:val="22"/>
        </w:rPr>
        <w:t>Příznivější plnění lze</w:t>
      </w:r>
      <w:r w:rsidRPr="00E337D0">
        <w:rPr>
          <w:rFonts w:asciiTheme="minorHAnsi" w:hAnsiTheme="minorHAnsi"/>
          <w:sz w:val="22"/>
          <w:szCs w:val="22"/>
        </w:rPr>
        <w:t xml:space="preserve"> očekávat </w:t>
      </w:r>
      <w:r w:rsidR="001B2330" w:rsidRPr="00E337D0">
        <w:rPr>
          <w:rFonts w:asciiTheme="minorHAnsi" w:hAnsiTheme="minorHAnsi"/>
          <w:sz w:val="22"/>
          <w:szCs w:val="22"/>
        </w:rPr>
        <w:t xml:space="preserve">zejména </w:t>
      </w:r>
      <w:r w:rsidRPr="00E337D0">
        <w:rPr>
          <w:rFonts w:asciiTheme="minorHAnsi" w:hAnsiTheme="minorHAnsi"/>
          <w:sz w:val="22"/>
          <w:szCs w:val="22"/>
        </w:rPr>
        <w:t xml:space="preserve">u daně z příjmu fyzických osob </w:t>
      </w:r>
      <w:r w:rsidR="001B2330" w:rsidRPr="00E337D0">
        <w:rPr>
          <w:rFonts w:asciiTheme="minorHAnsi" w:hAnsiTheme="minorHAnsi"/>
          <w:sz w:val="22"/>
          <w:szCs w:val="22"/>
        </w:rPr>
        <w:t>ze závislé činnosti, daně z přidané hodnoty a daně z nemovitých věcí</w:t>
      </w:r>
      <w:r w:rsidRPr="00E337D0">
        <w:rPr>
          <w:rFonts w:asciiTheme="minorHAnsi" w:hAnsiTheme="minorHAnsi"/>
          <w:sz w:val="22"/>
          <w:szCs w:val="22"/>
        </w:rPr>
        <w:t xml:space="preserve">, kde skutečnost roku 2014 výrazně předčila </w:t>
      </w:r>
      <w:r w:rsidR="001B2330" w:rsidRPr="00E337D0">
        <w:rPr>
          <w:rFonts w:asciiTheme="minorHAnsi" w:hAnsiTheme="minorHAnsi"/>
          <w:sz w:val="22"/>
          <w:szCs w:val="22"/>
        </w:rPr>
        <w:t>návrh rozpočtu tohoto roku. Případné zlepšené plnění bude zapojeno formou rozpočtového opatření. Objem navržených prostředků koresponduje na schválený rozpočtový výhled.</w:t>
      </w:r>
    </w:p>
    <w:p w:rsidR="00756F62" w:rsidRPr="00E337D0" w:rsidRDefault="00756F62">
      <w:pPr>
        <w:jc w:val="both"/>
        <w:rPr>
          <w:rFonts w:asciiTheme="minorHAnsi" w:hAnsiTheme="minorHAnsi"/>
          <w:sz w:val="22"/>
          <w:szCs w:val="22"/>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4) Místní poplatky</w:t>
      </w:r>
    </w:p>
    <w:p w:rsidR="00756F62" w:rsidRPr="00E337D0" w:rsidRDefault="00756F62">
      <w:pPr>
        <w:jc w:val="both"/>
        <w:rPr>
          <w:rFonts w:asciiTheme="minorHAnsi" w:hAnsiTheme="minorHAnsi"/>
          <w:sz w:val="22"/>
          <w:szCs w:val="22"/>
        </w:rPr>
      </w:pPr>
    </w:p>
    <w:p w:rsidR="001B2330" w:rsidRPr="00E337D0" w:rsidRDefault="001B2330" w:rsidP="001B2330">
      <w:pPr>
        <w:ind w:firstLine="708"/>
        <w:jc w:val="both"/>
        <w:rPr>
          <w:rFonts w:asciiTheme="minorHAnsi" w:hAnsiTheme="minorHAnsi"/>
          <w:sz w:val="22"/>
          <w:szCs w:val="22"/>
        </w:rPr>
      </w:pPr>
      <w:r w:rsidRPr="00E337D0">
        <w:rPr>
          <w:rFonts w:asciiTheme="minorHAnsi" w:hAnsiTheme="minorHAnsi"/>
          <w:sz w:val="22"/>
          <w:szCs w:val="22"/>
        </w:rPr>
        <w:t>Návrh rozpočtu na r. 201</w:t>
      </w:r>
      <w:r w:rsidR="00756F62" w:rsidRPr="00E337D0">
        <w:rPr>
          <w:rFonts w:asciiTheme="minorHAnsi" w:hAnsiTheme="minorHAnsi"/>
          <w:sz w:val="22"/>
          <w:szCs w:val="22"/>
        </w:rPr>
        <w:t>5 vychází z očekávané sk</w:t>
      </w:r>
      <w:r w:rsidRPr="00E337D0">
        <w:rPr>
          <w:rFonts w:asciiTheme="minorHAnsi" w:hAnsiTheme="minorHAnsi"/>
          <w:sz w:val="22"/>
          <w:szCs w:val="22"/>
        </w:rPr>
        <w:t>utečnosti výběru poplatků r. 201</w:t>
      </w:r>
      <w:r w:rsidR="00756F62" w:rsidRPr="00E337D0">
        <w:rPr>
          <w:rFonts w:asciiTheme="minorHAnsi" w:hAnsiTheme="minorHAnsi"/>
          <w:sz w:val="22"/>
          <w:szCs w:val="22"/>
        </w:rPr>
        <w:t xml:space="preserve">4, </w:t>
      </w:r>
      <w:r w:rsidRPr="00E337D0">
        <w:rPr>
          <w:rFonts w:asciiTheme="minorHAnsi" w:hAnsiTheme="minorHAnsi"/>
          <w:sz w:val="22"/>
          <w:szCs w:val="22"/>
        </w:rPr>
        <w:t>současně je o</w:t>
      </w:r>
      <w:r w:rsidR="00756F62" w:rsidRPr="00E337D0">
        <w:rPr>
          <w:rFonts w:asciiTheme="minorHAnsi" w:hAnsiTheme="minorHAnsi"/>
          <w:sz w:val="22"/>
          <w:szCs w:val="22"/>
        </w:rPr>
        <w:t xml:space="preserve">vlivněn dopadem změn vyhlášek </w:t>
      </w:r>
      <w:r w:rsidRPr="00E337D0">
        <w:rPr>
          <w:rFonts w:asciiTheme="minorHAnsi" w:hAnsiTheme="minorHAnsi"/>
          <w:sz w:val="22"/>
          <w:szCs w:val="22"/>
        </w:rPr>
        <w:t>statutárního města Chomutova</w:t>
      </w:r>
      <w:r w:rsidR="00756F62" w:rsidRPr="00E337D0">
        <w:rPr>
          <w:rFonts w:asciiTheme="minorHAnsi" w:hAnsiTheme="minorHAnsi"/>
          <w:sz w:val="22"/>
          <w:szCs w:val="22"/>
        </w:rPr>
        <w:t>, a to</w:t>
      </w:r>
      <w:r w:rsidRPr="00E337D0">
        <w:rPr>
          <w:rFonts w:asciiTheme="minorHAnsi" w:hAnsiTheme="minorHAnsi"/>
          <w:sz w:val="22"/>
          <w:szCs w:val="22"/>
        </w:rPr>
        <w:t xml:space="preserve"> zejména </w:t>
      </w:r>
      <w:r w:rsidR="00756F62" w:rsidRPr="00E337D0">
        <w:rPr>
          <w:rFonts w:asciiTheme="minorHAnsi" w:hAnsiTheme="minorHAnsi"/>
          <w:sz w:val="22"/>
          <w:szCs w:val="22"/>
        </w:rPr>
        <w:t>u místního poplatku z</w:t>
      </w:r>
      <w:r w:rsidRPr="00E337D0">
        <w:rPr>
          <w:rFonts w:asciiTheme="minorHAnsi" w:hAnsiTheme="minorHAnsi"/>
          <w:sz w:val="22"/>
          <w:szCs w:val="22"/>
        </w:rPr>
        <w:t>a komunální odpady</w:t>
      </w:r>
      <w:r w:rsidR="00756F62" w:rsidRPr="00E337D0">
        <w:rPr>
          <w:rFonts w:asciiTheme="minorHAnsi" w:hAnsiTheme="minorHAnsi"/>
          <w:sz w:val="22"/>
          <w:szCs w:val="22"/>
        </w:rPr>
        <w:t>, kde do</w:t>
      </w:r>
      <w:r w:rsidRPr="00E337D0">
        <w:rPr>
          <w:rFonts w:asciiTheme="minorHAnsi" w:hAnsiTheme="minorHAnsi"/>
          <w:sz w:val="22"/>
          <w:szCs w:val="22"/>
        </w:rPr>
        <w:t xml:space="preserve">jde od 1.1.2015 ke snížení sazby ze 456 Kč na 250 Kč osobu a rok. Výše návrhu rozpočtu místních poplatků jako celku činí </w:t>
      </w:r>
      <w:r w:rsidR="00D41F96" w:rsidRPr="00E337D0">
        <w:rPr>
          <w:rFonts w:asciiTheme="minorHAnsi" w:hAnsiTheme="minorHAnsi"/>
          <w:sz w:val="22"/>
          <w:szCs w:val="22"/>
        </w:rPr>
        <w:t xml:space="preserve">16,4 </w:t>
      </w:r>
      <w:r w:rsidRPr="00E337D0">
        <w:rPr>
          <w:rFonts w:asciiTheme="minorHAnsi" w:hAnsiTheme="minorHAnsi"/>
          <w:sz w:val="22"/>
          <w:szCs w:val="22"/>
        </w:rPr>
        <w:t xml:space="preserve">mil. Kč a je </w:t>
      </w:r>
      <w:r w:rsidR="00D41F96" w:rsidRPr="00E337D0">
        <w:rPr>
          <w:rFonts w:asciiTheme="minorHAnsi" w:hAnsiTheme="minorHAnsi"/>
          <w:sz w:val="22"/>
          <w:szCs w:val="22"/>
        </w:rPr>
        <w:t>o 8</w:t>
      </w:r>
      <w:r w:rsidRPr="00E337D0">
        <w:rPr>
          <w:rFonts w:asciiTheme="minorHAnsi" w:hAnsiTheme="minorHAnsi"/>
          <w:sz w:val="22"/>
          <w:szCs w:val="22"/>
        </w:rPr>
        <w:t xml:space="preserve"> mil. Kč </w:t>
      </w:r>
      <w:r w:rsidR="00D41F96" w:rsidRPr="00E337D0">
        <w:rPr>
          <w:rFonts w:asciiTheme="minorHAnsi" w:hAnsiTheme="minorHAnsi"/>
          <w:sz w:val="22"/>
          <w:szCs w:val="22"/>
        </w:rPr>
        <w:t>nižší než schválený rozpočet r. 201</w:t>
      </w:r>
      <w:r w:rsidRPr="00E337D0">
        <w:rPr>
          <w:rFonts w:asciiTheme="minorHAnsi" w:hAnsiTheme="minorHAnsi"/>
          <w:sz w:val="22"/>
          <w:szCs w:val="22"/>
        </w:rPr>
        <w:t>4.</w:t>
      </w:r>
    </w:p>
    <w:p w:rsidR="001B2330" w:rsidRPr="00E337D0" w:rsidRDefault="001B2330">
      <w:pPr>
        <w:ind w:firstLine="708"/>
        <w:jc w:val="both"/>
        <w:rPr>
          <w:rFonts w:asciiTheme="minorHAnsi" w:hAnsiTheme="minorHAnsi"/>
          <w:sz w:val="22"/>
          <w:szCs w:val="22"/>
        </w:rPr>
      </w:pPr>
    </w:p>
    <w:p w:rsidR="001B2330" w:rsidRPr="00E337D0" w:rsidRDefault="001B2330">
      <w:pPr>
        <w:ind w:firstLine="708"/>
        <w:jc w:val="both"/>
        <w:rPr>
          <w:rFonts w:asciiTheme="minorHAnsi" w:hAnsiTheme="minorHAnsi"/>
          <w:sz w:val="22"/>
          <w:szCs w:val="22"/>
        </w:rPr>
      </w:pPr>
    </w:p>
    <w:tbl>
      <w:tblPr>
        <w:tblStyle w:val="Mkatabulky"/>
        <w:tblW w:w="0" w:type="auto"/>
        <w:tblLook w:val="04A0" w:firstRow="1" w:lastRow="0" w:firstColumn="1" w:lastColumn="0" w:noHBand="0" w:noVBand="1"/>
      </w:tblPr>
      <w:tblGrid>
        <w:gridCol w:w="4444"/>
        <w:gridCol w:w="900"/>
        <w:gridCol w:w="900"/>
        <w:gridCol w:w="900"/>
        <w:gridCol w:w="912"/>
        <w:gridCol w:w="673"/>
      </w:tblGrid>
      <w:tr w:rsidR="001B2330" w:rsidRPr="00E337D0" w:rsidTr="00E337D0">
        <w:trPr>
          <w:trHeight w:val="240"/>
        </w:trPr>
        <w:tc>
          <w:tcPr>
            <w:tcW w:w="0" w:type="auto"/>
            <w:hideMark/>
          </w:tcPr>
          <w:p w:rsidR="001B2330" w:rsidRPr="00E337D0" w:rsidRDefault="001B2330" w:rsidP="001B2330">
            <w:pPr>
              <w:rPr>
                <w:rFonts w:asciiTheme="minorHAnsi" w:eastAsia="Times New Roman" w:hAnsiTheme="minorHAnsi"/>
                <w:b/>
                <w:bCs/>
                <w:sz w:val="20"/>
                <w:szCs w:val="22"/>
              </w:rPr>
            </w:pPr>
            <w:r w:rsidRPr="00E337D0">
              <w:rPr>
                <w:rFonts w:asciiTheme="minorHAnsi" w:eastAsia="Times New Roman" w:hAnsiTheme="minorHAnsi"/>
                <w:b/>
                <w:bCs/>
                <w:sz w:val="20"/>
                <w:szCs w:val="22"/>
              </w:rPr>
              <w:t>Název položky</w:t>
            </w:r>
          </w:p>
        </w:tc>
        <w:tc>
          <w:tcPr>
            <w:tcW w:w="0" w:type="auto"/>
            <w:hideMark/>
          </w:tcPr>
          <w:p w:rsidR="001B2330" w:rsidRPr="00E337D0" w:rsidRDefault="001B2330" w:rsidP="001B2330">
            <w:pPr>
              <w:rPr>
                <w:rFonts w:asciiTheme="minorHAnsi" w:eastAsia="Times New Roman" w:hAnsiTheme="minorHAnsi"/>
                <w:b/>
                <w:bCs/>
                <w:sz w:val="20"/>
                <w:szCs w:val="22"/>
              </w:rPr>
            </w:pPr>
            <w:r w:rsidRPr="00E337D0">
              <w:rPr>
                <w:rFonts w:asciiTheme="minorHAnsi" w:eastAsia="Times New Roman" w:hAnsiTheme="minorHAnsi"/>
                <w:b/>
                <w:bCs/>
                <w:sz w:val="20"/>
                <w:szCs w:val="22"/>
              </w:rPr>
              <w:t>SR 2012</w:t>
            </w:r>
          </w:p>
        </w:tc>
        <w:tc>
          <w:tcPr>
            <w:tcW w:w="0" w:type="auto"/>
            <w:hideMark/>
          </w:tcPr>
          <w:p w:rsidR="001B2330" w:rsidRPr="00E337D0" w:rsidRDefault="001B2330" w:rsidP="001B2330">
            <w:pPr>
              <w:rPr>
                <w:rFonts w:asciiTheme="minorHAnsi" w:eastAsia="Times New Roman" w:hAnsiTheme="minorHAnsi"/>
                <w:b/>
                <w:bCs/>
                <w:sz w:val="20"/>
                <w:szCs w:val="22"/>
              </w:rPr>
            </w:pPr>
            <w:r w:rsidRPr="00E337D0">
              <w:rPr>
                <w:rFonts w:asciiTheme="minorHAnsi" w:eastAsia="Times New Roman" w:hAnsiTheme="minorHAnsi"/>
                <w:b/>
                <w:bCs/>
                <w:sz w:val="20"/>
                <w:szCs w:val="22"/>
              </w:rPr>
              <w:t>SR 2013</w:t>
            </w:r>
          </w:p>
        </w:tc>
        <w:tc>
          <w:tcPr>
            <w:tcW w:w="0" w:type="auto"/>
            <w:hideMark/>
          </w:tcPr>
          <w:p w:rsidR="001B2330" w:rsidRPr="00E337D0" w:rsidRDefault="001B2330" w:rsidP="001B2330">
            <w:pPr>
              <w:rPr>
                <w:rFonts w:asciiTheme="minorHAnsi" w:eastAsia="Times New Roman" w:hAnsiTheme="minorHAnsi"/>
                <w:b/>
                <w:bCs/>
                <w:sz w:val="20"/>
                <w:szCs w:val="22"/>
              </w:rPr>
            </w:pPr>
            <w:r w:rsidRPr="00E337D0">
              <w:rPr>
                <w:rFonts w:asciiTheme="minorHAnsi" w:eastAsia="Times New Roman" w:hAnsiTheme="minorHAnsi"/>
                <w:b/>
                <w:bCs/>
                <w:sz w:val="20"/>
                <w:szCs w:val="22"/>
              </w:rPr>
              <w:t>SR 2014</w:t>
            </w:r>
          </w:p>
        </w:tc>
        <w:tc>
          <w:tcPr>
            <w:tcW w:w="0" w:type="auto"/>
            <w:hideMark/>
          </w:tcPr>
          <w:p w:rsidR="001B2330" w:rsidRPr="00E337D0" w:rsidRDefault="001B2330" w:rsidP="001B2330">
            <w:pPr>
              <w:rPr>
                <w:rFonts w:asciiTheme="minorHAnsi" w:eastAsia="Times New Roman" w:hAnsiTheme="minorHAnsi"/>
                <w:b/>
                <w:bCs/>
                <w:sz w:val="20"/>
                <w:szCs w:val="22"/>
              </w:rPr>
            </w:pPr>
            <w:r w:rsidRPr="00E337D0">
              <w:rPr>
                <w:rFonts w:asciiTheme="minorHAnsi" w:eastAsia="Times New Roman" w:hAnsiTheme="minorHAnsi"/>
                <w:b/>
                <w:bCs/>
                <w:sz w:val="20"/>
                <w:szCs w:val="22"/>
              </w:rPr>
              <w:t xml:space="preserve">NR 2015 </w:t>
            </w:r>
          </w:p>
        </w:tc>
        <w:tc>
          <w:tcPr>
            <w:tcW w:w="0" w:type="auto"/>
            <w:noWrap/>
            <w:hideMark/>
          </w:tcPr>
          <w:p w:rsidR="001B2330" w:rsidRPr="00E337D0" w:rsidRDefault="001B2330" w:rsidP="001B2330">
            <w:pPr>
              <w:rPr>
                <w:rFonts w:asciiTheme="minorHAnsi" w:eastAsia="Times New Roman" w:hAnsiTheme="minorHAnsi"/>
                <w:b/>
                <w:bCs/>
                <w:sz w:val="20"/>
                <w:szCs w:val="22"/>
              </w:rPr>
            </w:pPr>
            <w:r w:rsidRPr="00E337D0">
              <w:rPr>
                <w:rFonts w:asciiTheme="minorHAnsi" w:eastAsia="Times New Roman" w:hAnsiTheme="minorHAnsi"/>
                <w:b/>
                <w:bCs/>
                <w:sz w:val="20"/>
                <w:szCs w:val="22"/>
              </w:rPr>
              <w:t>index</w:t>
            </w:r>
          </w:p>
        </w:tc>
      </w:tr>
      <w:tr w:rsidR="001B2330" w:rsidRPr="00E337D0" w:rsidTr="00E337D0">
        <w:trPr>
          <w:trHeight w:val="255"/>
        </w:trPr>
        <w:tc>
          <w:tcPr>
            <w:tcW w:w="0" w:type="auto"/>
            <w:noWrap/>
            <w:hideMark/>
          </w:tcPr>
          <w:p w:rsidR="001B2330" w:rsidRPr="007A25CB" w:rsidRDefault="001B2330" w:rsidP="001B2330">
            <w:pPr>
              <w:rPr>
                <w:rFonts w:asciiTheme="minorHAnsi" w:eastAsia="Times New Roman" w:hAnsiTheme="minorHAnsi"/>
                <w:sz w:val="17"/>
                <w:szCs w:val="17"/>
              </w:rPr>
            </w:pPr>
            <w:r w:rsidRPr="007A25CB">
              <w:rPr>
                <w:rFonts w:asciiTheme="minorHAnsi" w:eastAsia="Times New Roman" w:hAnsiTheme="minorHAnsi"/>
                <w:sz w:val="17"/>
                <w:szCs w:val="17"/>
              </w:rPr>
              <w:t>Poplatek za provoz systému nakládání s komunálními odpady</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23 010,00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25 005,00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21 000,00</w:t>
            </w:r>
          </w:p>
        </w:tc>
        <w:tc>
          <w:tcPr>
            <w:tcW w:w="0" w:type="auto"/>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13 000,00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0,62</w:t>
            </w:r>
          </w:p>
        </w:tc>
      </w:tr>
      <w:tr w:rsidR="001B2330" w:rsidRPr="00E337D0" w:rsidTr="00E337D0">
        <w:trPr>
          <w:trHeight w:val="255"/>
        </w:trPr>
        <w:tc>
          <w:tcPr>
            <w:tcW w:w="0" w:type="auto"/>
            <w:noWrap/>
            <w:hideMark/>
          </w:tcPr>
          <w:p w:rsidR="001B2330" w:rsidRPr="007A25CB" w:rsidRDefault="001B2330" w:rsidP="001B2330">
            <w:pPr>
              <w:rPr>
                <w:rFonts w:asciiTheme="minorHAnsi" w:eastAsia="Times New Roman" w:hAnsiTheme="minorHAnsi"/>
                <w:sz w:val="17"/>
                <w:szCs w:val="17"/>
              </w:rPr>
            </w:pPr>
            <w:r w:rsidRPr="007A25CB">
              <w:rPr>
                <w:rFonts w:asciiTheme="minorHAnsi" w:eastAsia="Times New Roman" w:hAnsiTheme="minorHAnsi"/>
                <w:sz w:val="17"/>
                <w:szCs w:val="17"/>
              </w:rPr>
              <w:t>Poplatek ze psů</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2 500,00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2 300,00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2 000,00</w:t>
            </w:r>
          </w:p>
        </w:tc>
        <w:tc>
          <w:tcPr>
            <w:tcW w:w="0" w:type="auto"/>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2 000,00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1,00</w:t>
            </w:r>
          </w:p>
        </w:tc>
      </w:tr>
      <w:tr w:rsidR="001B2330" w:rsidRPr="00E337D0" w:rsidTr="00E337D0">
        <w:trPr>
          <w:trHeight w:val="255"/>
        </w:trPr>
        <w:tc>
          <w:tcPr>
            <w:tcW w:w="0" w:type="auto"/>
            <w:noWrap/>
            <w:hideMark/>
          </w:tcPr>
          <w:p w:rsidR="001B2330" w:rsidRPr="007A25CB" w:rsidRDefault="001B2330" w:rsidP="001B2330">
            <w:pPr>
              <w:rPr>
                <w:rFonts w:asciiTheme="minorHAnsi" w:eastAsia="Times New Roman" w:hAnsiTheme="minorHAnsi"/>
                <w:sz w:val="17"/>
                <w:szCs w:val="17"/>
              </w:rPr>
            </w:pPr>
            <w:r w:rsidRPr="007A25CB">
              <w:rPr>
                <w:rFonts w:asciiTheme="minorHAnsi" w:eastAsia="Times New Roman" w:hAnsiTheme="minorHAnsi"/>
                <w:sz w:val="17"/>
                <w:szCs w:val="17"/>
              </w:rPr>
              <w:t>Poplatek za lázeňský nebo rekreační pobyt</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50,00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50,00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50,00</w:t>
            </w:r>
          </w:p>
        </w:tc>
        <w:tc>
          <w:tcPr>
            <w:tcW w:w="0" w:type="auto"/>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50,00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1,00</w:t>
            </w:r>
          </w:p>
        </w:tc>
      </w:tr>
      <w:tr w:rsidR="001B2330" w:rsidRPr="00E337D0" w:rsidTr="00E337D0">
        <w:trPr>
          <w:trHeight w:val="255"/>
        </w:trPr>
        <w:tc>
          <w:tcPr>
            <w:tcW w:w="0" w:type="auto"/>
            <w:noWrap/>
            <w:hideMark/>
          </w:tcPr>
          <w:p w:rsidR="001B2330" w:rsidRPr="007A25CB" w:rsidRDefault="001B2330" w:rsidP="001B2330">
            <w:pPr>
              <w:rPr>
                <w:rFonts w:asciiTheme="minorHAnsi" w:eastAsia="Times New Roman" w:hAnsiTheme="minorHAnsi"/>
                <w:sz w:val="17"/>
                <w:szCs w:val="17"/>
              </w:rPr>
            </w:pPr>
            <w:r w:rsidRPr="007A25CB">
              <w:rPr>
                <w:rFonts w:asciiTheme="minorHAnsi" w:eastAsia="Times New Roman" w:hAnsiTheme="minorHAnsi"/>
                <w:sz w:val="17"/>
                <w:szCs w:val="17"/>
              </w:rPr>
              <w:t>Poplatek za užívání veřejného prostranství</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1 200,00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1 200,00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1 200,00</w:t>
            </w:r>
          </w:p>
        </w:tc>
        <w:tc>
          <w:tcPr>
            <w:tcW w:w="0" w:type="auto"/>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1 200,00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1,00</w:t>
            </w:r>
          </w:p>
        </w:tc>
      </w:tr>
      <w:tr w:rsidR="001B2330" w:rsidRPr="00E337D0" w:rsidTr="00E337D0">
        <w:trPr>
          <w:trHeight w:val="255"/>
        </w:trPr>
        <w:tc>
          <w:tcPr>
            <w:tcW w:w="0" w:type="auto"/>
            <w:noWrap/>
            <w:hideMark/>
          </w:tcPr>
          <w:p w:rsidR="001B2330" w:rsidRPr="007A25CB" w:rsidRDefault="001B2330" w:rsidP="001B2330">
            <w:pPr>
              <w:rPr>
                <w:rFonts w:asciiTheme="minorHAnsi" w:eastAsia="Times New Roman" w:hAnsiTheme="minorHAnsi"/>
                <w:sz w:val="17"/>
                <w:szCs w:val="17"/>
              </w:rPr>
            </w:pPr>
            <w:r w:rsidRPr="007A25CB">
              <w:rPr>
                <w:rFonts w:asciiTheme="minorHAnsi" w:eastAsia="Times New Roman" w:hAnsiTheme="minorHAnsi"/>
                <w:sz w:val="17"/>
                <w:szCs w:val="17"/>
              </w:rPr>
              <w:t>Poplatek ze vstupného</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50,00</w:t>
            </w:r>
          </w:p>
        </w:tc>
        <w:tc>
          <w:tcPr>
            <w:tcW w:w="0" w:type="auto"/>
            <w:noWrap/>
            <w:hideMark/>
          </w:tcPr>
          <w:p w:rsidR="001B2330" w:rsidRPr="007A25CB" w:rsidRDefault="001B2330" w:rsidP="001B2330">
            <w:pPr>
              <w:jc w:val="right"/>
              <w:rPr>
                <w:rFonts w:asciiTheme="minorHAnsi" w:eastAsia="Times New Roman" w:hAnsiTheme="minorHAnsi"/>
                <w:sz w:val="17"/>
                <w:szCs w:val="17"/>
              </w:rPr>
            </w:pPr>
          </w:p>
        </w:tc>
        <w:tc>
          <w:tcPr>
            <w:tcW w:w="0" w:type="auto"/>
            <w:noWrap/>
            <w:hideMark/>
          </w:tcPr>
          <w:p w:rsidR="001B2330" w:rsidRPr="007A25CB" w:rsidRDefault="001B2330" w:rsidP="001B2330">
            <w:pPr>
              <w:rPr>
                <w:rFonts w:asciiTheme="minorHAnsi" w:eastAsia="Times New Roman" w:hAnsiTheme="minorHAnsi"/>
                <w:sz w:val="17"/>
                <w:szCs w:val="17"/>
              </w:rPr>
            </w:pPr>
          </w:p>
        </w:tc>
        <w:tc>
          <w:tcPr>
            <w:tcW w:w="0" w:type="auto"/>
            <w:hideMark/>
          </w:tcPr>
          <w:p w:rsidR="001B2330" w:rsidRPr="007A25CB" w:rsidRDefault="001B2330" w:rsidP="001B2330">
            <w:pPr>
              <w:rPr>
                <w:rFonts w:asciiTheme="minorHAnsi" w:eastAsia="Times New Roman" w:hAnsiTheme="minorHAnsi"/>
                <w:sz w:val="17"/>
                <w:szCs w:val="17"/>
              </w:rPr>
            </w:pPr>
          </w:p>
        </w:tc>
        <w:tc>
          <w:tcPr>
            <w:tcW w:w="0" w:type="auto"/>
            <w:noWrap/>
            <w:hideMark/>
          </w:tcPr>
          <w:p w:rsidR="001B2330" w:rsidRPr="007A25CB" w:rsidRDefault="001B2330" w:rsidP="001B2330">
            <w:pPr>
              <w:rPr>
                <w:rFonts w:asciiTheme="minorHAnsi" w:eastAsia="Times New Roman" w:hAnsiTheme="minorHAnsi"/>
                <w:sz w:val="17"/>
                <w:szCs w:val="17"/>
              </w:rPr>
            </w:pPr>
          </w:p>
        </w:tc>
      </w:tr>
      <w:tr w:rsidR="001B2330" w:rsidRPr="00E337D0" w:rsidTr="00E337D0">
        <w:trPr>
          <w:trHeight w:val="255"/>
        </w:trPr>
        <w:tc>
          <w:tcPr>
            <w:tcW w:w="0" w:type="auto"/>
            <w:noWrap/>
            <w:hideMark/>
          </w:tcPr>
          <w:p w:rsidR="001B2330" w:rsidRPr="007A25CB" w:rsidRDefault="001B2330" w:rsidP="001B2330">
            <w:pPr>
              <w:rPr>
                <w:rFonts w:asciiTheme="minorHAnsi" w:eastAsia="Times New Roman" w:hAnsiTheme="minorHAnsi"/>
                <w:sz w:val="17"/>
                <w:szCs w:val="17"/>
              </w:rPr>
            </w:pPr>
            <w:r w:rsidRPr="007A25CB">
              <w:rPr>
                <w:rFonts w:asciiTheme="minorHAnsi" w:eastAsia="Times New Roman" w:hAnsiTheme="minorHAnsi"/>
                <w:sz w:val="17"/>
                <w:szCs w:val="17"/>
              </w:rPr>
              <w:t>Poplatek z ubytovací kapacity</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130,00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130,00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130,00</w:t>
            </w:r>
          </w:p>
        </w:tc>
        <w:tc>
          <w:tcPr>
            <w:tcW w:w="0" w:type="auto"/>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130,00</w:t>
            </w:r>
          </w:p>
        </w:tc>
        <w:tc>
          <w:tcPr>
            <w:tcW w:w="0" w:type="auto"/>
            <w:noWrap/>
            <w:hideMark/>
          </w:tcPr>
          <w:p w:rsidR="001B2330" w:rsidRPr="007A25CB" w:rsidRDefault="001B2330" w:rsidP="001B2330">
            <w:pPr>
              <w:jc w:val="right"/>
              <w:rPr>
                <w:rFonts w:asciiTheme="minorHAnsi" w:eastAsia="Times New Roman" w:hAnsiTheme="minorHAnsi"/>
                <w:sz w:val="17"/>
                <w:szCs w:val="17"/>
              </w:rPr>
            </w:pPr>
            <w:r w:rsidRPr="007A25CB">
              <w:rPr>
                <w:rFonts w:asciiTheme="minorHAnsi" w:eastAsia="Times New Roman" w:hAnsiTheme="minorHAnsi"/>
                <w:sz w:val="17"/>
                <w:szCs w:val="17"/>
              </w:rPr>
              <w:t>1,00</w:t>
            </w:r>
          </w:p>
        </w:tc>
      </w:tr>
      <w:tr w:rsidR="00D41F96" w:rsidRPr="00E337D0" w:rsidTr="00E337D0">
        <w:trPr>
          <w:trHeight w:val="255"/>
        </w:trPr>
        <w:tc>
          <w:tcPr>
            <w:tcW w:w="0" w:type="auto"/>
            <w:noWrap/>
            <w:hideMark/>
          </w:tcPr>
          <w:p w:rsidR="00D41F96" w:rsidRPr="007A25CB" w:rsidRDefault="00D41F96" w:rsidP="00D41F96">
            <w:pPr>
              <w:jc w:val="right"/>
              <w:rPr>
                <w:rFonts w:asciiTheme="minorHAnsi" w:eastAsia="Times New Roman" w:hAnsiTheme="minorHAnsi"/>
                <w:sz w:val="17"/>
                <w:szCs w:val="17"/>
              </w:rPr>
            </w:pPr>
          </w:p>
        </w:tc>
        <w:tc>
          <w:tcPr>
            <w:tcW w:w="0" w:type="auto"/>
            <w:noWrap/>
            <w:vAlign w:val="center"/>
            <w:hideMark/>
          </w:tcPr>
          <w:p w:rsidR="00D41F96" w:rsidRPr="007A25CB" w:rsidRDefault="00D41F96" w:rsidP="00D41F96">
            <w:pPr>
              <w:jc w:val="right"/>
              <w:rPr>
                <w:rFonts w:asciiTheme="minorHAnsi" w:hAnsiTheme="minorHAnsi"/>
                <w:sz w:val="17"/>
                <w:szCs w:val="17"/>
              </w:rPr>
            </w:pPr>
            <w:r w:rsidRPr="007A25CB">
              <w:rPr>
                <w:rFonts w:asciiTheme="minorHAnsi" w:hAnsiTheme="minorHAnsi"/>
                <w:sz w:val="17"/>
                <w:szCs w:val="17"/>
              </w:rPr>
              <w:t>26 940,00</w:t>
            </w:r>
          </w:p>
        </w:tc>
        <w:tc>
          <w:tcPr>
            <w:tcW w:w="0" w:type="auto"/>
            <w:noWrap/>
            <w:vAlign w:val="center"/>
            <w:hideMark/>
          </w:tcPr>
          <w:p w:rsidR="00D41F96" w:rsidRPr="007A25CB" w:rsidRDefault="00D41F96" w:rsidP="00D41F96">
            <w:pPr>
              <w:jc w:val="right"/>
              <w:rPr>
                <w:rFonts w:asciiTheme="minorHAnsi" w:hAnsiTheme="minorHAnsi"/>
                <w:sz w:val="17"/>
                <w:szCs w:val="17"/>
              </w:rPr>
            </w:pPr>
            <w:r w:rsidRPr="007A25CB">
              <w:rPr>
                <w:rFonts w:asciiTheme="minorHAnsi" w:hAnsiTheme="minorHAnsi"/>
                <w:sz w:val="17"/>
                <w:szCs w:val="17"/>
              </w:rPr>
              <w:t>28 685,00</w:t>
            </w:r>
          </w:p>
        </w:tc>
        <w:tc>
          <w:tcPr>
            <w:tcW w:w="0" w:type="auto"/>
            <w:noWrap/>
            <w:vAlign w:val="center"/>
            <w:hideMark/>
          </w:tcPr>
          <w:p w:rsidR="00D41F96" w:rsidRPr="007A25CB" w:rsidRDefault="00D41F96" w:rsidP="00D41F96">
            <w:pPr>
              <w:jc w:val="right"/>
              <w:rPr>
                <w:rFonts w:asciiTheme="minorHAnsi" w:hAnsiTheme="minorHAnsi"/>
                <w:sz w:val="17"/>
                <w:szCs w:val="17"/>
              </w:rPr>
            </w:pPr>
            <w:r w:rsidRPr="007A25CB">
              <w:rPr>
                <w:rFonts w:asciiTheme="minorHAnsi" w:hAnsiTheme="minorHAnsi"/>
                <w:sz w:val="17"/>
                <w:szCs w:val="17"/>
              </w:rPr>
              <w:t>24 380,00</w:t>
            </w:r>
          </w:p>
        </w:tc>
        <w:tc>
          <w:tcPr>
            <w:tcW w:w="0" w:type="auto"/>
            <w:noWrap/>
            <w:vAlign w:val="center"/>
            <w:hideMark/>
          </w:tcPr>
          <w:p w:rsidR="00D41F96" w:rsidRPr="007A25CB" w:rsidRDefault="00D41F96" w:rsidP="00D41F96">
            <w:pPr>
              <w:jc w:val="right"/>
              <w:rPr>
                <w:rFonts w:asciiTheme="minorHAnsi" w:hAnsiTheme="minorHAnsi"/>
                <w:sz w:val="17"/>
                <w:szCs w:val="17"/>
              </w:rPr>
            </w:pPr>
            <w:r w:rsidRPr="007A25CB">
              <w:rPr>
                <w:rFonts w:asciiTheme="minorHAnsi" w:hAnsiTheme="minorHAnsi"/>
                <w:sz w:val="17"/>
                <w:szCs w:val="17"/>
              </w:rPr>
              <w:t>16 380,00</w:t>
            </w:r>
          </w:p>
        </w:tc>
        <w:tc>
          <w:tcPr>
            <w:tcW w:w="0" w:type="auto"/>
            <w:noWrap/>
            <w:vAlign w:val="bottom"/>
            <w:hideMark/>
          </w:tcPr>
          <w:p w:rsidR="00D41F96" w:rsidRPr="007A25CB" w:rsidRDefault="00D41F96" w:rsidP="00D41F96">
            <w:pPr>
              <w:jc w:val="right"/>
              <w:rPr>
                <w:rFonts w:asciiTheme="minorHAnsi" w:hAnsiTheme="minorHAnsi"/>
                <w:sz w:val="17"/>
                <w:szCs w:val="17"/>
              </w:rPr>
            </w:pPr>
            <w:r w:rsidRPr="007A25CB">
              <w:rPr>
                <w:rFonts w:asciiTheme="minorHAnsi" w:hAnsiTheme="minorHAnsi"/>
                <w:sz w:val="17"/>
                <w:szCs w:val="17"/>
              </w:rPr>
              <w:t>0,67</w:t>
            </w:r>
          </w:p>
        </w:tc>
      </w:tr>
    </w:tbl>
    <w:p w:rsidR="001B2330" w:rsidRPr="00E337D0" w:rsidRDefault="001B2330">
      <w:pPr>
        <w:ind w:firstLine="708"/>
        <w:jc w:val="both"/>
        <w:rPr>
          <w:rFonts w:asciiTheme="minorHAnsi" w:hAnsiTheme="minorHAnsi"/>
          <w:sz w:val="22"/>
          <w:szCs w:val="22"/>
        </w:rPr>
      </w:pPr>
    </w:p>
    <w:p w:rsidR="001B2330" w:rsidRPr="00E337D0" w:rsidRDefault="001B2330">
      <w:pPr>
        <w:ind w:firstLine="708"/>
        <w:jc w:val="both"/>
        <w:rPr>
          <w:rFonts w:asciiTheme="minorHAnsi" w:hAnsiTheme="minorHAnsi"/>
          <w:sz w:val="22"/>
          <w:szCs w:val="22"/>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5) Správní poplatky</w:t>
      </w:r>
    </w:p>
    <w:p w:rsidR="00756F62" w:rsidRPr="00E337D0" w:rsidRDefault="00756F62">
      <w:pPr>
        <w:jc w:val="both"/>
        <w:rPr>
          <w:rFonts w:asciiTheme="minorHAnsi" w:hAnsiTheme="minorHAnsi"/>
          <w:sz w:val="22"/>
          <w:szCs w:val="22"/>
        </w:rPr>
      </w:pPr>
    </w:p>
    <w:p w:rsidR="00756F62" w:rsidRPr="00E337D0" w:rsidRDefault="00756F62">
      <w:pPr>
        <w:ind w:firstLine="708"/>
        <w:jc w:val="both"/>
        <w:rPr>
          <w:rFonts w:asciiTheme="minorHAnsi" w:hAnsiTheme="minorHAnsi"/>
          <w:sz w:val="22"/>
          <w:szCs w:val="22"/>
        </w:rPr>
      </w:pPr>
      <w:r w:rsidRPr="00E337D0">
        <w:rPr>
          <w:rFonts w:asciiTheme="minorHAnsi" w:hAnsiTheme="minorHAnsi"/>
          <w:sz w:val="22"/>
          <w:szCs w:val="22"/>
        </w:rPr>
        <w:t>Návrh rozpo</w:t>
      </w:r>
      <w:r w:rsidR="00D41F96" w:rsidRPr="00E337D0">
        <w:rPr>
          <w:rFonts w:asciiTheme="minorHAnsi" w:hAnsiTheme="minorHAnsi"/>
          <w:sz w:val="22"/>
          <w:szCs w:val="22"/>
        </w:rPr>
        <w:t>čtu správních poplatků na r. 201</w:t>
      </w:r>
      <w:r w:rsidRPr="00E337D0">
        <w:rPr>
          <w:rFonts w:asciiTheme="minorHAnsi" w:hAnsiTheme="minorHAnsi"/>
          <w:sz w:val="22"/>
          <w:szCs w:val="22"/>
        </w:rPr>
        <w:t>5 byl stanoven dle očekávané skutečnosti výběru v r. 20</w:t>
      </w:r>
      <w:r w:rsidR="00D41F96" w:rsidRPr="00E337D0">
        <w:rPr>
          <w:rFonts w:asciiTheme="minorHAnsi" w:hAnsiTheme="minorHAnsi"/>
          <w:sz w:val="22"/>
          <w:szCs w:val="22"/>
        </w:rPr>
        <w:t>1</w:t>
      </w:r>
      <w:r w:rsidRPr="00E337D0">
        <w:rPr>
          <w:rFonts w:asciiTheme="minorHAnsi" w:hAnsiTheme="minorHAnsi"/>
          <w:sz w:val="22"/>
          <w:szCs w:val="22"/>
        </w:rPr>
        <w:t>4 a skutečnost</w:t>
      </w:r>
      <w:r w:rsidR="00D41F96" w:rsidRPr="00E337D0">
        <w:rPr>
          <w:rFonts w:asciiTheme="minorHAnsi" w:hAnsiTheme="minorHAnsi"/>
          <w:sz w:val="22"/>
          <w:szCs w:val="22"/>
        </w:rPr>
        <w:t>i jejich výběru ze závěru r. 201</w:t>
      </w:r>
      <w:r w:rsidRPr="00E337D0">
        <w:rPr>
          <w:rFonts w:asciiTheme="minorHAnsi" w:hAnsiTheme="minorHAnsi"/>
          <w:sz w:val="22"/>
          <w:szCs w:val="22"/>
        </w:rPr>
        <w:t>3</w:t>
      </w:r>
      <w:r w:rsidR="00D41F96" w:rsidRPr="00E337D0">
        <w:rPr>
          <w:rFonts w:asciiTheme="minorHAnsi" w:hAnsiTheme="minorHAnsi"/>
          <w:sz w:val="22"/>
          <w:szCs w:val="22"/>
        </w:rPr>
        <w:t>. Úhrnná výše zůstává meziročně nezměněna.</w:t>
      </w:r>
    </w:p>
    <w:p w:rsidR="00756F62" w:rsidRPr="00E337D0" w:rsidRDefault="00756F62">
      <w:pPr>
        <w:jc w:val="both"/>
        <w:rPr>
          <w:rFonts w:asciiTheme="minorHAnsi" w:hAnsiTheme="minorHAnsi"/>
          <w:sz w:val="22"/>
          <w:szCs w:val="22"/>
        </w:rPr>
      </w:pPr>
    </w:p>
    <w:p w:rsidR="00D41F96" w:rsidRPr="00E337D0" w:rsidRDefault="00756F62">
      <w:pPr>
        <w:jc w:val="both"/>
        <w:rPr>
          <w:rFonts w:asciiTheme="minorHAnsi" w:hAnsiTheme="minorHAnsi"/>
          <w:sz w:val="22"/>
          <w:szCs w:val="22"/>
        </w:rPr>
      </w:pPr>
      <w:r w:rsidRPr="00E337D0">
        <w:rPr>
          <w:rFonts w:asciiTheme="minorHAnsi" w:hAnsiTheme="minorHAnsi"/>
          <w:sz w:val="22"/>
          <w:szCs w:val="22"/>
        </w:rPr>
        <w:t xml:space="preserve">6) </w:t>
      </w:r>
      <w:r w:rsidR="00D41F96" w:rsidRPr="00E337D0">
        <w:rPr>
          <w:rFonts w:asciiTheme="minorHAnsi" w:hAnsiTheme="minorHAnsi"/>
          <w:sz w:val="22"/>
          <w:szCs w:val="22"/>
        </w:rPr>
        <w:t>Odvody z loterií</w:t>
      </w:r>
    </w:p>
    <w:p w:rsidR="00D41F96" w:rsidRPr="00E337D0" w:rsidRDefault="00D41F96" w:rsidP="00D41F96">
      <w:pPr>
        <w:jc w:val="both"/>
        <w:rPr>
          <w:rFonts w:asciiTheme="minorHAnsi" w:eastAsia="Times New Roman" w:hAnsiTheme="minorHAnsi"/>
          <w:sz w:val="22"/>
          <w:szCs w:val="22"/>
        </w:rPr>
      </w:pPr>
    </w:p>
    <w:p w:rsidR="00D41F96" w:rsidRPr="00E337D0" w:rsidRDefault="00D41F96" w:rsidP="00D41F96">
      <w:pPr>
        <w:ind w:firstLine="708"/>
        <w:jc w:val="both"/>
        <w:rPr>
          <w:rFonts w:asciiTheme="minorHAnsi" w:eastAsia="Times New Roman" w:hAnsiTheme="minorHAnsi"/>
          <w:sz w:val="22"/>
          <w:szCs w:val="22"/>
        </w:rPr>
      </w:pPr>
      <w:r w:rsidRPr="00E337D0">
        <w:rPr>
          <w:rFonts w:asciiTheme="minorHAnsi" w:eastAsia="Times New Roman" w:hAnsiTheme="minorHAnsi"/>
          <w:sz w:val="22"/>
          <w:szCs w:val="22"/>
        </w:rPr>
        <w:t>Odvod z tzv. číselných loteriích (sazka, sportka, kursové sázky apod.), které nelze regulovat právním předpisem města zůstává ve stejné výši jako v letech předchozích (2 mil. Kč).</w:t>
      </w:r>
    </w:p>
    <w:p w:rsidR="00D41F96" w:rsidRPr="00E337D0" w:rsidRDefault="00D41F96" w:rsidP="00D41F96">
      <w:pPr>
        <w:ind w:firstLine="708"/>
        <w:jc w:val="both"/>
        <w:rPr>
          <w:rFonts w:asciiTheme="minorHAnsi" w:eastAsia="Times New Roman" w:hAnsiTheme="minorHAnsi"/>
          <w:sz w:val="22"/>
          <w:szCs w:val="22"/>
        </w:rPr>
      </w:pPr>
      <w:r w:rsidRPr="00E337D0">
        <w:rPr>
          <w:rFonts w:asciiTheme="minorHAnsi" w:eastAsia="Times New Roman" w:hAnsiTheme="minorHAnsi"/>
          <w:sz w:val="22"/>
          <w:szCs w:val="22"/>
        </w:rPr>
        <w:t>Odvod z hazardního bednového průmyslu je navržen na 6 milionů korun. Vzhledem ke skutečnosti, že OZV města o regulaci hazardu zakázala provoz hazardu na území celého města, je tento příjem hodnocen jako nahodilý. MFČR již začalo pravomocně odebírat licence jednotlivých zařízení, čímž lze očekávat, že výnos této položky poklesne na nulu.</w:t>
      </w:r>
    </w:p>
    <w:p w:rsidR="00756F62" w:rsidRPr="00E337D0" w:rsidRDefault="00756F62">
      <w:pPr>
        <w:ind w:firstLine="708"/>
        <w:jc w:val="both"/>
        <w:rPr>
          <w:rFonts w:asciiTheme="minorHAnsi" w:hAnsiTheme="minorHAnsi"/>
          <w:sz w:val="22"/>
          <w:szCs w:val="22"/>
        </w:rPr>
      </w:pPr>
    </w:p>
    <w:p w:rsidR="00756F62" w:rsidRPr="00E337D0" w:rsidRDefault="00756F62" w:rsidP="00E37F4A">
      <w:pPr>
        <w:jc w:val="both"/>
        <w:rPr>
          <w:rFonts w:asciiTheme="minorHAnsi" w:hAnsiTheme="minorHAnsi"/>
          <w:sz w:val="22"/>
          <w:szCs w:val="22"/>
        </w:rPr>
      </w:pPr>
      <w:r w:rsidRPr="00E337D0">
        <w:rPr>
          <w:rFonts w:asciiTheme="minorHAnsi" w:hAnsiTheme="minorHAnsi"/>
          <w:sz w:val="22"/>
          <w:szCs w:val="22"/>
        </w:rPr>
        <w:tab/>
      </w:r>
      <w:r w:rsidRPr="00E337D0">
        <w:rPr>
          <w:rFonts w:asciiTheme="minorHAnsi" w:hAnsiTheme="minorHAnsi"/>
          <w:sz w:val="22"/>
          <w:szCs w:val="22"/>
          <w:u w:val="single"/>
        </w:rPr>
        <w:t>Ve druhé třídě jsou příjmy nedaňové,</w:t>
      </w:r>
      <w:r w:rsidRPr="00E337D0">
        <w:rPr>
          <w:rFonts w:asciiTheme="minorHAnsi" w:hAnsiTheme="minorHAnsi"/>
          <w:sz w:val="22"/>
          <w:szCs w:val="22"/>
        </w:rPr>
        <w:t xml:space="preserve"> které jsou navrhovány ve výši  </w:t>
      </w:r>
      <w:r w:rsidR="00D41F96" w:rsidRPr="00E337D0">
        <w:rPr>
          <w:rFonts w:asciiTheme="minorHAnsi" w:hAnsiTheme="minorHAnsi"/>
          <w:b/>
          <w:sz w:val="22"/>
          <w:szCs w:val="22"/>
        </w:rPr>
        <w:t>248 555</w:t>
      </w:r>
      <w:r w:rsidRPr="00E337D0">
        <w:rPr>
          <w:rFonts w:asciiTheme="minorHAnsi" w:hAnsiTheme="minorHAnsi"/>
          <w:b/>
          <w:bCs/>
          <w:sz w:val="22"/>
          <w:szCs w:val="22"/>
        </w:rPr>
        <w:t>,0 tis. Kč.</w:t>
      </w:r>
      <w:r w:rsidRPr="00E337D0">
        <w:rPr>
          <w:rFonts w:asciiTheme="minorHAnsi" w:hAnsiTheme="minorHAnsi"/>
          <w:sz w:val="22"/>
          <w:szCs w:val="22"/>
        </w:rPr>
        <w:t xml:space="preserve"> Skládají se </w:t>
      </w:r>
      <w:r w:rsidR="00E37F4A" w:rsidRPr="00E337D0">
        <w:rPr>
          <w:rFonts w:asciiTheme="minorHAnsi" w:hAnsiTheme="minorHAnsi"/>
          <w:sz w:val="22"/>
          <w:szCs w:val="22"/>
        </w:rPr>
        <w:t xml:space="preserve">z příjmů </w:t>
      </w:r>
      <w:r w:rsidR="00E37F4A" w:rsidRPr="00E337D0">
        <w:rPr>
          <w:rFonts w:asciiTheme="minorHAnsi" w:eastAsia="Times New Roman" w:hAnsiTheme="minorHAnsi"/>
          <w:sz w:val="22"/>
          <w:szCs w:val="22"/>
        </w:rPr>
        <w:t xml:space="preserve">z vlastní </w:t>
      </w:r>
      <w:r w:rsidR="00E37F4A" w:rsidRPr="00E337D0">
        <w:rPr>
          <w:rFonts w:asciiTheme="minorHAnsi" w:eastAsia="Times New Roman" w:hAnsiTheme="minorHAnsi" w:cs="MS Mincho"/>
          <w:sz w:val="22"/>
          <w:szCs w:val="22"/>
        </w:rPr>
        <w:t>čin</w:t>
      </w:r>
      <w:r w:rsidR="00E37F4A" w:rsidRPr="00E337D0">
        <w:rPr>
          <w:rFonts w:asciiTheme="minorHAnsi" w:eastAsia="Times New Roman" w:hAnsiTheme="minorHAnsi"/>
          <w:sz w:val="22"/>
          <w:szCs w:val="22"/>
        </w:rPr>
        <w:t xml:space="preserve">nosti a odvodů přebytků organizacím </w:t>
      </w:r>
      <w:r w:rsidRPr="00E337D0">
        <w:rPr>
          <w:rFonts w:asciiTheme="minorHAnsi" w:hAnsiTheme="minorHAnsi"/>
          <w:sz w:val="22"/>
          <w:szCs w:val="22"/>
        </w:rPr>
        <w:t xml:space="preserve">ve výši </w:t>
      </w:r>
      <w:r w:rsidR="00E37F4A" w:rsidRPr="00E337D0">
        <w:rPr>
          <w:rFonts w:asciiTheme="minorHAnsi" w:eastAsia="Times New Roman" w:hAnsiTheme="minorHAnsi"/>
          <w:sz w:val="22"/>
          <w:szCs w:val="22"/>
        </w:rPr>
        <w:t xml:space="preserve"> 60 121,00 </w:t>
      </w:r>
      <w:r w:rsidRPr="00E337D0">
        <w:rPr>
          <w:rFonts w:asciiTheme="minorHAnsi" w:hAnsiTheme="minorHAnsi"/>
          <w:sz w:val="22"/>
          <w:szCs w:val="22"/>
        </w:rPr>
        <w:t xml:space="preserve">tis. Kč, </w:t>
      </w:r>
      <w:r w:rsidR="00E37F4A" w:rsidRPr="00E337D0">
        <w:rPr>
          <w:rFonts w:asciiTheme="minorHAnsi" w:hAnsiTheme="minorHAnsi"/>
          <w:sz w:val="22"/>
          <w:szCs w:val="22"/>
        </w:rPr>
        <w:t xml:space="preserve">z příjmů ze </w:t>
      </w:r>
      <w:r w:rsidR="00E37F4A" w:rsidRPr="00E337D0">
        <w:rPr>
          <w:rFonts w:asciiTheme="minorHAnsi" w:hAnsiTheme="minorHAnsi"/>
          <w:sz w:val="22"/>
          <w:szCs w:val="22"/>
        </w:rPr>
        <w:lastRenderedPageBreak/>
        <w:t xml:space="preserve">sankčních plateb ve výši 7 730,00 Tis. Kč a zejména z nedaňových příjmů na kterých jsou deponované plánované vratky dotací </w:t>
      </w:r>
      <w:r w:rsidR="00E37F4A" w:rsidRPr="00E337D0">
        <w:rPr>
          <w:rFonts w:asciiTheme="minorHAnsi" w:eastAsia="Times New Roman" w:hAnsiTheme="minorHAnsi"/>
          <w:sz w:val="22"/>
          <w:szCs w:val="22"/>
        </w:rPr>
        <w:t> 179 754,00 tis. Kč. Ostatní nedaňové příjmy jsou již zanedbatelné.</w:t>
      </w:r>
    </w:p>
    <w:p w:rsidR="00756F62" w:rsidRPr="00E337D0" w:rsidRDefault="00756F62">
      <w:pPr>
        <w:jc w:val="both"/>
        <w:rPr>
          <w:rFonts w:asciiTheme="minorHAnsi" w:hAnsiTheme="minorHAnsi"/>
          <w:sz w:val="22"/>
          <w:szCs w:val="22"/>
        </w:rPr>
      </w:pPr>
    </w:p>
    <w:p w:rsidR="00E37F4A" w:rsidRPr="00E337D0" w:rsidRDefault="00756F62">
      <w:pPr>
        <w:jc w:val="both"/>
        <w:rPr>
          <w:rFonts w:asciiTheme="minorHAnsi" w:hAnsiTheme="minorHAnsi"/>
          <w:sz w:val="22"/>
          <w:szCs w:val="22"/>
        </w:rPr>
      </w:pPr>
      <w:r w:rsidRPr="00E337D0">
        <w:rPr>
          <w:rFonts w:asciiTheme="minorHAnsi" w:hAnsiTheme="minorHAnsi"/>
          <w:sz w:val="22"/>
          <w:szCs w:val="22"/>
        </w:rPr>
        <w:tab/>
      </w:r>
      <w:r w:rsidRPr="00E337D0">
        <w:rPr>
          <w:rFonts w:asciiTheme="minorHAnsi" w:hAnsiTheme="minorHAnsi"/>
          <w:sz w:val="22"/>
          <w:szCs w:val="22"/>
          <w:u w:val="single"/>
        </w:rPr>
        <w:t>Do třetí třídy jsou zařazeny kapitálové příjmy</w:t>
      </w:r>
      <w:r w:rsidRPr="00E337D0">
        <w:rPr>
          <w:rFonts w:asciiTheme="minorHAnsi" w:hAnsiTheme="minorHAnsi"/>
          <w:sz w:val="22"/>
          <w:szCs w:val="22"/>
        </w:rPr>
        <w:t xml:space="preserve">. </w:t>
      </w:r>
      <w:r w:rsidR="00E37F4A" w:rsidRPr="00E337D0">
        <w:rPr>
          <w:rFonts w:asciiTheme="minorHAnsi" w:hAnsiTheme="minorHAnsi"/>
          <w:sz w:val="22"/>
          <w:szCs w:val="22"/>
        </w:rPr>
        <w:t>Jedná se o př</w:t>
      </w:r>
      <w:r w:rsidRPr="00E337D0">
        <w:rPr>
          <w:rFonts w:asciiTheme="minorHAnsi" w:hAnsiTheme="minorHAnsi"/>
          <w:sz w:val="22"/>
          <w:szCs w:val="22"/>
        </w:rPr>
        <w:t>íjmy z prodeje dlouhodobého majetku (kromě drobného)</w:t>
      </w:r>
      <w:r w:rsidR="00E37F4A" w:rsidRPr="00E337D0">
        <w:rPr>
          <w:rFonts w:asciiTheme="minorHAnsi" w:hAnsiTheme="minorHAnsi"/>
          <w:sz w:val="22"/>
          <w:szCs w:val="22"/>
        </w:rPr>
        <w:t>. Očekávané příjmy z prodeje majetku jsou navrženy ve výši 12 550,00 tis. Kč. Hodnota zbytkového majetku se výrazně snižuje.</w:t>
      </w:r>
    </w:p>
    <w:p w:rsidR="00756F62" w:rsidRPr="00E337D0" w:rsidRDefault="00E37F4A">
      <w:pPr>
        <w:jc w:val="both"/>
        <w:rPr>
          <w:rFonts w:asciiTheme="minorHAnsi" w:hAnsiTheme="minorHAnsi"/>
          <w:sz w:val="22"/>
          <w:szCs w:val="22"/>
        </w:rPr>
      </w:pPr>
      <w:r w:rsidRPr="00E337D0">
        <w:rPr>
          <w:rFonts w:asciiTheme="minorHAnsi" w:hAnsiTheme="minorHAnsi"/>
          <w:sz w:val="22"/>
          <w:szCs w:val="22"/>
        </w:rPr>
        <w:t xml:space="preserve"> </w:t>
      </w:r>
    </w:p>
    <w:p w:rsidR="00756F62" w:rsidRPr="00E337D0" w:rsidRDefault="00756F62">
      <w:pPr>
        <w:jc w:val="both"/>
        <w:rPr>
          <w:rFonts w:asciiTheme="minorHAnsi" w:hAnsiTheme="minorHAnsi"/>
          <w:sz w:val="22"/>
          <w:szCs w:val="22"/>
        </w:rPr>
      </w:pPr>
      <w:r w:rsidRPr="00E337D0">
        <w:rPr>
          <w:rFonts w:asciiTheme="minorHAnsi" w:hAnsiTheme="minorHAnsi"/>
          <w:sz w:val="22"/>
          <w:szCs w:val="22"/>
        </w:rPr>
        <w:tab/>
      </w:r>
      <w:r w:rsidRPr="00E337D0">
        <w:rPr>
          <w:rFonts w:asciiTheme="minorHAnsi" w:hAnsiTheme="minorHAnsi"/>
          <w:sz w:val="22"/>
          <w:szCs w:val="22"/>
          <w:u w:val="single"/>
        </w:rPr>
        <w:t>Třída 4 – přijaté dotace</w:t>
      </w:r>
      <w:r w:rsidRPr="00E337D0">
        <w:rPr>
          <w:rFonts w:asciiTheme="minorHAnsi" w:hAnsiTheme="minorHAnsi"/>
          <w:sz w:val="22"/>
          <w:szCs w:val="22"/>
        </w:rPr>
        <w:t xml:space="preserve"> zahrnuje i dotace ze státního rozpočtu </w:t>
      </w:r>
      <w:r w:rsidR="00E37F4A" w:rsidRPr="00E337D0">
        <w:rPr>
          <w:rFonts w:asciiTheme="minorHAnsi" w:hAnsiTheme="minorHAnsi"/>
          <w:sz w:val="22"/>
          <w:szCs w:val="22"/>
        </w:rPr>
        <w:t>na zajištění výkonu státní správy obce s rozšířenou působností a pověřeným obecním úřadem.</w:t>
      </w:r>
    </w:p>
    <w:p w:rsidR="00E37F4A" w:rsidRPr="00E337D0" w:rsidRDefault="00E37F4A">
      <w:pPr>
        <w:jc w:val="both"/>
        <w:rPr>
          <w:rFonts w:asciiTheme="minorHAnsi" w:hAnsiTheme="minorHAnsi"/>
          <w:sz w:val="22"/>
          <w:szCs w:val="22"/>
        </w:rPr>
      </w:pPr>
    </w:p>
    <w:p w:rsidR="00756F62" w:rsidRPr="00E337D0" w:rsidRDefault="00756F62">
      <w:pPr>
        <w:jc w:val="both"/>
        <w:rPr>
          <w:rFonts w:asciiTheme="minorHAnsi" w:hAnsiTheme="minorHAnsi"/>
          <w:b/>
          <w:sz w:val="22"/>
          <w:szCs w:val="22"/>
        </w:rPr>
      </w:pPr>
      <w:r w:rsidRPr="00E337D0">
        <w:rPr>
          <w:rFonts w:asciiTheme="minorHAnsi" w:hAnsiTheme="minorHAnsi"/>
          <w:b/>
          <w:sz w:val="22"/>
          <w:szCs w:val="22"/>
        </w:rPr>
        <w:t xml:space="preserve">   b)   Třída 8 – financování</w:t>
      </w:r>
    </w:p>
    <w:p w:rsidR="00756F62" w:rsidRPr="00E337D0" w:rsidRDefault="00756F62">
      <w:pPr>
        <w:jc w:val="both"/>
        <w:rPr>
          <w:rFonts w:asciiTheme="minorHAnsi" w:hAnsiTheme="minorHAnsi"/>
          <w:sz w:val="22"/>
          <w:szCs w:val="22"/>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ab/>
        <w:t>Jak již bylo uvedeno, v této třídě se rozpočtují finanční zdroje</w:t>
      </w:r>
      <w:r w:rsidR="00E37F4A" w:rsidRPr="00E337D0">
        <w:rPr>
          <w:rFonts w:asciiTheme="minorHAnsi" w:hAnsiTheme="minorHAnsi"/>
          <w:sz w:val="22"/>
          <w:szCs w:val="22"/>
        </w:rPr>
        <w:t xml:space="preserve"> získané přijetím úvěrů, půjček</w:t>
      </w:r>
      <w:r w:rsidRPr="00E337D0">
        <w:rPr>
          <w:rFonts w:asciiTheme="minorHAnsi" w:hAnsiTheme="minorHAnsi"/>
          <w:sz w:val="22"/>
          <w:szCs w:val="22"/>
        </w:rPr>
        <w:t xml:space="preserve"> a z vlastních zdrojů úsporou finančních prostředků vytvořených v minulý</w:t>
      </w:r>
      <w:r w:rsidR="00E37F4A" w:rsidRPr="00E337D0">
        <w:rPr>
          <w:rFonts w:asciiTheme="minorHAnsi" w:hAnsiTheme="minorHAnsi"/>
          <w:sz w:val="22"/>
          <w:szCs w:val="22"/>
        </w:rPr>
        <w:t>ch letech. V rozpočtu na rok 201</w:t>
      </w:r>
      <w:r w:rsidRPr="00E337D0">
        <w:rPr>
          <w:rFonts w:asciiTheme="minorHAnsi" w:hAnsiTheme="minorHAnsi"/>
          <w:sz w:val="22"/>
          <w:szCs w:val="22"/>
        </w:rPr>
        <w:t>5 se s přijetím nových cizích zdrojů neuvažuje. Do rozpočtu jsou v této třídě zapojeny nevyčerpané finanční prostředky z roku 20</w:t>
      </w:r>
      <w:r w:rsidR="00E37F4A" w:rsidRPr="00E337D0">
        <w:rPr>
          <w:rFonts w:asciiTheme="minorHAnsi" w:hAnsiTheme="minorHAnsi"/>
          <w:sz w:val="22"/>
          <w:szCs w:val="22"/>
        </w:rPr>
        <w:t>1</w:t>
      </w:r>
      <w:r w:rsidRPr="00E337D0">
        <w:rPr>
          <w:rFonts w:asciiTheme="minorHAnsi" w:hAnsiTheme="minorHAnsi"/>
          <w:sz w:val="22"/>
          <w:szCs w:val="22"/>
        </w:rPr>
        <w:t xml:space="preserve">4 v celkové výši </w:t>
      </w:r>
      <w:r w:rsidR="00E37F4A" w:rsidRPr="00E337D0">
        <w:rPr>
          <w:rFonts w:asciiTheme="minorHAnsi" w:eastAsia="Times New Roman" w:hAnsiTheme="minorHAnsi"/>
          <w:sz w:val="22"/>
          <w:szCs w:val="22"/>
        </w:rPr>
        <w:t xml:space="preserve">454 112,40 </w:t>
      </w:r>
      <w:r w:rsidRPr="00E337D0">
        <w:rPr>
          <w:rFonts w:asciiTheme="minorHAnsi" w:hAnsiTheme="minorHAnsi"/>
          <w:sz w:val="22"/>
          <w:szCs w:val="22"/>
        </w:rPr>
        <w:t xml:space="preserve">tis. Kč. </w:t>
      </w:r>
    </w:p>
    <w:p w:rsidR="00E37F4A" w:rsidRPr="00E337D0" w:rsidRDefault="00E37F4A">
      <w:pPr>
        <w:jc w:val="both"/>
        <w:rPr>
          <w:rFonts w:asciiTheme="minorHAnsi" w:hAnsiTheme="minorHAnsi"/>
          <w:b/>
          <w:bCs/>
          <w:sz w:val="22"/>
          <w:szCs w:val="22"/>
        </w:rPr>
      </w:pPr>
    </w:p>
    <w:p w:rsidR="00592F6B" w:rsidRPr="00E337D0" w:rsidRDefault="00592F6B">
      <w:pPr>
        <w:jc w:val="both"/>
        <w:rPr>
          <w:rFonts w:asciiTheme="minorHAnsi" w:hAnsiTheme="minorHAnsi"/>
          <w:b/>
          <w:bCs/>
          <w:sz w:val="22"/>
          <w:szCs w:val="22"/>
          <w:u w:val="single"/>
        </w:rPr>
      </w:pPr>
    </w:p>
    <w:p w:rsidR="00592F6B" w:rsidRPr="00E337D0" w:rsidRDefault="00592F6B">
      <w:pPr>
        <w:jc w:val="both"/>
        <w:rPr>
          <w:rFonts w:asciiTheme="minorHAnsi" w:hAnsiTheme="minorHAnsi"/>
          <w:b/>
          <w:bCs/>
          <w:sz w:val="22"/>
          <w:szCs w:val="22"/>
          <w:u w:val="single"/>
        </w:rPr>
      </w:pPr>
    </w:p>
    <w:p w:rsidR="00756F62" w:rsidRPr="00E337D0" w:rsidRDefault="00756F62">
      <w:pPr>
        <w:jc w:val="both"/>
        <w:rPr>
          <w:rFonts w:asciiTheme="minorHAnsi" w:hAnsiTheme="minorHAnsi"/>
          <w:b/>
          <w:bCs/>
          <w:sz w:val="22"/>
          <w:szCs w:val="22"/>
          <w:u w:val="single"/>
        </w:rPr>
      </w:pPr>
      <w:r w:rsidRPr="00E337D0">
        <w:rPr>
          <w:rFonts w:asciiTheme="minorHAnsi" w:hAnsiTheme="minorHAnsi"/>
          <w:b/>
          <w:bCs/>
          <w:sz w:val="22"/>
          <w:szCs w:val="22"/>
          <w:u w:val="single"/>
        </w:rPr>
        <w:t>FINANČNÍ  VÝDAJE  ROZPOČTU</w:t>
      </w:r>
    </w:p>
    <w:p w:rsidR="00756F62" w:rsidRPr="00E337D0" w:rsidRDefault="00756F62">
      <w:pPr>
        <w:ind w:firstLine="708"/>
        <w:jc w:val="both"/>
        <w:rPr>
          <w:rFonts w:asciiTheme="minorHAnsi" w:hAnsiTheme="minorHAnsi"/>
          <w:sz w:val="22"/>
          <w:szCs w:val="22"/>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Finanční výdaje rozpočtu se tak jako zdroje rozpočtu dělí do dvou skupin. Na rozpočtové výdaje a výdaje třídy 8 – financování.</w:t>
      </w:r>
    </w:p>
    <w:p w:rsidR="00756F62" w:rsidRPr="00E337D0" w:rsidRDefault="00756F62">
      <w:pPr>
        <w:jc w:val="both"/>
        <w:rPr>
          <w:rFonts w:asciiTheme="minorHAnsi" w:hAnsiTheme="minorHAnsi"/>
          <w:sz w:val="22"/>
          <w:szCs w:val="22"/>
        </w:rPr>
      </w:pPr>
    </w:p>
    <w:p w:rsidR="00756F62" w:rsidRPr="00E337D0" w:rsidRDefault="00756F62">
      <w:pPr>
        <w:jc w:val="both"/>
        <w:rPr>
          <w:rFonts w:asciiTheme="minorHAnsi" w:hAnsiTheme="minorHAnsi"/>
          <w:b/>
          <w:sz w:val="22"/>
          <w:szCs w:val="22"/>
        </w:rPr>
      </w:pPr>
      <w:r w:rsidRPr="00E337D0">
        <w:rPr>
          <w:rFonts w:asciiTheme="minorHAnsi" w:hAnsiTheme="minorHAnsi"/>
          <w:b/>
          <w:sz w:val="22"/>
          <w:szCs w:val="22"/>
        </w:rPr>
        <w:t xml:space="preserve">   a)  Výdaje třídy 8 – financování</w:t>
      </w:r>
    </w:p>
    <w:p w:rsidR="00756F62" w:rsidRPr="00E337D0" w:rsidRDefault="00756F62">
      <w:pPr>
        <w:jc w:val="both"/>
        <w:rPr>
          <w:rFonts w:asciiTheme="minorHAnsi" w:hAnsiTheme="minorHAnsi"/>
          <w:sz w:val="22"/>
          <w:szCs w:val="22"/>
        </w:rPr>
      </w:pPr>
    </w:p>
    <w:p w:rsidR="00756F62" w:rsidRPr="00E337D0" w:rsidRDefault="00756F62">
      <w:pPr>
        <w:jc w:val="both"/>
        <w:rPr>
          <w:rFonts w:asciiTheme="minorHAnsi" w:hAnsiTheme="minorHAnsi"/>
          <w:sz w:val="22"/>
          <w:szCs w:val="22"/>
        </w:rPr>
      </w:pPr>
      <w:r w:rsidRPr="00E337D0">
        <w:rPr>
          <w:rFonts w:asciiTheme="minorHAnsi" w:hAnsiTheme="minorHAnsi"/>
          <w:sz w:val="22"/>
          <w:szCs w:val="22"/>
        </w:rPr>
        <w:tab/>
        <w:t xml:space="preserve">Výdaje třídy 8 – financování jsou v celkové výši </w:t>
      </w:r>
      <w:r w:rsidR="00592F6B" w:rsidRPr="00E337D0">
        <w:rPr>
          <w:rFonts w:asciiTheme="minorHAnsi" w:eastAsia="Times New Roman" w:hAnsiTheme="minorHAnsi"/>
          <w:b/>
          <w:sz w:val="22"/>
          <w:szCs w:val="22"/>
        </w:rPr>
        <w:t>330 000,00</w:t>
      </w:r>
      <w:r w:rsidRPr="00E337D0">
        <w:rPr>
          <w:rFonts w:asciiTheme="minorHAnsi" w:hAnsiTheme="minorHAnsi"/>
          <w:b/>
          <w:bCs/>
          <w:sz w:val="22"/>
          <w:szCs w:val="22"/>
        </w:rPr>
        <w:t xml:space="preserve"> tis. Kč</w:t>
      </w:r>
      <w:r w:rsidR="00592F6B" w:rsidRPr="00E337D0">
        <w:rPr>
          <w:rFonts w:asciiTheme="minorHAnsi" w:hAnsiTheme="minorHAnsi"/>
          <w:b/>
          <w:bCs/>
          <w:sz w:val="22"/>
          <w:szCs w:val="22"/>
        </w:rPr>
        <w:t xml:space="preserve">, </w:t>
      </w:r>
      <w:r w:rsidR="00592F6B" w:rsidRPr="00E337D0">
        <w:rPr>
          <w:rFonts w:asciiTheme="minorHAnsi" w:hAnsiTheme="minorHAnsi"/>
          <w:bCs/>
          <w:sz w:val="22"/>
          <w:szCs w:val="22"/>
        </w:rPr>
        <w:t>které představují plánovanou splátku úvěru</w:t>
      </w:r>
      <w:r w:rsidRPr="00E337D0">
        <w:rPr>
          <w:rFonts w:asciiTheme="minorHAnsi" w:hAnsiTheme="minorHAnsi"/>
          <w:sz w:val="22"/>
          <w:szCs w:val="22"/>
        </w:rPr>
        <w:t xml:space="preserve">. </w:t>
      </w:r>
      <w:r w:rsidR="00592F6B" w:rsidRPr="00E337D0">
        <w:rPr>
          <w:rFonts w:asciiTheme="minorHAnsi" w:hAnsiTheme="minorHAnsi"/>
          <w:sz w:val="22"/>
          <w:szCs w:val="22"/>
        </w:rPr>
        <w:t>Částka se v průběhu roku upraví, až město obdrží oficiální splátkový kalendář do DEXIA Credit Local. Tyto zdroje lze krátkodobě využít na jiné aktivity města (předfinancování projektů).</w:t>
      </w:r>
    </w:p>
    <w:p w:rsidR="00592F6B" w:rsidRPr="00E337D0" w:rsidRDefault="00592F6B">
      <w:pPr>
        <w:jc w:val="both"/>
        <w:rPr>
          <w:rFonts w:asciiTheme="minorHAnsi" w:hAnsiTheme="minorHAnsi"/>
          <w:sz w:val="22"/>
          <w:szCs w:val="22"/>
        </w:rPr>
      </w:pPr>
    </w:p>
    <w:p w:rsidR="00756F62" w:rsidRPr="00E337D0" w:rsidRDefault="00756F62">
      <w:pPr>
        <w:jc w:val="both"/>
        <w:rPr>
          <w:rFonts w:asciiTheme="minorHAnsi" w:hAnsiTheme="minorHAnsi"/>
          <w:b/>
          <w:sz w:val="22"/>
          <w:szCs w:val="22"/>
        </w:rPr>
      </w:pPr>
      <w:r w:rsidRPr="00E337D0">
        <w:rPr>
          <w:rFonts w:asciiTheme="minorHAnsi" w:hAnsiTheme="minorHAnsi"/>
          <w:b/>
          <w:sz w:val="22"/>
          <w:szCs w:val="22"/>
        </w:rPr>
        <w:t xml:space="preserve">   b) Rozpočtové výdaje</w:t>
      </w:r>
    </w:p>
    <w:p w:rsidR="00756F62" w:rsidRPr="00E337D0" w:rsidRDefault="00756F62">
      <w:pPr>
        <w:jc w:val="both"/>
        <w:rPr>
          <w:rFonts w:asciiTheme="minorHAnsi" w:hAnsiTheme="minorHAnsi"/>
          <w:sz w:val="22"/>
          <w:szCs w:val="22"/>
        </w:rPr>
      </w:pPr>
    </w:p>
    <w:p w:rsidR="00756F62" w:rsidRDefault="00756F62">
      <w:pPr>
        <w:jc w:val="both"/>
        <w:rPr>
          <w:rFonts w:asciiTheme="minorHAnsi" w:hAnsiTheme="minorHAnsi"/>
          <w:sz w:val="22"/>
          <w:szCs w:val="22"/>
        </w:rPr>
      </w:pPr>
      <w:r w:rsidRPr="00E337D0">
        <w:rPr>
          <w:rFonts w:asciiTheme="minorHAnsi" w:hAnsiTheme="minorHAnsi"/>
          <w:sz w:val="22"/>
          <w:szCs w:val="22"/>
        </w:rPr>
        <w:tab/>
        <w:t>Jsou to veškeré platby určené na běžné a kapitálové účely. Rozhodnou hranicí pro jejich zatřídění je pro hmotný investiční majetek částka 40 tis. Kč a pro nehmotný investiční majetek částka 60 tis. Kč. Rozdělení výdajů do jednotlivých kapitol pro rok 20</w:t>
      </w:r>
      <w:r w:rsidR="00592F6B" w:rsidRPr="00E337D0">
        <w:rPr>
          <w:rFonts w:asciiTheme="minorHAnsi" w:hAnsiTheme="minorHAnsi"/>
          <w:sz w:val="22"/>
          <w:szCs w:val="22"/>
        </w:rPr>
        <w:t>1</w:t>
      </w:r>
      <w:r w:rsidRPr="00E337D0">
        <w:rPr>
          <w:rFonts w:asciiTheme="minorHAnsi" w:hAnsiTheme="minorHAnsi"/>
          <w:sz w:val="22"/>
          <w:szCs w:val="22"/>
        </w:rPr>
        <w:t>5 je v následující tabulce:</w:t>
      </w:r>
    </w:p>
    <w:p w:rsidR="00E337D0" w:rsidRPr="00E337D0" w:rsidRDefault="00E337D0">
      <w:pPr>
        <w:jc w:val="both"/>
        <w:rPr>
          <w:rFonts w:asciiTheme="minorHAnsi" w:hAnsiTheme="minorHAnsi"/>
          <w:sz w:val="22"/>
          <w:szCs w:val="22"/>
        </w:rPr>
      </w:pPr>
    </w:p>
    <w:p w:rsidR="00756F62" w:rsidRPr="00E337D0" w:rsidRDefault="00756F62">
      <w:pPr>
        <w:jc w:val="right"/>
        <w:rPr>
          <w:rFonts w:asciiTheme="minorHAnsi" w:hAnsiTheme="minorHAnsi"/>
          <w:sz w:val="22"/>
          <w:szCs w:val="22"/>
        </w:rPr>
      </w:pPr>
      <w:r w:rsidRPr="00E337D0">
        <w:rPr>
          <w:rFonts w:asciiTheme="minorHAnsi" w:hAnsiTheme="minorHAnsi"/>
          <w:sz w:val="22"/>
          <w:szCs w:val="22"/>
        </w:rPr>
        <w:t>v tis. Kč</w:t>
      </w:r>
    </w:p>
    <w:tbl>
      <w:tblPr>
        <w:tblStyle w:val="Mkatabulky"/>
        <w:tblW w:w="8920" w:type="dxa"/>
        <w:tblLayout w:type="fixed"/>
        <w:tblLook w:val="04A0" w:firstRow="1" w:lastRow="0" w:firstColumn="1" w:lastColumn="0" w:noHBand="0" w:noVBand="1"/>
      </w:tblPr>
      <w:tblGrid>
        <w:gridCol w:w="6260"/>
        <w:gridCol w:w="1330"/>
        <w:gridCol w:w="1330"/>
      </w:tblGrid>
      <w:tr w:rsidR="00592F6B" w:rsidRPr="00E337D0" w:rsidTr="00592F6B">
        <w:trPr>
          <w:trHeight w:val="499"/>
        </w:trPr>
        <w:tc>
          <w:tcPr>
            <w:tcW w:w="6260" w:type="dxa"/>
            <w:hideMark/>
          </w:tcPr>
          <w:p w:rsidR="00592F6B" w:rsidRPr="00E337D0" w:rsidRDefault="00592F6B" w:rsidP="00592F6B">
            <w:pPr>
              <w:rPr>
                <w:rFonts w:asciiTheme="minorHAnsi" w:eastAsia="Times New Roman" w:hAnsiTheme="minorHAnsi"/>
                <w:b/>
                <w:bCs/>
                <w:sz w:val="22"/>
                <w:szCs w:val="22"/>
              </w:rPr>
            </w:pPr>
            <w:r w:rsidRPr="00E337D0">
              <w:rPr>
                <w:rFonts w:asciiTheme="minorHAnsi" w:eastAsia="Times New Roman" w:hAnsiTheme="minorHAnsi"/>
                <w:b/>
                <w:bCs/>
                <w:sz w:val="22"/>
                <w:szCs w:val="22"/>
              </w:rPr>
              <w:t>Název oddílu paragrafu</w:t>
            </w:r>
          </w:p>
        </w:tc>
        <w:tc>
          <w:tcPr>
            <w:tcW w:w="1330" w:type="dxa"/>
            <w:hideMark/>
          </w:tcPr>
          <w:p w:rsidR="00592F6B" w:rsidRPr="00E337D0" w:rsidRDefault="00592F6B" w:rsidP="00592F6B">
            <w:pPr>
              <w:jc w:val="center"/>
              <w:rPr>
                <w:rFonts w:asciiTheme="minorHAnsi" w:eastAsia="Times New Roman" w:hAnsiTheme="minorHAnsi"/>
                <w:b/>
                <w:bCs/>
                <w:sz w:val="22"/>
                <w:szCs w:val="22"/>
              </w:rPr>
            </w:pPr>
            <w:r w:rsidRPr="00E337D0">
              <w:rPr>
                <w:rFonts w:asciiTheme="minorHAnsi" w:eastAsia="Times New Roman" w:hAnsiTheme="minorHAnsi"/>
                <w:b/>
                <w:bCs/>
                <w:sz w:val="22"/>
                <w:szCs w:val="22"/>
              </w:rPr>
              <w:t>běžné výdaje</w:t>
            </w:r>
          </w:p>
        </w:tc>
        <w:tc>
          <w:tcPr>
            <w:tcW w:w="1330" w:type="dxa"/>
            <w:noWrap/>
            <w:hideMark/>
          </w:tcPr>
          <w:p w:rsidR="00592F6B" w:rsidRPr="00E337D0" w:rsidRDefault="00592F6B" w:rsidP="00592F6B">
            <w:pPr>
              <w:jc w:val="center"/>
              <w:rPr>
                <w:rFonts w:asciiTheme="minorHAnsi" w:eastAsia="Times New Roman" w:hAnsiTheme="minorHAnsi"/>
                <w:b/>
                <w:bCs/>
                <w:sz w:val="22"/>
                <w:szCs w:val="22"/>
              </w:rPr>
            </w:pPr>
            <w:r w:rsidRPr="00E337D0">
              <w:rPr>
                <w:rFonts w:asciiTheme="minorHAnsi" w:eastAsia="Times New Roman" w:hAnsiTheme="minorHAnsi"/>
                <w:b/>
                <w:bCs/>
                <w:sz w:val="22"/>
                <w:szCs w:val="22"/>
              </w:rPr>
              <w:t>kapitálové výdaje</w:t>
            </w: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Bezpečnost a veřejný pořádek</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44 545,00</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865,00</w:t>
            </w: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Bydlení, komunální služby a územní rozvoj</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134 870,00</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194 300,00</w:t>
            </w: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Civilní připravenost na krizové stavy</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500,00</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46 587,00</w:t>
            </w: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Doprava</w:t>
            </w:r>
          </w:p>
        </w:tc>
        <w:tc>
          <w:tcPr>
            <w:tcW w:w="1330" w:type="dxa"/>
            <w:noWrap/>
            <w:hideMark/>
          </w:tcPr>
          <w:p w:rsidR="00592F6B" w:rsidRPr="00E337D0" w:rsidRDefault="00592F6B" w:rsidP="00592F6B">
            <w:pPr>
              <w:rPr>
                <w:rFonts w:asciiTheme="minorHAnsi" w:eastAsia="Times New Roman" w:hAnsiTheme="minorHAnsi"/>
                <w:sz w:val="22"/>
                <w:szCs w:val="22"/>
              </w:rPr>
            </w:pP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64 500,00</w:t>
            </w: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Finanční operace</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15 049,00</w:t>
            </w:r>
          </w:p>
        </w:tc>
        <w:tc>
          <w:tcPr>
            <w:tcW w:w="1330" w:type="dxa"/>
            <w:noWrap/>
            <w:hideMark/>
          </w:tcPr>
          <w:p w:rsidR="00592F6B" w:rsidRPr="00E337D0" w:rsidRDefault="00592F6B" w:rsidP="00592F6B">
            <w:pPr>
              <w:jc w:val="right"/>
              <w:rPr>
                <w:rFonts w:asciiTheme="minorHAnsi" w:eastAsia="Times New Roman" w:hAnsiTheme="minorHAnsi"/>
                <w:sz w:val="22"/>
                <w:szCs w:val="22"/>
              </w:rPr>
            </w:pP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Jiné veřejné služby a činnosti</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200,00</w:t>
            </w:r>
          </w:p>
        </w:tc>
        <w:tc>
          <w:tcPr>
            <w:tcW w:w="1330" w:type="dxa"/>
            <w:noWrap/>
            <w:hideMark/>
          </w:tcPr>
          <w:p w:rsidR="00592F6B" w:rsidRPr="00E337D0" w:rsidRDefault="00592F6B" w:rsidP="00592F6B">
            <w:pPr>
              <w:jc w:val="right"/>
              <w:rPr>
                <w:rFonts w:asciiTheme="minorHAnsi" w:eastAsia="Times New Roman" w:hAnsiTheme="minorHAnsi"/>
                <w:sz w:val="22"/>
                <w:szCs w:val="22"/>
              </w:rPr>
            </w:pP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Kultura, církve a sdělovací prostředky</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32 140,00</w:t>
            </w:r>
          </w:p>
        </w:tc>
        <w:tc>
          <w:tcPr>
            <w:tcW w:w="1330" w:type="dxa"/>
            <w:noWrap/>
            <w:hideMark/>
          </w:tcPr>
          <w:p w:rsidR="00592F6B" w:rsidRPr="00E337D0" w:rsidRDefault="00592F6B" w:rsidP="00592F6B">
            <w:pPr>
              <w:jc w:val="right"/>
              <w:rPr>
                <w:rFonts w:asciiTheme="minorHAnsi" w:eastAsia="Times New Roman" w:hAnsiTheme="minorHAnsi"/>
                <w:sz w:val="22"/>
                <w:szCs w:val="22"/>
              </w:rPr>
            </w:pP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Ochrana životního prostředí</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27 410,00</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9 912,00</w:t>
            </w: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Ostatní činnosti</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50 440,00</w:t>
            </w:r>
          </w:p>
        </w:tc>
        <w:tc>
          <w:tcPr>
            <w:tcW w:w="1330" w:type="dxa"/>
            <w:noWrap/>
            <w:hideMark/>
          </w:tcPr>
          <w:p w:rsidR="00592F6B" w:rsidRPr="00E337D0" w:rsidRDefault="00592F6B" w:rsidP="00592F6B">
            <w:pPr>
              <w:jc w:val="right"/>
              <w:rPr>
                <w:rFonts w:asciiTheme="minorHAnsi" w:eastAsia="Times New Roman" w:hAnsiTheme="minorHAnsi"/>
                <w:sz w:val="22"/>
                <w:szCs w:val="22"/>
              </w:rPr>
            </w:pP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Politika zaměstnanosti</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13 366,00</w:t>
            </w:r>
          </w:p>
        </w:tc>
        <w:tc>
          <w:tcPr>
            <w:tcW w:w="1330" w:type="dxa"/>
            <w:noWrap/>
            <w:hideMark/>
          </w:tcPr>
          <w:p w:rsidR="00592F6B" w:rsidRPr="00E337D0" w:rsidRDefault="00592F6B" w:rsidP="00592F6B">
            <w:pPr>
              <w:jc w:val="right"/>
              <w:rPr>
                <w:rFonts w:asciiTheme="minorHAnsi" w:eastAsia="Times New Roman" w:hAnsiTheme="minorHAnsi"/>
                <w:sz w:val="22"/>
                <w:szCs w:val="22"/>
              </w:rPr>
            </w:pP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Požární ochrana a integrovaný záchranný systém</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1 056,00</w:t>
            </w:r>
          </w:p>
        </w:tc>
        <w:tc>
          <w:tcPr>
            <w:tcW w:w="1330" w:type="dxa"/>
            <w:noWrap/>
            <w:hideMark/>
          </w:tcPr>
          <w:p w:rsidR="00592F6B" w:rsidRPr="00E337D0" w:rsidRDefault="00592F6B" w:rsidP="00592F6B">
            <w:pPr>
              <w:jc w:val="right"/>
              <w:rPr>
                <w:rFonts w:asciiTheme="minorHAnsi" w:eastAsia="Times New Roman" w:hAnsiTheme="minorHAnsi"/>
                <w:sz w:val="22"/>
                <w:szCs w:val="22"/>
              </w:rPr>
            </w:pP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Sociál. služby a společné činn. v sociál. zabezpečení a politice zam.</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31 780,00</w:t>
            </w:r>
          </w:p>
        </w:tc>
        <w:tc>
          <w:tcPr>
            <w:tcW w:w="1330" w:type="dxa"/>
            <w:noWrap/>
            <w:hideMark/>
          </w:tcPr>
          <w:p w:rsidR="00592F6B" w:rsidRPr="00E337D0" w:rsidRDefault="00592F6B" w:rsidP="00592F6B">
            <w:pPr>
              <w:jc w:val="right"/>
              <w:rPr>
                <w:rFonts w:asciiTheme="minorHAnsi" w:eastAsia="Times New Roman" w:hAnsiTheme="minorHAnsi"/>
                <w:sz w:val="22"/>
                <w:szCs w:val="22"/>
              </w:rPr>
            </w:pP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lastRenderedPageBreak/>
              <w:t>Státní moc, státní správa, územní samospráva a politické strany</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184 144,00</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14 785,00</w:t>
            </w: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Tělovýchova a zájmová činnost</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63 171,00</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1 000,00</w:t>
            </w: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Vodní hospodářství</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55,00</w:t>
            </w:r>
          </w:p>
        </w:tc>
        <w:tc>
          <w:tcPr>
            <w:tcW w:w="1330" w:type="dxa"/>
            <w:noWrap/>
            <w:hideMark/>
          </w:tcPr>
          <w:p w:rsidR="00592F6B" w:rsidRPr="00E337D0" w:rsidRDefault="00592F6B" w:rsidP="00592F6B">
            <w:pPr>
              <w:jc w:val="right"/>
              <w:rPr>
                <w:rFonts w:asciiTheme="minorHAnsi" w:eastAsia="Times New Roman" w:hAnsiTheme="minorHAnsi"/>
                <w:sz w:val="22"/>
                <w:szCs w:val="22"/>
              </w:rPr>
            </w:pP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Vzdělávání</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67 775,00</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10 600,00</w:t>
            </w: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Vzdělávání</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1 842,00</w:t>
            </w:r>
          </w:p>
        </w:tc>
        <w:tc>
          <w:tcPr>
            <w:tcW w:w="1330" w:type="dxa"/>
            <w:noWrap/>
            <w:hideMark/>
          </w:tcPr>
          <w:p w:rsidR="00592F6B" w:rsidRPr="00E337D0" w:rsidRDefault="00592F6B" w:rsidP="00592F6B">
            <w:pPr>
              <w:jc w:val="right"/>
              <w:rPr>
                <w:rFonts w:asciiTheme="minorHAnsi" w:eastAsia="Times New Roman" w:hAnsiTheme="minorHAnsi"/>
                <w:sz w:val="22"/>
                <w:szCs w:val="22"/>
              </w:rPr>
            </w:pP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Zdravotnictví</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250,00</w:t>
            </w:r>
          </w:p>
        </w:tc>
        <w:tc>
          <w:tcPr>
            <w:tcW w:w="1330" w:type="dxa"/>
            <w:noWrap/>
            <w:hideMark/>
          </w:tcPr>
          <w:p w:rsidR="00592F6B" w:rsidRPr="00E337D0" w:rsidRDefault="00592F6B" w:rsidP="00592F6B">
            <w:pPr>
              <w:jc w:val="right"/>
              <w:rPr>
                <w:rFonts w:asciiTheme="minorHAnsi" w:eastAsia="Times New Roman" w:hAnsiTheme="minorHAnsi"/>
                <w:sz w:val="22"/>
                <w:szCs w:val="22"/>
              </w:rPr>
            </w:pP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r w:rsidRPr="00E337D0">
              <w:rPr>
                <w:rFonts w:asciiTheme="minorHAnsi" w:eastAsia="Times New Roman" w:hAnsiTheme="minorHAnsi"/>
                <w:sz w:val="22"/>
                <w:szCs w:val="22"/>
              </w:rPr>
              <w:t>Zemědělství, lesní hospodářství a rybářství</w:t>
            </w:r>
          </w:p>
        </w:tc>
        <w:tc>
          <w:tcPr>
            <w:tcW w:w="1330" w:type="dxa"/>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4 350,00</w:t>
            </w:r>
          </w:p>
        </w:tc>
        <w:tc>
          <w:tcPr>
            <w:tcW w:w="1330" w:type="dxa"/>
            <w:noWrap/>
            <w:hideMark/>
          </w:tcPr>
          <w:p w:rsidR="00592F6B" w:rsidRPr="00E337D0" w:rsidRDefault="00592F6B" w:rsidP="00592F6B">
            <w:pPr>
              <w:jc w:val="right"/>
              <w:rPr>
                <w:rFonts w:asciiTheme="minorHAnsi" w:eastAsia="Times New Roman" w:hAnsiTheme="minorHAnsi"/>
                <w:sz w:val="22"/>
                <w:szCs w:val="22"/>
              </w:rPr>
            </w:pPr>
          </w:p>
        </w:tc>
      </w:tr>
      <w:tr w:rsidR="00592F6B" w:rsidRPr="00E337D0" w:rsidTr="00592F6B">
        <w:trPr>
          <w:trHeight w:val="255"/>
        </w:trPr>
        <w:tc>
          <w:tcPr>
            <w:tcW w:w="6260" w:type="dxa"/>
            <w:noWrap/>
            <w:hideMark/>
          </w:tcPr>
          <w:p w:rsidR="00592F6B" w:rsidRPr="00E337D0" w:rsidRDefault="00592F6B" w:rsidP="00592F6B">
            <w:pPr>
              <w:rPr>
                <w:rFonts w:asciiTheme="minorHAnsi" w:eastAsia="Times New Roman" w:hAnsiTheme="minorHAnsi"/>
                <w:sz w:val="22"/>
                <w:szCs w:val="22"/>
              </w:rPr>
            </w:pPr>
          </w:p>
        </w:tc>
        <w:tc>
          <w:tcPr>
            <w:tcW w:w="1330" w:type="dxa"/>
            <w:noWrap/>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672 943,00</w:t>
            </w:r>
          </w:p>
        </w:tc>
        <w:tc>
          <w:tcPr>
            <w:tcW w:w="1330" w:type="dxa"/>
            <w:noWrap/>
            <w:hideMark/>
          </w:tcPr>
          <w:p w:rsidR="00592F6B" w:rsidRPr="00E337D0" w:rsidRDefault="00592F6B" w:rsidP="00592F6B">
            <w:pPr>
              <w:jc w:val="right"/>
              <w:rPr>
                <w:rFonts w:asciiTheme="minorHAnsi" w:eastAsia="Times New Roman" w:hAnsiTheme="minorHAnsi"/>
                <w:sz w:val="22"/>
                <w:szCs w:val="22"/>
              </w:rPr>
            </w:pPr>
            <w:r w:rsidRPr="00E337D0">
              <w:rPr>
                <w:rFonts w:asciiTheme="minorHAnsi" w:eastAsia="Times New Roman" w:hAnsiTheme="minorHAnsi"/>
                <w:sz w:val="22"/>
                <w:szCs w:val="22"/>
              </w:rPr>
              <w:t>342 549,00</w:t>
            </w:r>
          </w:p>
        </w:tc>
      </w:tr>
    </w:tbl>
    <w:p w:rsidR="00592F6B" w:rsidRPr="00E337D0" w:rsidRDefault="00592F6B" w:rsidP="00592F6B">
      <w:pPr>
        <w:ind w:firstLine="708"/>
        <w:jc w:val="both"/>
        <w:rPr>
          <w:rFonts w:asciiTheme="minorHAnsi" w:hAnsiTheme="minorHAnsi"/>
          <w:sz w:val="22"/>
          <w:szCs w:val="22"/>
        </w:rPr>
      </w:pPr>
    </w:p>
    <w:p w:rsidR="00756F62" w:rsidRPr="00E337D0" w:rsidRDefault="00756F62" w:rsidP="00E337D0">
      <w:pPr>
        <w:ind w:firstLine="708"/>
        <w:jc w:val="both"/>
        <w:rPr>
          <w:rFonts w:asciiTheme="minorHAnsi" w:eastAsia="Times New Roman" w:hAnsiTheme="minorHAnsi"/>
          <w:b/>
          <w:bCs/>
          <w:sz w:val="22"/>
          <w:szCs w:val="22"/>
        </w:rPr>
      </w:pPr>
      <w:r w:rsidRPr="00E337D0">
        <w:rPr>
          <w:rFonts w:asciiTheme="minorHAnsi" w:hAnsiTheme="minorHAnsi"/>
          <w:sz w:val="22"/>
          <w:szCs w:val="22"/>
        </w:rPr>
        <w:t xml:space="preserve">Rozpočtované výdaje vlastního </w:t>
      </w:r>
      <w:r w:rsidR="00E337D0" w:rsidRPr="00E337D0">
        <w:rPr>
          <w:rFonts w:asciiTheme="minorHAnsi" w:hAnsiTheme="minorHAnsi"/>
          <w:sz w:val="22"/>
          <w:szCs w:val="22"/>
        </w:rPr>
        <w:t>statutárního města Chomutova pro rok 2015 představují</w:t>
      </w:r>
      <w:r w:rsidR="00E337D0" w:rsidRPr="00E337D0">
        <w:rPr>
          <w:rFonts w:asciiTheme="minorHAnsi" w:hAnsiTheme="minorHAnsi"/>
          <w:sz w:val="22"/>
          <w:szCs w:val="22"/>
        </w:rPr>
        <w:br w:type="textWrapping" w:clear="all"/>
      </w:r>
      <w:r w:rsidR="00E337D0" w:rsidRPr="00E337D0">
        <w:rPr>
          <w:rFonts w:asciiTheme="minorHAnsi" w:eastAsia="Times New Roman" w:hAnsiTheme="minorHAnsi"/>
          <w:b/>
          <w:bCs/>
          <w:sz w:val="22"/>
          <w:szCs w:val="22"/>
        </w:rPr>
        <w:t xml:space="preserve">1 017 655,00 </w:t>
      </w:r>
      <w:r w:rsidRPr="00E337D0">
        <w:rPr>
          <w:rFonts w:asciiTheme="minorHAnsi" w:hAnsiTheme="minorHAnsi"/>
          <w:b/>
          <w:bCs/>
          <w:sz w:val="22"/>
          <w:szCs w:val="22"/>
        </w:rPr>
        <w:t>tis. Kč</w:t>
      </w:r>
      <w:r w:rsidR="00E337D0" w:rsidRPr="00E337D0">
        <w:rPr>
          <w:rFonts w:asciiTheme="minorHAnsi" w:hAnsiTheme="minorHAnsi"/>
          <w:sz w:val="22"/>
          <w:szCs w:val="22"/>
        </w:rPr>
        <w:t>.</w:t>
      </w:r>
    </w:p>
    <w:p w:rsidR="00756F62" w:rsidRPr="00E337D0" w:rsidRDefault="00756F62">
      <w:pPr>
        <w:ind w:firstLine="708"/>
        <w:jc w:val="both"/>
        <w:rPr>
          <w:rFonts w:asciiTheme="minorHAnsi" w:hAnsiTheme="minorHAnsi"/>
          <w:sz w:val="22"/>
          <w:szCs w:val="22"/>
        </w:rPr>
      </w:pPr>
    </w:p>
    <w:p w:rsidR="00756F62" w:rsidRPr="00E337D0" w:rsidRDefault="00756F62">
      <w:pPr>
        <w:ind w:firstLine="708"/>
        <w:jc w:val="both"/>
        <w:rPr>
          <w:rFonts w:asciiTheme="minorHAnsi" w:hAnsiTheme="minorHAnsi"/>
          <w:sz w:val="22"/>
          <w:szCs w:val="22"/>
        </w:rPr>
      </w:pPr>
      <w:r w:rsidRPr="00E337D0">
        <w:rPr>
          <w:rFonts w:asciiTheme="minorHAnsi" w:hAnsiTheme="minorHAnsi"/>
          <w:sz w:val="22"/>
          <w:szCs w:val="22"/>
        </w:rPr>
        <w:t>V návrhu rozpočtu běžných výdajů na rok 20</w:t>
      </w:r>
      <w:r w:rsidR="00E337D0" w:rsidRPr="00E337D0">
        <w:rPr>
          <w:rFonts w:asciiTheme="minorHAnsi" w:hAnsiTheme="minorHAnsi"/>
          <w:sz w:val="22"/>
          <w:szCs w:val="22"/>
        </w:rPr>
        <w:t>15</w:t>
      </w:r>
      <w:r w:rsidRPr="00E337D0">
        <w:rPr>
          <w:rFonts w:asciiTheme="minorHAnsi" w:hAnsiTheme="minorHAnsi"/>
          <w:sz w:val="22"/>
          <w:szCs w:val="22"/>
        </w:rPr>
        <w:t xml:space="preserve"> se ve smyslu </w:t>
      </w:r>
      <w:r w:rsidR="00E337D0" w:rsidRPr="00E337D0">
        <w:rPr>
          <w:rFonts w:asciiTheme="minorHAnsi" w:hAnsiTheme="minorHAnsi"/>
          <w:sz w:val="22"/>
          <w:szCs w:val="22"/>
        </w:rPr>
        <w:t>Směrnice pro tvorbu rozpočtu města</w:t>
      </w:r>
      <w:r w:rsidRPr="00E337D0">
        <w:rPr>
          <w:rFonts w:asciiTheme="minorHAnsi" w:hAnsiTheme="minorHAnsi"/>
          <w:sz w:val="22"/>
          <w:szCs w:val="22"/>
        </w:rPr>
        <w:t>, střednědobého rozpočtového výhledu do roku 201</w:t>
      </w:r>
      <w:r w:rsidR="00E337D0" w:rsidRPr="00E337D0">
        <w:rPr>
          <w:rFonts w:asciiTheme="minorHAnsi" w:hAnsiTheme="minorHAnsi"/>
          <w:sz w:val="22"/>
          <w:szCs w:val="22"/>
        </w:rPr>
        <w:t>8</w:t>
      </w:r>
      <w:r w:rsidRPr="00E337D0">
        <w:rPr>
          <w:rFonts w:asciiTheme="minorHAnsi" w:hAnsiTheme="minorHAnsi"/>
          <w:sz w:val="22"/>
          <w:szCs w:val="22"/>
        </w:rPr>
        <w:t xml:space="preserve"> zachovává úroveň schváleného rozpočtu na rok 20</w:t>
      </w:r>
      <w:r w:rsidR="00E337D0" w:rsidRPr="00E337D0">
        <w:rPr>
          <w:rFonts w:asciiTheme="minorHAnsi" w:hAnsiTheme="minorHAnsi"/>
          <w:sz w:val="22"/>
          <w:szCs w:val="22"/>
        </w:rPr>
        <w:t>1</w:t>
      </w:r>
      <w:r w:rsidRPr="00E337D0">
        <w:rPr>
          <w:rFonts w:asciiTheme="minorHAnsi" w:hAnsiTheme="minorHAnsi"/>
          <w:sz w:val="22"/>
          <w:szCs w:val="22"/>
        </w:rPr>
        <w:t>4, snížená o účelové prostředky poskytnuté pro daný rok</w:t>
      </w:r>
      <w:r w:rsidR="00E337D0" w:rsidRPr="00E337D0">
        <w:rPr>
          <w:rFonts w:asciiTheme="minorHAnsi" w:hAnsiTheme="minorHAnsi"/>
          <w:sz w:val="22"/>
          <w:szCs w:val="22"/>
        </w:rPr>
        <w:t xml:space="preserve"> </w:t>
      </w:r>
      <w:r w:rsidRPr="00E337D0">
        <w:rPr>
          <w:rFonts w:asciiTheme="minorHAnsi" w:hAnsiTheme="minorHAnsi"/>
          <w:sz w:val="22"/>
          <w:szCs w:val="22"/>
        </w:rPr>
        <w:t xml:space="preserve">a zvýšená o úpravy provedené v návaznosti na </w:t>
      </w:r>
      <w:r w:rsidR="00E337D0" w:rsidRPr="00E337D0">
        <w:rPr>
          <w:rFonts w:asciiTheme="minorHAnsi" w:hAnsiTheme="minorHAnsi"/>
          <w:sz w:val="22"/>
          <w:szCs w:val="22"/>
        </w:rPr>
        <w:t>projednávání rozpočtu ve vedení města a v radě města. Rozpočet současně reagoval na úpravu nařízení vlády č.330/2003 Sb. O platových poměrech zaměstnanců ve veřejných službách a správě, který v závěru roku 2014 valorizoval mzdy.</w:t>
      </w:r>
    </w:p>
    <w:p w:rsidR="00756F62" w:rsidRPr="00E337D0" w:rsidRDefault="00756F62">
      <w:pPr>
        <w:ind w:firstLine="708"/>
        <w:jc w:val="both"/>
        <w:rPr>
          <w:rFonts w:asciiTheme="minorHAnsi" w:hAnsiTheme="minorHAnsi"/>
          <w:sz w:val="22"/>
          <w:szCs w:val="22"/>
        </w:rPr>
      </w:pPr>
    </w:p>
    <w:p w:rsidR="00756F62" w:rsidRPr="00E337D0" w:rsidRDefault="00756F62">
      <w:pPr>
        <w:ind w:firstLine="708"/>
        <w:jc w:val="both"/>
        <w:rPr>
          <w:rFonts w:asciiTheme="minorHAnsi" w:hAnsiTheme="minorHAnsi"/>
          <w:sz w:val="22"/>
          <w:szCs w:val="22"/>
        </w:rPr>
      </w:pPr>
      <w:r w:rsidRPr="00E337D0">
        <w:rPr>
          <w:rFonts w:asciiTheme="minorHAnsi" w:hAnsiTheme="minorHAnsi"/>
          <w:sz w:val="22"/>
          <w:szCs w:val="22"/>
        </w:rPr>
        <w:t>Podrobné</w:t>
      </w:r>
      <w:r w:rsidR="00E337D0" w:rsidRPr="00E337D0">
        <w:rPr>
          <w:rFonts w:asciiTheme="minorHAnsi" w:hAnsiTheme="minorHAnsi"/>
          <w:sz w:val="22"/>
          <w:szCs w:val="22"/>
        </w:rPr>
        <w:t xml:space="preserve"> tabulky a </w:t>
      </w:r>
      <w:r w:rsidRPr="00E337D0">
        <w:rPr>
          <w:rFonts w:asciiTheme="minorHAnsi" w:hAnsiTheme="minorHAnsi"/>
          <w:sz w:val="22"/>
          <w:szCs w:val="22"/>
        </w:rPr>
        <w:t xml:space="preserve">komentáře k jednotlivým </w:t>
      </w:r>
      <w:r w:rsidR="00E337D0" w:rsidRPr="00E337D0">
        <w:rPr>
          <w:rFonts w:asciiTheme="minorHAnsi" w:hAnsiTheme="minorHAnsi"/>
          <w:sz w:val="22"/>
          <w:szCs w:val="22"/>
        </w:rPr>
        <w:t>organizačním jednotkám</w:t>
      </w:r>
      <w:r w:rsidRPr="00E337D0">
        <w:rPr>
          <w:rFonts w:asciiTheme="minorHAnsi" w:hAnsiTheme="minorHAnsi"/>
          <w:sz w:val="22"/>
          <w:szCs w:val="22"/>
        </w:rPr>
        <w:t xml:space="preserve"> tvoří další část této důvodové zprávy.</w:t>
      </w:r>
    </w:p>
    <w:sectPr w:rsidR="00756F62" w:rsidRPr="00E337D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18D" w:rsidRDefault="0092718D" w:rsidP="0092718D">
      <w:r>
        <w:separator/>
      </w:r>
    </w:p>
  </w:endnote>
  <w:endnote w:type="continuationSeparator" w:id="0">
    <w:p w:rsidR="0092718D" w:rsidRDefault="0092718D" w:rsidP="0092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8D" w:rsidRDefault="0092718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8D" w:rsidRDefault="0092718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8D" w:rsidRDefault="009271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18D" w:rsidRDefault="0092718D" w:rsidP="0092718D">
      <w:r>
        <w:separator/>
      </w:r>
    </w:p>
  </w:footnote>
  <w:footnote w:type="continuationSeparator" w:id="0">
    <w:p w:rsidR="0092718D" w:rsidRDefault="0092718D" w:rsidP="0092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8D" w:rsidRDefault="0092718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8D" w:rsidRPr="0092718D" w:rsidRDefault="00E32BED" w:rsidP="0092718D">
    <w:pPr>
      <w:pStyle w:val="Zhlav"/>
      <w:jc w:val="right"/>
      <w:rPr>
        <w:rFonts w:asciiTheme="minorHAnsi" w:hAnsiTheme="minorHAnsi"/>
        <w:sz w:val="20"/>
        <w:szCs w:val="20"/>
      </w:rPr>
    </w:pPr>
    <w:r>
      <w:rPr>
        <w:rFonts w:asciiTheme="minorHAnsi" w:hAnsiTheme="minorHAnsi"/>
        <w:sz w:val="20"/>
        <w:szCs w:val="20"/>
      </w:rPr>
      <w:t>Č.j. Z</w:t>
    </w:r>
    <w:r w:rsidR="0092718D" w:rsidRPr="0092718D">
      <w:rPr>
        <w:rFonts w:asciiTheme="minorHAnsi" w:hAnsiTheme="minorHAnsi"/>
        <w:sz w:val="20"/>
        <w:szCs w:val="20"/>
      </w:rPr>
      <w:t>/OE/</w:t>
    </w:r>
    <w:bookmarkStart w:id="0" w:name="_GoBack"/>
    <w:bookmarkEnd w:id="0"/>
    <w:r w:rsidRPr="00E32BED">
      <w:rPr>
        <w:rFonts w:asciiTheme="minorHAnsi" w:hAnsiTheme="minorHAnsi"/>
        <w:sz w:val="20"/>
        <w:szCs w:val="20"/>
      </w:rPr>
      <w:t>001445</w:t>
    </w:r>
    <w:r w:rsidR="0092718D" w:rsidRPr="0092718D">
      <w:rPr>
        <w:rFonts w:asciiTheme="minorHAnsi" w:hAnsiTheme="minorHAnsi"/>
        <w:sz w:val="20"/>
        <w:szCs w:val="20"/>
      </w:rPr>
      <w:t>/2015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8D" w:rsidRDefault="009271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23557"/>
    <w:multiLevelType w:val="hybridMultilevel"/>
    <w:tmpl w:val="37CCE6F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3EE92759"/>
    <w:multiLevelType w:val="hybridMultilevel"/>
    <w:tmpl w:val="73AE6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28520AF"/>
    <w:multiLevelType w:val="hybridMultilevel"/>
    <w:tmpl w:val="2E806DD8"/>
    <w:lvl w:ilvl="0" w:tplc="04050001">
      <w:start w:val="1"/>
      <w:numFmt w:val="bullet"/>
      <w:lvlText w:val=""/>
      <w:lvlJc w:val="left"/>
      <w:pPr>
        <w:tabs>
          <w:tab w:val="num" w:pos="720"/>
        </w:tabs>
        <w:ind w:left="720" w:hanging="360"/>
      </w:pPr>
      <w:rPr>
        <w:rFonts w:ascii="Symbol" w:hAnsi="Symbol" w:cs="Symbol" w:hint="default"/>
      </w:rPr>
    </w:lvl>
    <w:lvl w:ilvl="1" w:tplc="0405000F">
      <w:start w:val="1"/>
      <w:numFmt w:val="decimal"/>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476954D3"/>
    <w:multiLevelType w:val="hybridMultilevel"/>
    <w:tmpl w:val="F99EBA2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4">
    <w:nsid w:val="610E1FBF"/>
    <w:multiLevelType w:val="hybridMultilevel"/>
    <w:tmpl w:val="35C8A658"/>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62"/>
    <w:rsid w:val="000F34D6"/>
    <w:rsid w:val="00153962"/>
    <w:rsid w:val="001A088F"/>
    <w:rsid w:val="001B2330"/>
    <w:rsid w:val="00400267"/>
    <w:rsid w:val="004D03F3"/>
    <w:rsid w:val="00565239"/>
    <w:rsid w:val="005760F3"/>
    <w:rsid w:val="00592F6B"/>
    <w:rsid w:val="005C14E9"/>
    <w:rsid w:val="006C74A6"/>
    <w:rsid w:val="00756F62"/>
    <w:rsid w:val="007A25CB"/>
    <w:rsid w:val="007A4F52"/>
    <w:rsid w:val="0092718D"/>
    <w:rsid w:val="00D41F96"/>
    <w:rsid w:val="00DE143A"/>
    <w:rsid w:val="00E27236"/>
    <w:rsid w:val="00E32BED"/>
    <w:rsid w:val="00E337D0"/>
    <w:rsid w:val="00E37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C4FE65-D4E4-4B2B-A8FD-263D97B8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pPr>
      <w:jc w:val="center"/>
    </w:pPr>
    <w:rPr>
      <w:b/>
      <w:bCs/>
      <w:sz w:val="28"/>
      <w:szCs w:val="28"/>
    </w:rPr>
  </w:style>
  <w:style w:type="character" w:customStyle="1" w:styleId="NzevChar">
    <w:name w:val="Název Char"/>
    <w:basedOn w:val="Standardnpsmoodstavce"/>
    <w:link w:val="Nzev"/>
    <w:uiPriority w:val="10"/>
    <w:rPr>
      <w:rFonts w:asciiTheme="majorHAnsi" w:eastAsiaTheme="majorEastAsia" w:hAnsiTheme="majorHAnsi" w:cstheme="majorBidi"/>
      <w:b/>
      <w:bCs/>
      <w:kern w:val="28"/>
      <w:sz w:val="32"/>
      <w:szCs w:val="32"/>
    </w:rPr>
  </w:style>
  <w:style w:type="table" w:styleId="Mkatabulky">
    <w:name w:val="Table Grid"/>
    <w:basedOn w:val="Normlntabulka"/>
    <w:uiPriority w:val="39"/>
    <w:rsid w:val="001A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A25C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25CB"/>
    <w:rPr>
      <w:rFonts w:ascii="Segoe UI" w:hAnsi="Segoe UI" w:cs="Segoe UI"/>
      <w:sz w:val="18"/>
      <w:szCs w:val="18"/>
    </w:rPr>
  </w:style>
  <w:style w:type="paragraph" w:styleId="Zhlav">
    <w:name w:val="header"/>
    <w:basedOn w:val="Normln"/>
    <w:link w:val="ZhlavChar"/>
    <w:uiPriority w:val="99"/>
    <w:unhideWhenUsed/>
    <w:rsid w:val="0092718D"/>
    <w:pPr>
      <w:tabs>
        <w:tab w:val="center" w:pos="4536"/>
        <w:tab w:val="right" w:pos="9072"/>
      </w:tabs>
    </w:pPr>
  </w:style>
  <w:style w:type="character" w:customStyle="1" w:styleId="ZhlavChar">
    <w:name w:val="Záhlaví Char"/>
    <w:basedOn w:val="Standardnpsmoodstavce"/>
    <w:link w:val="Zhlav"/>
    <w:uiPriority w:val="99"/>
    <w:rsid w:val="0092718D"/>
    <w:rPr>
      <w:rFonts w:ascii="Times New Roman" w:hAnsi="Times New Roman" w:cs="Times New Roman"/>
      <w:sz w:val="24"/>
      <w:szCs w:val="24"/>
    </w:rPr>
  </w:style>
  <w:style w:type="paragraph" w:styleId="Zpat">
    <w:name w:val="footer"/>
    <w:basedOn w:val="Normln"/>
    <w:link w:val="ZpatChar"/>
    <w:uiPriority w:val="99"/>
    <w:unhideWhenUsed/>
    <w:rsid w:val="0092718D"/>
    <w:pPr>
      <w:tabs>
        <w:tab w:val="center" w:pos="4536"/>
        <w:tab w:val="right" w:pos="9072"/>
      </w:tabs>
    </w:pPr>
  </w:style>
  <w:style w:type="character" w:customStyle="1" w:styleId="ZpatChar">
    <w:name w:val="Zápatí Char"/>
    <w:basedOn w:val="Standardnpsmoodstavce"/>
    <w:link w:val="Zpat"/>
    <w:uiPriority w:val="99"/>
    <w:rsid w:val="009271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3759">
      <w:bodyDiv w:val="1"/>
      <w:marLeft w:val="0"/>
      <w:marRight w:val="0"/>
      <w:marTop w:val="0"/>
      <w:marBottom w:val="0"/>
      <w:divBdr>
        <w:top w:val="none" w:sz="0" w:space="0" w:color="auto"/>
        <w:left w:val="none" w:sz="0" w:space="0" w:color="auto"/>
        <w:bottom w:val="none" w:sz="0" w:space="0" w:color="auto"/>
        <w:right w:val="none" w:sz="0" w:space="0" w:color="auto"/>
      </w:divBdr>
    </w:div>
    <w:div w:id="49698284">
      <w:bodyDiv w:val="1"/>
      <w:marLeft w:val="0"/>
      <w:marRight w:val="0"/>
      <w:marTop w:val="0"/>
      <w:marBottom w:val="0"/>
      <w:divBdr>
        <w:top w:val="none" w:sz="0" w:space="0" w:color="auto"/>
        <w:left w:val="none" w:sz="0" w:space="0" w:color="auto"/>
        <w:bottom w:val="none" w:sz="0" w:space="0" w:color="auto"/>
        <w:right w:val="none" w:sz="0" w:space="0" w:color="auto"/>
      </w:divBdr>
    </w:div>
    <w:div w:id="224143962">
      <w:bodyDiv w:val="1"/>
      <w:marLeft w:val="0"/>
      <w:marRight w:val="0"/>
      <w:marTop w:val="0"/>
      <w:marBottom w:val="0"/>
      <w:divBdr>
        <w:top w:val="none" w:sz="0" w:space="0" w:color="auto"/>
        <w:left w:val="none" w:sz="0" w:space="0" w:color="auto"/>
        <w:bottom w:val="none" w:sz="0" w:space="0" w:color="auto"/>
        <w:right w:val="none" w:sz="0" w:space="0" w:color="auto"/>
      </w:divBdr>
    </w:div>
    <w:div w:id="422066320">
      <w:bodyDiv w:val="1"/>
      <w:marLeft w:val="0"/>
      <w:marRight w:val="0"/>
      <w:marTop w:val="0"/>
      <w:marBottom w:val="0"/>
      <w:divBdr>
        <w:top w:val="none" w:sz="0" w:space="0" w:color="auto"/>
        <w:left w:val="none" w:sz="0" w:space="0" w:color="auto"/>
        <w:bottom w:val="none" w:sz="0" w:space="0" w:color="auto"/>
        <w:right w:val="none" w:sz="0" w:space="0" w:color="auto"/>
      </w:divBdr>
    </w:div>
    <w:div w:id="443812017">
      <w:bodyDiv w:val="1"/>
      <w:marLeft w:val="0"/>
      <w:marRight w:val="0"/>
      <w:marTop w:val="0"/>
      <w:marBottom w:val="0"/>
      <w:divBdr>
        <w:top w:val="none" w:sz="0" w:space="0" w:color="auto"/>
        <w:left w:val="none" w:sz="0" w:space="0" w:color="auto"/>
        <w:bottom w:val="none" w:sz="0" w:space="0" w:color="auto"/>
        <w:right w:val="none" w:sz="0" w:space="0" w:color="auto"/>
      </w:divBdr>
    </w:div>
    <w:div w:id="479276115">
      <w:bodyDiv w:val="1"/>
      <w:marLeft w:val="0"/>
      <w:marRight w:val="0"/>
      <w:marTop w:val="0"/>
      <w:marBottom w:val="0"/>
      <w:divBdr>
        <w:top w:val="none" w:sz="0" w:space="0" w:color="auto"/>
        <w:left w:val="none" w:sz="0" w:space="0" w:color="auto"/>
        <w:bottom w:val="none" w:sz="0" w:space="0" w:color="auto"/>
        <w:right w:val="none" w:sz="0" w:space="0" w:color="auto"/>
      </w:divBdr>
    </w:div>
    <w:div w:id="535971835">
      <w:bodyDiv w:val="1"/>
      <w:marLeft w:val="0"/>
      <w:marRight w:val="0"/>
      <w:marTop w:val="0"/>
      <w:marBottom w:val="0"/>
      <w:divBdr>
        <w:top w:val="none" w:sz="0" w:space="0" w:color="auto"/>
        <w:left w:val="none" w:sz="0" w:space="0" w:color="auto"/>
        <w:bottom w:val="none" w:sz="0" w:space="0" w:color="auto"/>
        <w:right w:val="none" w:sz="0" w:space="0" w:color="auto"/>
      </w:divBdr>
    </w:div>
    <w:div w:id="921254939">
      <w:bodyDiv w:val="1"/>
      <w:marLeft w:val="0"/>
      <w:marRight w:val="0"/>
      <w:marTop w:val="0"/>
      <w:marBottom w:val="0"/>
      <w:divBdr>
        <w:top w:val="none" w:sz="0" w:space="0" w:color="auto"/>
        <w:left w:val="none" w:sz="0" w:space="0" w:color="auto"/>
        <w:bottom w:val="none" w:sz="0" w:space="0" w:color="auto"/>
        <w:right w:val="none" w:sz="0" w:space="0" w:color="auto"/>
      </w:divBdr>
    </w:div>
    <w:div w:id="1237089716">
      <w:bodyDiv w:val="1"/>
      <w:marLeft w:val="0"/>
      <w:marRight w:val="0"/>
      <w:marTop w:val="0"/>
      <w:marBottom w:val="0"/>
      <w:divBdr>
        <w:top w:val="none" w:sz="0" w:space="0" w:color="auto"/>
        <w:left w:val="none" w:sz="0" w:space="0" w:color="auto"/>
        <w:bottom w:val="none" w:sz="0" w:space="0" w:color="auto"/>
        <w:right w:val="none" w:sz="0" w:space="0" w:color="auto"/>
      </w:divBdr>
    </w:div>
    <w:div w:id="1593733579">
      <w:bodyDiv w:val="1"/>
      <w:marLeft w:val="0"/>
      <w:marRight w:val="0"/>
      <w:marTop w:val="0"/>
      <w:marBottom w:val="0"/>
      <w:divBdr>
        <w:top w:val="none" w:sz="0" w:space="0" w:color="auto"/>
        <w:left w:val="none" w:sz="0" w:space="0" w:color="auto"/>
        <w:bottom w:val="none" w:sz="0" w:space="0" w:color="auto"/>
        <w:right w:val="none" w:sz="0" w:space="0" w:color="auto"/>
      </w:divBdr>
    </w:div>
    <w:div w:id="1676416435">
      <w:bodyDiv w:val="1"/>
      <w:marLeft w:val="0"/>
      <w:marRight w:val="0"/>
      <w:marTop w:val="0"/>
      <w:marBottom w:val="0"/>
      <w:divBdr>
        <w:top w:val="none" w:sz="0" w:space="0" w:color="auto"/>
        <w:left w:val="none" w:sz="0" w:space="0" w:color="auto"/>
        <w:bottom w:val="none" w:sz="0" w:space="0" w:color="auto"/>
        <w:right w:val="none" w:sz="0" w:space="0" w:color="auto"/>
      </w:divBdr>
    </w:div>
    <w:div w:id="1700887562">
      <w:bodyDiv w:val="1"/>
      <w:marLeft w:val="0"/>
      <w:marRight w:val="0"/>
      <w:marTop w:val="0"/>
      <w:marBottom w:val="0"/>
      <w:divBdr>
        <w:top w:val="none" w:sz="0" w:space="0" w:color="auto"/>
        <w:left w:val="none" w:sz="0" w:space="0" w:color="auto"/>
        <w:bottom w:val="none" w:sz="0" w:space="0" w:color="auto"/>
        <w:right w:val="none" w:sz="0" w:space="0" w:color="auto"/>
      </w:divBdr>
    </w:div>
    <w:div w:id="1792702056">
      <w:bodyDiv w:val="1"/>
      <w:marLeft w:val="0"/>
      <w:marRight w:val="0"/>
      <w:marTop w:val="0"/>
      <w:marBottom w:val="0"/>
      <w:divBdr>
        <w:top w:val="none" w:sz="0" w:space="0" w:color="auto"/>
        <w:left w:val="none" w:sz="0" w:space="0" w:color="auto"/>
        <w:bottom w:val="none" w:sz="0" w:space="0" w:color="auto"/>
        <w:right w:val="none" w:sz="0" w:space="0" w:color="auto"/>
      </w:divBdr>
    </w:div>
    <w:div w:id="1991251527">
      <w:bodyDiv w:val="1"/>
      <w:marLeft w:val="0"/>
      <w:marRight w:val="0"/>
      <w:marTop w:val="0"/>
      <w:marBottom w:val="0"/>
      <w:divBdr>
        <w:top w:val="none" w:sz="0" w:space="0" w:color="auto"/>
        <w:left w:val="none" w:sz="0" w:space="0" w:color="auto"/>
        <w:bottom w:val="none" w:sz="0" w:space="0" w:color="auto"/>
        <w:right w:val="none" w:sz="0" w:space="0" w:color="auto"/>
      </w:divBdr>
    </w:div>
    <w:div w:id="20874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1762</Words>
  <Characters>9781</Characters>
  <Application>Microsoft Office Word</Application>
  <DocSecurity>0</DocSecurity>
  <Lines>81</Lines>
  <Paragraphs>23</Paragraphs>
  <ScaleCrop>false</ScaleCrop>
  <HeadingPairs>
    <vt:vector size="2" baseType="variant">
      <vt:variant>
        <vt:lpstr>Název</vt:lpstr>
      </vt:variant>
      <vt:variant>
        <vt:i4>1</vt:i4>
      </vt:variant>
    </vt:vector>
  </HeadingPairs>
  <TitlesOfParts>
    <vt:vector size="1" baseType="lpstr">
      <vt:lpstr>Důvodová zpráva</vt:lpstr>
    </vt:vector>
  </TitlesOfParts>
  <Company>MHMP</Company>
  <LinksUpToDate>false</LinksUpToDate>
  <CharactersWithSpaces>11520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INF</dc:creator>
  <cp:keywords/>
  <dc:description/>
  <cp:lastModifiedBy>Mareš Jan (Ekonom)</cp:lastModifiedBy>
  <cp:revision>5</cp:revision>
  <cp:lastPrinted>2015-03-04T09:10:00Z</cp:lastPrinted>
  <dcterms:created xsi:type="dcterms:W3CDTF">2015-03-04T09:12:00Z</dcterms:created>
  <dcterms:modified xsi:type="dcterms:W3CDTF">2015-03-05T07:23:00Z</dcterms:modified>
</cp:coreProperties>
</file>