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1582"/>
        <w:gridCol w:w="3850"/>
      </w:tblGrid>
      <w:tr w:rsidR="00946699" w:rsidTr="003334BA">
        <w:trPr>
          <w:trHeight w:val="283"/>
        </w:trPr>
        <w:tc>
          <w:tcPr>
            <w:tcW w:w="4217" w:type="dxa"/>
            <w:vMerge w:val="restart"/>
          </w:tcPr>
          <w:p w:rsidR="003334BA" w:rsidRDefault="003334BA" w:rsidP="00803B9A">
            <w:pPr>
              <w:spacing w:before="60" w:after="60"/>
              <w:jc w:val="both"/>
            </w:pPr>
          </w:p>
          <w:p w:rsidR="006550EE" w:rsidRPr="00E163D1" w:rsidRDefault="00C6733E" w:rsidP="00803B9A">
            <w:pPr>
              <w:spacing w:before="60" w:after="60"/>
              <w:jc w:val="both"/>
            </w:pPr>
            <w:r>
              <w:t xml:space="preserve">Prostřednictvím </w:t>
            </w:r>
            <w:r w:rsidR="003334BA">
              <w:t>pošty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946699" w:rsidRPr="00486CF3" w:rsidRDefault="00946699" w:rsidP="000A493C">
            <w:pPr>
              <w:jc w:val="right"/>
              <w:rPr>
                <w:caps/>
              </w:rPr>
            </w:pPr>
            <w:r w:rsidRPr="00FA660C">
              <w:rPr>
                <w:caps/>
              </w:rPr>
              <w:t>V</w:t>
            </w:r>
            <w:r w:rsidR="009237E5" w:rsidRPr="00FA660C">
              <w:t>áš dopis zn</w:t>
            </w:r>
            <w:r w:rsidRPr="00FA660C">
              <w:rPr>
                <w:caps/>
              </w:rPr>
              <w:t>.:</w:t>
            </w:r>
          </w:p>
        </w:tc>
        <w:tc>
          <w:tcPr>
            <w:tcW w:w="3850" w:type="dxa"/>
          </w:tcPr>
          <w:p w:rsidR="00946699" w:rsidRPr="00486CF3" w:rsidRDefault="00946699" w:rsidP="000A493C">
            <w:pPr>
              <w:jc w:val="both"/>
            </w:pPr>
          </w:p>
        </w:tc>
      </w:tr>
      <w:tr w:rsidR="00946699" w:rsidTr="003334BA">
        <w:trPr>
          <w:trHeight w:val="283"/>
        </w:trPr>
        <w:tc>
          <w:tcPr>
            <w:tcW w:w="4217" w:type="dxa"/>
            <w:vMerge/>
          </w:tcPr>
          <w:p w:rsidR="00946699" w:rsidRPr="005E1E7A" w:rsidRDefault="00946699" w:rsidP="00803B9A">
            <w:pPr>
              <w:spacing w:before="60" w:after="60"/>
              <w:rPr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946699" w:rsidRPr="00486CF3" w:rsidRDefault="009237E5" w:rsidP="000A493C">
            <w:pPr>
              <w:jc w:val="right"/>
              <w:rPr>
                <w:caps/>
              </w:rPr>
            </w:pPr>
            <w:r w:rsidRPr="00FA660C">
              <w:t>Ze dne:</w:t>
            </w:r>
          </w:p>
        </w:tc>
        <w:tc>
          <w:tcPr>
            <w:tcW w:w="3850" w:type="dxa"/>
          </w:tcPr>
          <w:p w:rsidR="00946699" w:rsidRPr="00486CF3" w:rsidRDefault="003334BA" w:rsidP="000A493C">
            <w:pPr>
              <w:jc w:val="both"/>
            </w:pPr>
            <w:r>
              <w:t>25.3.2026</w:t>
            </w:r>
          </w:p>
        </w:tc>
      </w:tr>
      <w:tr w:rsidR="00946699" w:rsidTr="003334BA">
        <w:trPr>
          <w:trHeight w:val="315"/>
        </w:trPr>
        <w:tc>
          <w:tcPr>
            <w:tcW w:w="4217" w:type="dxa"/>
            <w:vMerge/>
          </w:tcPr>
          <w:p w:rsidR="00946699" w:rsidRPr="005E1E7A" w:rsidRDefault="00946699" w:rsidP="00803B9A">
            <w:pPr>
              <w:spacing w:before="60" w:after="60"/>
              <w:rPr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C202D8" w:rsidRPr="00C202D8" w:rsidRDefault="00C202D8" w:rsidP="00FA660C"/>
        </w:tc>
        <w:tc>
          <w:tcPr>
            <w:tcW w:w="3850" w:type="dxa"/>
          </w:tcPr>
          <w:p w:rsidR="00946699" w:rsidRPr="00486CF3" w:rsidRDefault="00946699" w:rsidP="000A493C">
            <w:pPr>
              <w:jc w:val="both"/>
            </w:pPr>
          </w:p>
        </w:tc>
      </w:tr>
      <w:tr w:rsidR="00FA660C" w:rsidTr="003334BA">
        <w:trPr>
          <w:trHeight w:val="283"/>
        </w:trPr>
        <w:tc>
          <w:tcPr>
            <w:tcW w:w="4217" w:type="dxa"/>
            <w:vMerge/>
          </w:tcPr>
          <w:p w:rsidR="00FA660C" w:rsidRPr="005E1E7A" w:rsidRDefault="00FA660C" w:rsidP="00FA660C">
            <w:pPr>
              <w:spacing w:before="60" w:after="60"/>
              <w:rPr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FA660C" w:rsidRPr="00486CF3" w:rsidRDefault="0083253F" w:rsidP="00FA660C">
            <w:pPr>
              <w:jc w:val="right"/>
              <w:rPr>
                <w:caps/>
              </w:rPr>
            </w:pPr>
            <w:r>
              <w:t>Naše č.j.</w:t>
            </w:r>
            <w:r w:rsidR="00FA660C" w:rsidRPr="00FA660C">
              <w:t>:</w:t>
            </w:r>
          </w:p>
        </w:tc>
        <w:tc>
          <w:tcPr>
            <w:tcW w:w="3850" w:type="dxa"/>
          </w:tcPr>
          <w:p w:rsidR="00FA660C" w:rsidRPr="00486CF3" w:rsidRDefault="009000EC" w:rsidP="00FA660C">
            <w:pPr>
              <w:jc w:val="both"/>
            </w:pPr>
            <w:r w:rsidRPr="009000EC">
              <w:t>MMCH/68732/2026/OIA/Kuhn</w:t>
            </w:r>
          </w:p>
        </w:tc>
      </w:tr>
      <w:tr w:rsidR="00FA660C" w:rsidTr="003334BA">
        <w:trPr>
          <w:trHeight w:val="283"/>
        </w:trPr>
        <w:tc>
          <w:tcPr>
            <w:tcW w:w="4217" w:type="dxa"/>
            <w:vMerge/>
          </w:tcPr>
          <w:p w:rsidR="00FA660C" w:rsidRPr="005E1E7A" w:rsidRDefault="00FA660C" w:rsidP="00FA660C">
            <w:pPr>
              <w:spacing w:before="60" w:after="60"/>
              <w:rPr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FA660C" w:rsidRPr="00486CF3" w:rsidRDefault="00FA660C" w:rsidP="00FA660C">
            <w:pPr>
              <w:jc w:val="right"/>
              <w:rPr>
                <w:caps/>
              </w:rPr>
            </w:pPr>
            <w:r w:rsidRPr="00FA660C">
              <w:t>Vyřizuje:</w:t>
            </w:r>
          </w:p>
        </w:tc>
        <w:tc>
          <w:tcPr>
            <w:tcW w:w="3850" w:type="dxa"/>
          </w:tcPr>
          <w:p w:rsidR="00FA660C" w:rsidRPr="00486CF3" w:rsidRDefault="00736080" w:rsidP="00FA660C">
            <w:pPr>
              <w:jc w:val="both"/>
            </w:pPr>
            <w:r>
              <w:t xml:space="preserve">Mgr. </w:t>
            </w:r>
            <w:r w:rsidR="008E1717">
              <w:t>David Kuhn</w:t>
            </w:r>
          </w:p>
        </w:tc>
      </w:tr>
      <w:tr w:rsidR="00FA660C" w:rsidTr="003334BA">
        <w:trPr>
          <w:trHeight w:val="283"/>
        </w:trPr>
        <w:tc>
          <w:tcPr>
            <w:tcW w:w="4217" w:type="dxa"/>
            <w:vMerge/>
          </w:tcPr>
          <w:p w:rsidR="00FA660C" w:rsidRPr="005E1E7A" w:rsidRDefault="00FA660C" w:rsidP="00FA660C">
            <w:pPr>
              <w:spacing w:before="60" w:after="60"/>
              <w:rPr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FA660C" w:rsidRPr="00486CF3" w:rsidRDefault="00FA660C" w:rsidP="00FA660C">
            <w:pPr>
              <w:jc w:val="right"/>
              <w:rPr>
                <w:caps/>
              </w:rPr>
            </w:pPr>
            <w:r w:rsidRPr="00FA660C">
              <w:t>Tel.:</w:t>
            </w:r>
          </w:p>
        </w:tc>
        <w:tc>
          <w:tcPr>
            <w:tcW w:w="3850" w:type="dxa"/>
          </w:tcPr>
          <w:p w:rsidR="00FA660C" w:rsidRPr="00486CF3" w:rsidRDefault="00FA660C" w:rsidP="00FA660C">
            <w:pPr>
              <w:jc w:val="both"/>
            </w:pPr>
            <w:r>
              <w:t xml:space="preserve">474 637 </w:t>
            </w:r>
            <w:r w:rsidR="00736080">
              <w:t>4</w:t>
            </w:r>
            <w:r w:rsidR="00411D2C">
              <w:t>78</w:t>
            </w:r>
          </w:p>
        </w:tc>
      </w:tr>
      <w:tr w:rsidR="00FA660C" w:rsidTr="003334BA">
        <w:trPr>
          <w:trHeight w:val="283"/>
        </w:trPr>
        <w:tc>
          <w:tcPr>
            <w:tcW w:w="4217" w:type="dxa"/>
            <w:vMerge/>
          </w:tcPr>
          <w:p w:rsidR="00FA660C" w:rsidRPr="005E1E7A" w:rsidRDefault="00FA660C" w:rsidP="00FA660C">
            <w:pPr>
              <w:spacing w:before="60" w:after="60"/>
              <w:rPr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FA660C" w:rsidRPr="00486CF3" w:rsidRDefault="00FA660C" w:rsidP="00FA660C">
            <w:pPr>
              <w:jc w:val="right"/>
              <w:rPr>
                <w:caps/>
              </w:rPr>
            </w:pPr>
            <w:r w:rsidRPr="00FA660C">
              <w:t>Email:</w:t>
            </w:r>
          </w:p>
        </w:tc>
        <w:tc>
          <w:tcPr>
            <w:tcW w:w="3850" w:type="dxa"/>
          </w:tcPr>
          <w:p w:rsidR="00FA660C" w:rsidRPr="00486CF3" w:rsidRDefault="00411D2C" w:rsidP="00FA660C">
            <w:pPr>
              <w:jc w:val="both"/>
            </w:pPr>
            <w:r>
              <w:t>d.kuhn</w:t>
            </w:r>
            <w:r w:rsidR="00FA660C">
              <w:t>@chomutov.cz</w:t>
            </w:r>
          </w:p>
        </w:tc>
      </w:tr>
      <w:tr w:rsidR="00FA660C" w:rsidTr="003334BA">
        <w:trPr>
          <w:trHeight w:val="283"/>
        </w:trPr>
        <w:tc>
          <w:tcPr>
            <w:tcW w:w="4217" w:type="dxa"/>
            <w:vMerge/>
          </w:tcPr>
          <w:p w:rsidR="00FA660C" w:rsidRPr="005E1E7A" w:rsidRDefault="00FA660C" w:rsidP="00FA660C">
            <w:pPr>
              <w:spacing w:before="60" w:after="60"/>
              <w:rPr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FA660C" w:rsidRPr="00486CF3" w:rsidRDefault="00FA660C" w:rsidP="00FA660C">
            <w:pPr>
              <w:jc w:val="right"/>
              <w:rPr>
                <w:caps/>
              </w:rPr>
            </w:pPr>
            <w:r w:rsidRPr="00FA660C">
              <w:t>Datum:</w:t>
            </w:r>
          </w:p>
        </w:tc>
        <w:tc>
          <w:tcPr>
            <w:tcW w:w="3850" w:type="dxa"/>
          </w:tcPr>
          <w:p w:rsidR="00FA660C" w:rsidRPr="00486CF3" w:rsidRDefault="003334BA" w:rsidP="00FA660C">
            <w:pPr>
              <w:jc w:val="both"/>
            </w:pPr>
            <w:r>
              <w:t>8.4.2026</w:t>
            </w:r>
          </w:p>
        </w:tc>
      </w:tr>
    </w:tbl>
    <w:p w:rsidR="00C6733E" w:rsidRDefault="00C6733E" w:rsidP="00C6733E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/>
          <w:lang w:eastAsia="cs-CZ"/>
        </w:rPr>
      </w:pPr>
    </w:p>
    <w:p w:rsidR="00C6733E" w:rsidRDefault="00C6733E" w:rsidP="00C6733E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/>
          <w:lang w:eastAsia="cs-CZ"/>
        </w:rPr>
      </w:pPr>
    </w:p>
    <w:p w:rsidR="00D8386F" w:rsidRPr="008D01D4" w:rsidRDefault="00D8386F" w:rsidP="00D8386F">
      <w:pPr>
        <w:jc w:val="center"/>
        <w:rPr>
          <w:rFonts w:ascii="Calibri" w:hAnsi="Calibri" w:cs="Arial"/>
          <w:b/>
        </w:rPr>
      </w:pPr>
      <w:r w:rsidRPr="008D01D4">
        <w:rPr>
          <w:rFonts w:ascii="Calibri" w:hAnsi="Calibri" w:cs="Arial"/>
          <w:b/>
        </w:rPr>
        <w:t>Sdělení o poskytnutí informace a částečném odmítnutí žádosti</w:t>
      </w:r>
    </w:p>
    <w:p w:rsidR="00D8386F" w:rsidRPr="008D01D4" w:rsidRDefault="00D8386F" w:rsidP="00D8386F">
      <w:pPr>
        <w:jc w:val="both"/>
        <w:rPr>
          <w:rFonts w:ascii="Calibri" w:hAnsi="Calibri" w:cs="Arial"/>
        </w:rPr>
      </w:pPr>
      <w:r w:rsidRPr="008D01D4">
        <w:rPr>
          <w:rFonts w:ascii="Calibri" w:hAnsi="Calibri" w:cs="Arial"/>
        </w:rPr>
        <w:t xml:space="preserve">Dne </w:t>
      </w:r>
      <w:r w:rsidR="003334BA">
        <w:rPr>
          <w:rFonts w:ascii="Calibri" w:hAnsi="Calibri" w:cs="Arial"/>
        </w:rPr>
        <w:t>25.3.2025</w:t>
      </w:r>
      <w:r w:rsidRPr="008D01D4">
        <w:rPr>
          <w:rFonts w:ascii="Calibri" w:hAnsi="Calibri" w:cs="Arial"/>
        </w:rPr>
        <w:t xml:space="preserve"> byla na magistrát města Chomutova doručena žádost </w:t>
      </w:r>
      <w:r w:rsidR="0014293F">
        <w:rPr>
          <w:rFonts w:ascii="Calibri" w:hAnsi="Calibri" w:cs="Arial"/>
        </w:rPr>
        <w:t>XXX</w:t>
      </w:r>
      <w:r w:rsidRPr="008D01D4">
        <w:rPr>
          <w:rFonts w:ascii="Calibri" w:hAnsi="Calibri" w:cs="Arial"/>
        </w:rPr>
        <w:t xml:space="preserve">, trvale bytem: </w:t>
      </w:r>
      <w:r w:rsidR="0014293F">
        <w:rPr>
          <w:rFonts w:ascii="Calibri" w:hAnsi="Calibri" w:cs="Arial"/>
        </w:rPr>
        <w:t>XXX</w:t>
      </w:r>
      <w:r w:rsidR="006500B9">
        <w:rPr>
          <w:rFonts w:ascii="Calibri" w:hAnsi="Calibri" w:cs="Arial"/>
        </w:rPr>
        <w:t xml:space="preserve">, </w:t>
      </w:r>
      <w:r w:rsidR="0014293F">
        <w:rPr>
          <w:rFonts w:ascii="Calibri" w:hAnsi="Calibri" w:cs="Arial"/>
        </w:rPr>
        <w:t>XXX</w:t>
      </w:r>
      <w:r w:rsidRPr="008D01D4">
        <w:rPr>
          <w:rFonts w:ascii="Calibri" w:hAnsi="Calibri" w:cs="Arial"/>
        </w:rPr>
        <w:t xml:space="preserve"> o poskytnutí informací: 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Věc: Žádost o poskytnutí informací podle zákona Č. 106/1999 Sb., o svobodném přístupu k informacím, v platném znění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V souladu se zákonem č. 106/1999 Sb., o svobodném přístupu k informacím, Vás tímto zdvořile žádám o poskytnutí následujících informací týkajících se pozemku par. č. 334/1 v katastrálním území Březno u Chomutova, v rámci postupu stavebního úřadu v řízení. Konkrétně žádám o: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1.Požaduji zaslat kopii vydaného koordinovaného závazného stanoviska Magistrátu města Chomutova na výše uvedený záměr vydané pod č.j.: MMCH/35011/2024OŽP/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MutDag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 z 19.3.2024.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2.Požaduji zaslat kopii závazného stanoviska Magistrátu města Chomutova, orgánu ochrany zemědělského půdního fondu ze dne 13.6.2024 pod č.j.: MMCH/70959/2024/OŽP/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Kož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>. které bylo součástí spisu na výše uvedený záměr.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 xml:space="preserve">3.Požaduji informaci, zda vyhodnotil stavební úřad při vydání územního rozhodnutí na výše uvedený záměr skutečnost, že skatepark patří mezi hřiště tzv. speciální, která se má posoudit se zvýšenou pečlivostí a přinejmenším by se tato hřiště neměla budovat bezprostředně u obytné zástavby, ale ve větší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odstupové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 vzdálenosti? A dále požaduji informaci, zda zohlednil stavební úřad při vydání územního rozhodnutí stanovisko Ministerstva zdravotnictví Č. j. MZDR 15030/2020-1/OVZ ze dne 6. 4. 2020, které ke Skateparkům uvádí a apeluje že, „zejména stavební úřady by měly věnovat zvýšenou pozornost především při rozhodování o umístění provozu a objektů, u nichž lze již ze zkušenosti předpokládat zvýšené obtěžování náhodnými zdroji hluku (dětská hřiště, sportoviště, předzahrádky restaurací i restaurace jako takové apod.). Je třeba vždy zvážit v rámci institutu „pohody bydlení" negativa (např. obtěžování, bezpečnostní otázky, veřejný pořádek) a společenské přínosy realizace takových objektů (např. zájem na pohybových aktivitách dětí a mládeže, zázemí pro matky s malými dětmi)? Pokud se těmito stanovisky při rozhodování stavební úřad neřídil při povolení záměru, tak požaduji zaslat informaci, z jakého důvodu se těmito stanovisky neřídil.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4.Požaduji zaslat informaci, zda a jak bylo v řízení zohledněno zařazení skateparku mezi tzv. speciální hřiště z hlediska posuzování hluku a z hlediska umístění bezprostředně u obytné zástavby.</w:t>
      </w:r>
    </w:p>
    <w:p w:rsidR="0064532D" w:rsidRPr="00EE55E4" w:rsidRDefault="0064532D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lastRenderedPageBreak/>
        <w:t>5.Požaduji zaslat informaci jakým způsobem stavební úřad ověřil splnění hygienických limitů hluku, pokud v řízení nevystupoval orgán ochrany veřejného zdraví a nebylo vydáno jeho závazné stanovisko.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6.Ve vydaném územním rozhodnutí stavebním úřadem Chomutov ze dne 17.6.2024, č.j.: MMCH/80139/2024 je součástí podmínka č. 3, že před zahájením stavby dojde k provedení skrývky kulturních vrstev půdy v množství cca 757 m3 z plochy záboru o výměře 1427 m2. Požaduji zaslat informaci, z čeho je počítána zmíněna velikost záboru, když zastavěná plocha skateparku činí 581 m2.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7.Požaduji zaslat informaci z jakých důvodů nebylo nařízené ústní jednání na místě samém či jakékoliv společné jednání, přestože v řízení byly uplatněny námitky účastníků.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8.Požaduji zaslat informaci, jak je možné, že se v průběhu řízení, po uplatnění námitek účastníků řízení změnila dokumentace k záměru, doplnila se souhrnná technická zpráva o informaci o umístění protihlukové stěny a oplocení areálu s výsadbou stromů a dále se doplnila také koordinační situace stavby a s tímto nebyly účastníci řízení seznámeni a nebyla jim dána možnost vyjádřit se dle §36 správního řádu a rovnou bylo vydáno stavebním úřadem územní rozhodnutí.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 xml:space="preserve">9.Dle nové upravené koordinační situace k záměru má být protihluková stěna umístěna na hranici pozemků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p.č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. 334/1 a 334/2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k.ú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. Březno u Chomutova místo stávajícího oplocení, které je ve vlastnictví manželů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Štréblových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. Požaduji informaci, jak je možné, že dokumentace řeší umístění protihlukové stěny na hranici pozemků výše uvedených, kde se nyní nachází stávající oplocení v soukromém vlastnictví a neřeší se umístění protihlukové stěny na pozemku </w:t>
      </w:r>
      <w:proofErr w:type="gramStart"/>
      <w:r w:rsidRPr="00EE55E4">
        <w:rPr>
          <w:rFonts w:ascii="Calibri" w:hAnsi="Calibri" w:cs="MyriadPro-Regular"/>
          <w:bCs/>
          <w:i/>
          <w:lang w:eastAsia="cs-CZ"/>
        </w:rPr>
        <w:t>stavebníka</w:t>
      </w:r>
      <w:proofErr w:type="gramEnd"/>
      <w:r w:rsidRPr="00EE55E4">
        <w:rPr>
          <w:rFonts w:ascii="Calibri" w:hAnsi="Calibri" w:cs="MyriadPro-Regular"/>
          <w:bCs/>
          <w:i/>
          <w:lang w:eastAsia="cs-CZ"/>
        </w:rPr>
        <w:t xml:space="preserve"> tj. Obec Březno.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 xml:space="preserve">10.Žádám o informaci, zda si stavební úřad v návaznosti na změnu dokumentace v průběhu řízení vyžádal nějaké </w:t>
      </w:r>
      <w:proofErr w:type="gramStart"/>
      <w:r w:rsidRPr="00EE55E4">
        <w:rPr>
          <w:rFonts w:ascii="Calibri" w:hAnsi="Calibri" w:cs="MyriadPro-Regular"/>
          <w:bCs/>
          <w:i/>
          <w:lang w:eastAsia="cs-CZ"/>
        </w:rPr>
        <w:t>nové</w:t>
      </w:r>
      <w:proofErr w:type="gramEnd"/>
      <w:r w:rsidRPr="00EE55E4">
        <w:rPr>
          <w:rFonts w:ascii="Calibri" w:hAnsi="Calibri" w:cs="MyriadPro-Regular"/>
          <w:bCs/>
          <w:i/>
          <w:lang w:eastAsia="cs-CZ"/>
        </w:rPr>
        <w:t xml:space="preserve"> stanoviska či vyjádření k této změně dokumentace, pokud ano, prosím o zaslání jejich kopií a pokud ne, požaduji zdůvodnění.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 xml:space="preserve">11.Požaduji informaci, zda splňuje plot z betonových dílců zn.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Beves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 akustické parametry konstrukce protihlukové stěny, pokud ano, z čeho stavební úřad toto posoudil. Bude taktéž betonový plot zn.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Beves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 o výšce 2 m splňovat svou funkci proti nežádoucímu hluku, když nadzemní prvky s kovovým zábradlím jsou navrženy v 1,20 m výšky, podle čeho tak soudí SÚ, že výška plotu bude účinná a dostačující pro zabránění hluku ze skateparku?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12.Žádám o sdělení, jak byl určen okruh účastníků řízení v předmětném řízení. Dále žádám o informaci, proč nebyl okruh účastníků řízení rozšířen i na okolní vlastníky rodinných domů, vzhledem ke skutečnosti, že se jedná o speciální hřiště, kde je zvýšený zdroj hluku. Okolní vlastníci rodinných domů vyjádřili svůj nesouhlas se záměrem v petici s názvem „Petice proti výstavbě betonového skateparku v obci Březno u Chomutova", která byla zaslána i na vědomí na stavební úřad Chomutov. Z uvedené petice vyplývá, že i tito vlastníci okolních rodinných domů se cítí být touto stavbou dotčeni a jelikož nebyli účastníci územního řízení, neměli možnost se k záměru vyjádřit.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 xml:space="preserve">13.Požaduji informaci, jak byla posuzována nová výsadba stromů a keřů před protihlukovou stěnou na pozemku stavebníka, když z koordinační situace je zjevné, že mezi protihlukovou stěnou a oplocením skateparku je zjevně omezený prostor. Bude navržená výsadba v souladu dle občanského zákoníku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ust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>. § 1017? Je při současném uspořádání prostoru reálně možné vysadit dostatečně hustou zeleň, aby byly zároveň dodrženy veškeré požadavky stanovené právními předpisy?</w:t>
      </w:r>
    </w:p>
    <w:p w:rsidR="00EE55E4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t>14.Požaduji zaslat informaci, co znamenají v upravené koordinační situaci modré plochy okolo skateparku, v legendě není zřejmé.</w:t>
      </w:r>
    </w:p>
    <w:p w:rsidR="00917297" w:rsidRPr="00EE55E4" w:rsidRDefault="00917297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</w:p>
    <w:p w:rsidR="00D8386F" w:rsidRPr="00EE55E4" w:rsidRDefault="00EE55E4" w:rsidP="00EE55E4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Cs/>
          <w:i/>
          <w:lang w:eastAsia="cs-CZ"/>
        </w:rPr>
      </w:pPr>
      <w:r w:rsidRPr="00EE55E4">
        <w:rPr>
          <w:rFonts w:ascii="Calibri" w:hAnsi="Calibri" w:cs="MyriadPro-Regular"/>
          <w:bCs/>
          <w:i/>
          <w:lang w:eastAsia="cs-CZ"/>
        </w:rPr>
        <w:lastRenderedPageBreak/>
        <w:t xml:space="preserve">15.Požaduji zaslat informaci, zda je vydáno povolení na beachvolejbalové hřiště na pozemku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p.č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 xml:space="preserve">. 334/1 </w:t>
      </w:r>
      <w:proofErr w:type="spellStart"/>
      <w:r w:rsidRPr="00EE55E4">
        <w:rPr>
          <w:rFonts w:ascii="Calibri" w:hAnsi="Calibri" w:cs="MyriadPro-Regular"/>
          <w:bCs/>
          <w:i/>
          <w:lang w:eastAsia="cs-CZ"/>
        </w:rPr>
        <w:t>k.ú</w:t>
      </w:r>
      <w:proofErr w:type="spellEnd"/>
      <w:r w:rsidRPr="00EE55E4">
        <w:rPr>
          <w:rFonts w:ascii="Calibri" w:hAnsi="Calibri" w:cs="MyriadPro-Regular"/>
          <w:bCs/>
          <w:i/>
          <w:lang w:eastAsia="cs-CZ"/>
        </w:rPr>
        <w:t>. Březno u Chomutova od stavebního úřadu Chomutov, pokud ano, prosím o zaslání jeho kopie.</w:t>
      </w:r>
    </w:p>
    <w:p w:rsidR="00EE55E4" w:rsidRDefault="00EE55E4" w:rsidP="00EE55E4">
      <w:pPr>
        <w:tabs>
          <w:tab w:val="left" w:pos="1560"/>
        </w:tabs>
        <w:spacing w:after="0" w:line="240" w:lineRule="auto"/>
        <w:rPr>
          <w:rFonts w:ascii="Calibri" w:hAnsi="Calibri" w:cs="MyriadPro-Regular"/>
          <w:bCs/>
          <w:lang w:eastAsia="cs-CZ"/>
        </w:rPr>
      </w:pPr>
    </w:p>
    <w:p w:rsidR="00D8386F" w:rsidRDefault="00D8386F" w:rsidP="00D8386F">
      <w:pPr>
        <w:jc w:val="both"/>
        <w:rPr>
          <w:rFonts w:ascii="Calibri" w:hAnsi="Calibri"/>
          <w:b/>
        </w:rPr>
      </w:pPr>
      <w:r w:rsidRPr="008D01D4">
        <w:rPr>
          <w:rFonts w:ascii="Calibri" w:hAnsi="Calibri"/>
          <w:b/>
        </w:rPr>
        <w:t>K Vaší žádosti o informace povinný subjekt poskytuje následující informace:</w:t>
      </w:r>
    </w:p>
    <w:p w:rsidR="00FB6300" w:rsidRPr="00917297" w:rsidRDefault="00FB6300" w:rsidP="00FB6300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Zasíláme přílohou</w:t>
      </w:r>
      <w:r w:rsidR="00381CEF">
        <w:rPr>
          <w:rFonts w:ascii="Calibri" w:hAnsi="Calibri"/>
        </w:rPr>
        <w:t>, přestože byla kopie zaslána na předchozí žádost jednoho z žadatelů.</w:t>
      </w:r>
    </w:p>
    <w:p w:rsidR="00FB6300" w:rsidRPr="00917297" w:rsidRDefault="00FB6300" w:rsidP="00FB6300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Zasíláme přílohou.</w:t>
      </w:r>
    </w:p>
    <w:p w:rsidR="00FB6300" w:rsidRPr="00917297" w:rsidRDefault="006A6786" w:rsidP="00FB6300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Na plochu (orná půda) bylo vydáno Rozhodnutí na změnu využití území – sportovní plocha, tak jak je to stanovené v územním plánu (ÚP byl projednán veřejně a obyvatelé obce s ním byli seznámeni). Na této ploše se zřizují sportovní zařízení, která stavební úřad nepovažuje za stavební dílo.</w:t>
      </w:r>
    </w:p>
    <w:p w:rsidR="006A6786" w:rsidRPr="00917297" w:rsidRDefault="006A6786" w:rsidP="00FB6300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Stavební úřad povoloval změnu využití území (na kterém budou sport. zařízení). Stavební úřad nepředpokládal zvýšení hladiny hluku v místě, a proto ji neposuzoval. Jedná se o hřiště malého rozsahu pro děti a mládež umístěné cca 30 m od stodoly (bránící šíření hluku) a cca 50 m od RD (je z větší části v zákrytu za stodolou) účastníků řízení.</w:t>
      </w:r>
    </w:p>
    <w:p w:rsidR="006A6786" w:rsidRPr="00917297" w:rsidRDefault="006A6786" w:rsidP="00FB6300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Viz výše. Sportoviště není velkého rozsahu ani se nepředpokládá zvýšené množství diváků – nejedná se o profesionální sportoviště. Nejedná se o místo, v kterém budou užívána motorová zařízení. Je to sportovní plocha umístěna v obci a provozovaná obcí – nepředpokládá se zvýšená hladina hluku. Provozováním sportů se nepředpokládá vznik takového hluku, aby docházelo k překročení daných limitů.</w:t>
      </w:r>
    </w:p>
    <w:p w:rsidR="006A6786" w:rsidRPr="00917297" w:rsidRDefault="006A6786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 xml:space="preserve">Plocha odnětí nesmí být v rozporu s ustanovením § 4 písm. c) a d) zákona o ochraně zemědělského půdního fondu, tedy nesmí být narušena organizace zemědělského půdního </w:t>
      </w:r>
      <w:proofErr w:type="gramStart"/>
      <w:r w:rsidRPr="00917297">
        <w:rPr>
          <w:rFonts w:ascii="Calibri" w:hAnsi="Calibri"/>
        </w:rPr>
        <w:t>fondu</w:t>
      </w:r>
      <w:proofErr w:type="gramEnd"/>
      <w:r w:rsidRPr="00917297">
        <w:rPr>
          <w:rFonts w:ascii="Calibri" w:hAnsi="Calibri"/>
        </w:rPr>
        <w:t xml:space="preserve"> a přitom je možné odejmout nejnutnější ucelenou plochu pro uvažovaný účel. Dle koordinačního situačního výkresu č. C.2, měřítko 1:500, datum 1/2024, č. zakázky 10/2023, zpracovaného Lubošem Kocourkem, identifikační číslo 04439970, sídlem Smetanova 1918/9, 430 01 Chomutov a odpovědným projektantem Danielem </w:t>
      </w:r>
      <w:proofErr w:type="spellStart"/>
      <w:r w:rsidRPr="00917297">
        <w:rPr>
          <w:rFonts w:ascii="Calibri" w:hAnsi="Calibri"/>
        </w:rPr>
        <w:t>Nociarem</w:t>
      </w:r>
      <w:proofErr w:type="spellEnd"/>
      <w:r w:rsidRPr="00917297">
        <w:rPr>
          <w:rFonts w:ascii="Calibri" w:hAnsi="Calibri"/>
        </w:rPr>
        <w:t xml:space="preserve">, ČKAIT 0402257 zaujímá nový záměr z hlediska nutného odnětí plochu 1427 m2 a z toho </w:t>
      </w:r>
      <w:proofErr w:type="gramStart"/>
      <w:r w:rsidRPr="00917297">
        <w:rPr>
          <w:rFonts w:ascii="Calibri" w:hAnsi="Calibri"/>
        </w:rPr>
        <w:t>je  zastavěná</w:t>
      </w:r>
      <w:proofErr w:type="gramEnd"/>
      <w:r w:rsidRPr="00917297">
        <w:rPr>
          <w:rFonts w:ascii="Calibri" w:hAnsi="Calibri"/>
        </w:rPr>
        <w:t xml:space="preserve"> plocha hřiště 581 m2 a zeleň 846 m2, jelikož se odnímá ze zemědělského půdního fondu veškerá plocha, kterou dále nelze zemědělsky využívat.</w:t>
      </w:r>
    </w:p>
    <w:p w:rsidR="006A6786" w:rsidRPr="00917297" w:rsidRDefault="006A6786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Námitky nejspíše nebyly takového charakteru, aby musela být věc opětovně projednávána. Vypořádání s námitkami je v odůvodnění rozhodnutí.</w:t>
      </w:r>
    </w:p>
    <w:p w:rsidR="006A6786" w:rsidRPr="00917297" w:rsidRDefault="006A6786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Jednalo se o úpravy, které nevyžadují povolení stavebního úřadu a stavební úřad je vzal na vědomí. Jednalo se o zřízení zděného oplocení (sloužícího i jako zvuková bariera) a výsadba zeleně (rovněž sloužící i jako zvuková bariera). Stavební úřad se zabýval změnou využití území a tam nedošlo ke změně.</w:t>
      </w:r>
    </w:p>
    <w:p w:rsidR="006A6786" w:rsidRPr="00917297" w:rsidRDefault="006A6786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Jedná se o oplocení umístěné na pozemku stavebníka, nikoliv na pozemku sousedním.</w:t>
      </w:r>
    </w:p>
    <w:p w:rsidR="006A6786" w:rsidRPr="00917297" w:rsidRDefault="006A6786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bookmarkStart w:id="0" w:name="_Hlk226544495"/>
      <w:r w:rsidRPr="00917297">
        <w:rPr>
          <w:rFonts w:ascii="Calibri" w:hAnsi="Calibri"/>
        </w:rPr>
        <w:t>Dokumentace, resp. celý správní spis není k dispozici, protože si byl vyžádán Krajským úřadem Ústeckého kraje pro potřeby soudního řízení před Krajským soudem v Ústí nad Labem, v průběhu ledna 2025</w:t>
      </w:r>
      <w:bookmarkEnd w:id="0"/>
      <w:r w:rsidRPr="00917297">
        <w:rPr>
          <w:rFonts w:ascii="Calibri" w:hAnsi="Calibri"/>
        </w:rPr>
        <w:t>.</w:t>
      </w:r>
    </w:p>
    <w:p w:rsidR="006A6786" w:rsidRPr="00917297" w:rsidRDefault="006A6786" w:rsidP="006A678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917297">
        <w:rPr>
          <w:rFonts w:ascii="Calibri" w:hAnsi="Calibri"/>
        </w:rPr>
        <w:t>Jedná se o oplocení (s bariérou proti hluku, která bude bránit šířením hluku ke sportovišti z ulice a opačně) a současně proběhne i výsadba zeleně. Nepředpokládá se zvýšená hladina hluku.</w:t>
      </w:r>
    </w:p>
    <w:p w:rsidR="006A6786" w:rsidRPr="00917297" w:rsidRDefault="006A6786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Stavební úřad stanovil okruh účastníků řízení. Účastníkem jsou osoby, jejichž vlastnické nebo jiné věcné právo k sousedním stavbám anebo sousedním pozemkům nebo stavbám na nich může být územním rozhodnutím přímo dotčeno. Vzhledem k tomu, že jejich práva nebudou přímo dotčena, nemuseli být účastníky řízení, přesto je stavební úřad jako účastníky stanovil (jsou vlastníky sousední nemovitosti). Mohli být pouze přizváni a seznámeni se změnou.</w:t>
      </w:r>
    </w:p>
    <w:p w:rsidR="006A6786" w:rsidRPr="00917297" w:rsidRDefault="00917297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cstheme="minorHAnsi"/>
        </w:rPr>
        <w:t>Občanskoprávní námitky stavební úřad neřeší.</w:t>
      </w:r>
    </w:p>
    <w:p w:rsidR="00917297" w:rsidRPr="00917297" w:rsidRDefault="00917297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lastRenderedPageBreak/>
        <w:t xml:space="preserve">Dokumentace, resp. celý správní spis není k dispozici, protože si byl vyžádán Krajským úřadem Ústeckého kraje pro potřeby soudního řízení před Krajským soudem v Ústí nad Labem, v průběhu ledna 2025. </w:t>
      </w:r>
    </w:p>
    <w:p w:rsidR="00917297" w:rsidRPr="00917297" w:rsidRDefault="00917297" w:rsidP="00E559CC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917297">
        <w:rPr>
          <w:rFonts w:ascii="Calibri" w:hAnsi="Calibri"/>
        </w:rPr>
        <w:t>Stavební úřad se zabýval změnou využití území na sportoviště (na kterém jsou hřiště).</w:t>
      </w:r>
    </w:p>
    <w:p w:rsidR="0064532D" w:rsidRPr="008D01D4" w:rsidRDefault="0064532D" w:rsidP="00D8386F">
      <w:pPr>
        <w:jc w:val="both"/>
        <w:rPr>
          <w:rFonts w:ascii="Calibri" w:hAnsi="Calibri"/>
          <w:b/>
        </w:rPr>
      </w:pPr>
    </w:p>
    <w:p w:rsidR="00D8386F" w:rsidRPr="008D01D4" w:rsidRDefault="00D8386F" w:rsidP="00D8386F">
      <w:pPr>
        <w:rPr>
          <w:rFonts w:ascii="Calibri" w:hAnsi="Calibri"/>
          <w:b/>
          <w:sz w:val="24"/>
        </w:rPr>
      </w:pPr>
      <w:r w:rsidRPr="008D01D4">
        <w:rPr>
          <w:rFonts w:ascii="Calibri" w:hAnsi="Calibri"/>
          <w:b/>
          <w:sz w:val="24"/>
        </w:rPr>
        <w:t xml:space="preserve">Současně </w:t>
      </w:r>
    </w:p>
    <w:p w:rsidR="00D8386F" w:rsidRPr="008D01D4" w:rsidRDefault="00D8386F" w:rsidP="00D8386F">
      <w:pPr>
        <w:jc w:val="both"/>
        <w:rPr>
          <w:rFonts w:ascii="Calibri" w:hAnsi="Calibri"/>
        </w:rPr>
      </w:pPr>
      <w:r w:rsidRPr="008D01D4">
        <w:rPr>
          <w:rFonts w:ascii="Calibri" w:hAnsi="Calibri"/>
          <w:b/>
        </w:rPr>
        <w:t>vydává</w:t>
      </w:r>
      <w:r w:rsidRPr="008D01D4">
        <w:rPr>
          <w:rFonts w:ascii="Calibri" w:hAnsi="Calibri" w:cs="Arial"/>
        </w:rPr>
        <w:t xml:space="preserve"> magistrát města Chomutova, odbor interní audit jako povinný subjekt ve smyslu ustanovení § 2 odst. 1 zákona č. 106/1999 Sb., o svobodném přístupu k informacím, ve znění pozdějších předpisů ve spojení s </w:t>
      </w:r>
      <w:proofErr w:type="spellStart"/>
      <w:r w:rsidRPr="008D01D4">
        <w:rPr>
          <w:rFonts w:ascii="Calibri" w:hAnsi="Calibri" w:cs="Arial"/>
        </w:rPr>
        <w:t>ust</w:t>
      </w:r>
      <w:proofErr w:type="spellEnd"/>
      <w:r w:rsidRPr="008D01D4">
        <w:rPr>
          <w:rFonts w:ascii="Calibri" w:hAnsi="Calibri" w:cs="Arial"/>
        </w:rPr>
        <w:t>. § 67 a násl. zákona č. 500/2004 Sb., správní řád, ve znění pozdějších předpisů, toto</w:t>
      </w:r>
    </w:p>
    <w:p w:rsidR="00D8386F" w:rsidRPr="008D01D4" w:rsidRDefault="00D8386F" w:rsidP="00D8386F">
      <w:pPr>
        <w:jc w:val="center"/>
        <w:rPr>
          <w:rFonts w:ascii="Calibri" w:hAnsi="Calibri" w:cs="Arial"/>
          <w:b/>
          <w:sz w:val="24"/>
          <w:szCs w:val="24"/>
        </w:rPr>
      </w:pPr>
      <w:r w:rsidRPr="008D01D4">
        <w:rPr>
          <w:rFonts w:ascii="Calibri" w:hAnsi="Calibri" w:cs="Arial"/>
          <w:b/>
          <w:sz w:val="24"/>
          <w:szCs w:val="24"/>
        </w:rPr>
        <w:t>ROZHODNUTÍ</w:t>
      </w:r>
    </w:p>
    <w:p w:rsidR="00D8386F" w:rsidRPr="008D01D4" w:rsidRDefault="00D8386F" w:rsidP="00D8386F">
      <w:pPr>
        <w:jc w:val="both"/>
        <w:rPr>
          <w:rFonts w:ascii="Calibri" w:hAnsi="Calibri"/>
        </w:rPr>
      </w:pPr>
      <w:r w:rsidRPr="008D01D4">
        <w:rPr>
          <w:rFonts w:ascii="Calibri" w:hAnsi="Calibri" w:cs="Arial"/>
        </w:rPr>
        <w:t xml:space="preserve">kterým se žádost </w:t>
      </w:r>
      <w:r w:rsidR="00917297">
        <w:rPr>
          <w:rFonts w:ascii="Calibri" w:hAnsi="Calibri" w:cs="Arial"/>
        </w:rPr>
        <w:t xml:space="preserve">Jaroslava </w:t>
      </w:r>
      <w:proofErr w:type="spellStart"/>
      <w:r w:rsidR="00917297">
        <w:rPr>
          <w:rFonts w:ascii="Calibri" w:hAnsi="Calibri" w:cs="Arial"/>
        </w:rPr>
        <w:t>Štrébla</w:t>
      </w:r>
      <w:proofErr w:type="spellEnd"/>
      <w:r w:rsidR="00917297">
        <w:rPr>
          <w:rFonts w:ascii="Calibri" w:hAnsi="Calibri" w:cs="Arial"/>
        </w:rPr>
        <w:t xml:space="preserve"> a Miroslavy </w:t>
      </w:r>
      <w:proofErr w:type="spellStart"/>
      <w:r w:rsidR="00917297">
        <w:rPr>
          <w:rFonts w:ascii="Calibri" w:hAnsi="Calibri" w:cs="Arial"/>
        </w:rPr>
        <w:t>Štréblové</w:t>
      </w:r>
      <w:proofErr w:type="spellEnd"/>
      <w:r w:rsidRPr="008D01D4">
        <w:rPr>
          <w:rFonts w:ascii="Calibri" w:hAnsi="Calibri"/>
        </w:rPr>
        <w:t xml:space="preserve"> o poskytnutí informace: </w:t>
      </w:r>
    </w:p>
    <w:p w:rsidR="00D8386F" w:rsidRPr="008D01D4" w:rsidRDefault="00D8386F" w:rsidP="00D8386F">
      <w:pPr>
        <w:jc w:val="both"/>
        <w:rPr>
          <w:rFonts w:ascii="Calibri" w:hAnsi="Calibri" w:cs="Arial"/>
          <w:i/>
        </w:rPr>
      </w:pPr>
      <w:r w:rsidRPr="008D01D4">
        <w:rPr>
          <w:rFonts w:ascii="Calibri" w:hAnsi="Calibri"/>
        </w:rPr>
        <w:t>-</w:t>
      </w:r>
      <w:r w:rsidRPr="008D01D4">
        <w:rPr>
          <w:rFonts w:ascii="Calibri" w:hAnsi="Calibri" w:cs="Arial"/>
          <w:i/>
        </w:rPr>
        <w:t xml:space="preserve"> </w:t>
      </w:r>
      <w:r w:rsidR="00917297">
        <w:rPr>
          <w:rFonts w:ascii="Calibri" w:hAnsi="Calibri" w:cs="Arial"/>
          <w:i/>
        </w:rPr>
        <w:t>v rozsahu požadování dokumentů ze správní</w:t>
      </w:r>
      <w:r w:rsidR="0014293F">
        <w:rPr>
          <w:rFonts w:ascii="Calibri" w:hAnsi="Calibri" w:cs="Arial"/>
          <w:i/>
        </w:rPr>
        <w:t>ho</w:t>
      </w:r>
      <w:r w:rsidR="00917297">
        <w:rPr>
          <w:rFonts w:ascii="Calibri" w:hAnsi="Calibri" w:cs="Arial"/>
          <w:i/>
        </w:rPr>
        <w:t xml:space="preserve"> spisu</w:t>
      </w:r>
    </w:p>
    <w:p w:rsidR="00D8386F" w:rsidRPr="008D01D4" w:rsidRDefault="00D8386F" w:rsidP="00D8386F">
      <w:pPr>
        <w:jc w:val="center"/>
        <w:rPr>
          <w:rFonts w:ascii="Calibri" w:hAnsi="Calibri" w:cs="Arial"/>
        </w:rPr>
      </w:pPr>
      <w:r w:rsidRPr="008D01D4">
        <w:rPr>
          <w:rFonts w:ascii="Calibri" w:hAnsi="Calibri" w:cs="Arial"/>
          <w:b/>
        </w:rPr>
        <w:t>č á s t e č n ě    o d m í t á</w:t>
      </w:r>
    </w:p>
    <w:p w:rsidR="00D8386F" w:rsidRPr="008D01D4" w:rsidRDefault="00D8386F" w:rsidP="00D8386F">
      <w:pPr>
        <w:jc w:val="both"/>
        <w:rPr>
          <w:rFonts w:ascii="Calibri" w:hAnsi="Calibri" w:cs="Arial"/>
        </w:rPr>
      </w:pPr>
      <w:r w:rsidRPr="008D01D4">
        <w:rPr>
          <w:rFonts w:ascii="Calibri" w:hAnsi="Calibri" w:cs="Arial"/>
        </w:rPr>
        <w:t>podle § 15 odst. 1 zákona ve spojení s § 2 odst. 4 zákona č. 106/1999 Sb., o svobodném přístupu k informacím, ve znění pozdějších předpisů.</w:t>
      </w:r>
    </w:p>
    <w:p w:rsidR="00D8386F" w:rsidRPr="008D01D4" w:rsidRDefault="00D8386F" w:rsidP="00D8386F">
      <w:pPr>
        <w:spacing w:after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</w:t>
      </w:r>
      <w:r w:rsidRPr="008D01D4">
        <w:rPr>
          <w:rFonts w:ascii="Calibri" w:hAnsi="Calibri" w:cs="Arial"/>
          <w:b/>
        </w:rPr>
        <w:t>důvodnění:</w:t>
      </w:r>
    </w:p>
    <w:p w:rsidR="00D8386F" w:rsidRDefault="00D8386F" w:rsidP="00D8386F">
      <w:pPr>
        <w:jc w:val="both"/>
        <w:rPr>
          <w:rFonts w:ascii="Calibri" w:hAnsi="Calibri" w:cs="Arial"/>
          <w:i/>
        </w:rPr>
      </w:pPr>
      <w:r w:rsidRPr="008D01D4">
        <w:rPr>
          <w:rFonts w:ascii="Calibri" w:hAnsi="Calibri" w:cs="Arial"/>
        </w:rPr>
        <w:t xml:space="preserve">Dne </w:t>
      </w:r>
      <w:r w:rsidR="00917297">
        <w:rPr>
          <w:rFonts w:ascii="Calibri" w:hAnsi="Calibri" w:cs="Arial"/>
        </w:rPr>
        <w:t>2</w:t>
      </w:r>
      <w:r w:rsidR="003334BA">
        <w:rPr>
          <w:rFonts w:ascii="Calibri" w:hAnsi="Calibri" w:cs="Arial"/>
        </w:rPr>
        <w:t>5</w:t>
      </w:r>
      <w:r w:rsidR="00917297">
        <w:rPr>
          <w:rFonts w:ascii="Calibri" w:hAnsi="Calibri" w:cs="Arial"/>
        </w:rPr>
        <w:t>.3.2026</w:t>
      </w:r>
      <w:r w:rsidRPr="008D01D4">
        <w:rPr>
          <w:rFonts w:ascii="Calibri" w:hAnsi="Calibri" w:cs="Arial"/>
        </w:rPr>
        <w:t xml:space="preserve"> byla na Magistrát města Chomutova doručena žádost </w:t>
      </w:r>
      <w:r w:rsidR="0014293F">
        <w:rPr>
          <w:rFonts w:ascii="Calibri" w:hAnsi="Calibri" w:cs="Arial"/>
        </w:rPr>
        <w:t>XXX</w:t>
      </w:r>
      <w:r w:rsidRPr="008D01D4">
        <w:rPr>
          <w:rFonts w:ascii="Calibri" w:hAnsi="Calibri" w:cs="Arial"/>
        </w:rPr>
        <w:t>, kte</w:t>
      </w:r>
      <w:r w:rsidR="00917297">
        <w:rPr>
          <w:rFonts w:ascii="Calibri" w:hAnsi="Calibri" w:cs="Arial"/>
        </w:rPr>
        <w:t>ří</w:t>
      </w:r>
      <w:r w:rsidRPr="008D01D4">
        <w:rPr>
          <w:rFonts w:ascii="Calibri" w:hAnsi="Calibri" w:cs="Arial"/>
        </w:rPr>
        <w:t xml:space="preserve"> žád</w:t>
      </w:r>
      <w:r w:rsidR="00917297">
        <w:rPr>
          <w:rFonts w:ascii="Calibri" w:hAnsi="Calibri" w:cs="Arial"/>
        </w:rPr>
        <w:t>ají</w:t>
      </w:r>
      <w:r w:rsidRPr="008D01D4">
        <w:rPr>
          <w:rFonts w:ascii="Calibri" w:hAnsi="Calibri" w:cs="Arial"/>
        </w:rPr>
        <w:t xml:space="preserve"> o poskytnutí informace </w:t>
      </w:r>
      <w:r w:rsidR="00917297">
        <w:rPr>
          <w:rFonts w:ascii="Calibri" w:hAnsi="Calibri" w:cs="Arial"/>
          <w:i/>
        </w:rPr>
        <w:t xml:space="preserve">ohledně Skateparku, který by měl vzniknout na území obce </w:t>
      </w:r>
      <w:proofErr w:type="gramStart"/>
      <w:r w:rsidR="00917297">
        <w:rPr>
          <w:rFonts w:ascii="Calibri" w:hAnsi="Calibri" w:cs="Arial"/>
          <w:i/>
        </w:rPr>
        <w:t>Března</w:t>
      </w:r>
      <w:proofErr w:type="gramEnd"/>
      <w:r w:rsidRPr="008D01D4">
        <w:rPr>
          <w:rFonts w:ascii="Calibri" w:hAnsi="Calibri" w:cs="Arial"/>
          <w:i/>
        </w:rPr>
        <w:t>.</w:t>
      </w:r>
    </w:p>
    <w:p w:rsidR="00917297" w:rsidRDefault="00917297" w:rsidP="00D8386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Součástí žádosti jsou také dotazy k projektové dokumentaci, případně požadavek na zaslání dokumentů ze spisu nebo jejich části. Povinný subjekt v současné době nemá správní spis týkající se předmětné věci k dispozici a současně mu není známo, kdy jej k dispozici mít bude.</w:t>
      </w:r>
    </w:p>
    <w:p w:rsidR="00917297" w:rsidRDefault="00061348" w:rsidP="00D8386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Tento stav vychází ze skutečnosti, že si celý spis vyžádal Krajský úřad Ústeckého kraje svou žádostí o předložení spisu</w:t>
      </w:r>
      <w:r w:rsidR="00486771" w:rsidRPr="00486771">
        <w:rPr>
          <w:rFonts w:ascii="Calibri" w:hAnsi="Calibri" w:cs="Arial"/>
        </w:rPr>
        <w:t xml:space="preserve"> </w:t>
      </w:r>
      <w:r w:rsidR="00486771">
        <w:rPr>
          <w:rFonts w:ascii="Calibri" w:hAnsi="Calibri" w:cs="Arial"/>
        </w:rPr>
        <w:t xml:space="preserve">ve věci žaloby </w:t>
      </w:r>
      <w:r w:rsidR="0014293F">
        <w:rPr>
          <w:rFonts w:ascii="Calibri" w:hAnsi="Calibri" w:cs="Arial"/>
        </w:rPr>
        <w:t>XXX</w:t>
      </w:r>
      <w:bookmarkStart w:id="1" w:name="_GoBack"/>
      <w:bookmarkEnd w:id="1"/>
      <w:r w:rsidR="00F44C8E">
        <w:rPr>
          <w:rFonts w:ascii="Calibri" w:hAnsi="Calibri" w:cs="Arial"/>
        </w:rPr>
        <w:t xml:space="preserve"> na základě </w:t>
      </w:r>
      <w:r w:rsidR="00641C0E">
        <w:rPr>
          <w:rFonts w:ascii="Calibri" w:hAnsi="Calibri" w:cs="Arial"/>
        </w:rPr>
        <w:t>žádosti Krajského soudu v Ústí nad Labem o zaslání spisu</w:t>
      </w:r>
      <w:r w:rsidR="00486771">
        <w:rPr>
          <w:rFonts w:ascii="Calibri" w:hAnsi="Calibri" w:cs="Arial"/>
        </w:rPr>
        <w:t xml:space="preserve"> KUUK/115141/24</w:t>
      </w:r>
      <w:r w:rsidR="00641C0E">
        <w:rPr>
          <w:rFonts w:ascii="Calibri" w:hAnsi="Calibri" w:cs="Arial"/>
        </w:rPr>
        <w:t xml:space="preserve"> včetně originálu spisu 1. stupně</w:t>
      </w:r>
      <w:r w:rsidR="00486771">
        <w:rPr>
          <w:rFonts w:ascii="Calibri" w:hAnsi="Calibri" w:cs="Arial"/>
        </w:rPr>
        <w:t xml:space="preserve"> (tj. Magistrátu města Chomutova)</w:t>
      </w:r>
      <w:r w:rsidR="00641C0E">
        <w:rPr>
          <w:rFonts w:ascii="Calibri" w:hAnsi="Calibri" w:cs="Arial"/>
        </w:rPr>
        <w:t>.</w:t>
      </w:r>
      <w:r w:rsidR="00486771">
        <w:rPr>
          <w:rFonts w:ascii="Calibri" w:hAnsi="Calibri" w:cs="Arial"/>
        </w:rPr>
        <w:t xml:space="preserve"> Povinný subjekt obdržel žádost o poskytnutí spisu dne 17.1.2025, na kterou odpověděl dne 21.1.2025 tak, že předal spis nadřízenému orgánu.</w:t>
      </w:r>
    </w:p>
    <w:p w:rsidR="00D8386F" w:rsidRPr="008D01D4" w:rsidRDefault="00486771" w:rsidP="0048677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Povinný subjekt k dnešnímu dni spis zpět neobdržel, a proto není schopen poskytnout informace ze spisu, které žadatelé žádají.</w:t>
      </w:r>
    </w:p>
    <w:p w:rsidR="00D8386F" w:rsidRPr="00785243" w:rsidRDefault="00D8386F" w:rsidP="00D8386F">
      <w:pPr>
        <w:pStyle w:val="Zkladntext3"/>
        <w:jc w:val="both"/>
        <w:rPr>
          <w:rFonts w:ascii="Calibri" w:hAnsi="Calibri" w:cs="Arial"/>
          <w:sz w:val="22"/>
          <w:szCs w:val="22"/>
        </w:rPr>
      </w:pPr>
      <w:r w:rsidRPr="00785243">
        <w:rPr>
          <w:rFonts w:ascii="Calibri" w:hAnsi="Calibri" w:cs="Arial"/>
          <w:sz w:val="22"/>
          <w:szCs w:val="22"/>
        </w:rPr>
        <w:t>Podle ustanovení § 2 odst. 4 zákona o svobodném přístupu k informacím se povinnost poskytovat informace netýká dotazů na názory, budoucí rozhodnutí a vytváření nových informací</w:t>
      </w:r>
      <w:r>
        <w:rPr>
          <w:rFonts w:ascii="Calibri" w:hAnsi="Calibri" w:cs="Arial"/>
          <w:sz w:val="22"/>
          <w:szCs w:val="22"/>
        </w:rPr>
        <w:t>.</w:t>
      </w:r>
      <w:r w:rsidRPr="00785243">
        <w:rPr>
          <w:rFonts w:ascii="Calibri" w:hAnsi="Calibri" w:cs="Arial"/>
          <w:sz w:val="22"/>
          <w:szCs w:val="22"/>
        </w:rPr>
        <w:t xml:space="preserve"> Podle § 3 odst. 3 zákona o svobodném přístupu k informacím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 Informační povinnost se tedy může vztahovat pouze k těm informacím, kterými povinné subjekty v danou chvíli disponují, tzn. k informacím reálně existujícím.</w:t>
      </w:r>
    </w:p>
    <w:p w:rsidR="00D8386F" w:rsidRDefault="00D8386F" w:rsidP="00D8386F">
      <w:pPr>
        <w:pStyle w:val="Zkladntext3"/>
        <w:spacing w:after="0"/>
        <w:jc w:val="both"/>
        <w:rPr>
          <w:rFonts w:ascii="Calibri" w:hAnsi="Calibri" w:cs="Arial"/>
          <w:sz w:val="22"/>
          <w:szCs w:val="22"/>
        </w:rPr>
      </w:pPr>
    </w:p>
    <w:p w:rsidR="00D8386F" w:rsidRPr="00673DCD" w:rsidRDefault="00D8386F" w:rsidP="00D8386F">
      <w:pPr>
        <w:pStyle w:val="Zkladntext3"/>
        <w:spacing w:after="0"/>
        <w:jc w:val="both"/>
        <w:rPr>
          <w:rFonts w:ascii="Calibri" w:hAnsi="Calibri" w:cs="Arial"/>
          <w:sz w:val="22"/>
          <w:szCs w:val="22"/>
        </w:rPr>
      </w:pPr>
      <w:r w:rsidRPr="00785243">
        <w:rPr>
          <w:rFonts w:ascii="Calibri" w:hAnsi="Calibri" w:cs="Arial"/>
          <w:sz w:val="22"/>
          <w:szCs w:val="22"/>
        </w:rPr>
        <w:t>Vzhledem k tomu, že žadatel</w:t>
      </w:r>
      <w:r w:rsidR="00486771">
        <w:rPr>
          <w:rFonts w:ascii="Calibri" w:hAnsi="Calibri" w:cs="Arial"/>
          <w:sz w:val="22"/>
          <w:szCs w:val="22"/>
        </w:rPr>
        <w:t>é</w:t>
      </w:r>
      <w:r w:rsidRPr="00785243">
        <w:rPr>
          <w:rFonts w:ascii="Calibri" w:hAnsi="Calibri" w:cs="Arial"/>
          <w:sz w:val="22"/>
          <w:szCs w:val="22"/>
        </w:rPr>
        <w:t xml:space="preserve"> žád</w:t>
      </w:r>
      <w:r w:rsidR="00486771">
        <w:rPr>
          <w:rFonts w:ascii="Calibri" w:hAnsi="Calibri" w:cs="Arial"/>
          <w:sz w:val="22"/>
          <w:szCs w:val="22"/>
        </w:rPr>
        <w:t>ají</w:t>
      </w:r>
      <w:r w:rsidRPr="00785243">
        <w:rPr>
          <w:rFonts w:ascii="Calibri" w:hAnsi="Calibri" w:cs="Arial"/>
          <w:sz w:val="22"/>
          <w:szCs w:val="22"/>
        </w:rPr>
        <w:t xml:space="preserve"> o poskytnutí </w:t>
      </w:r>
      <w:r>
        <w:rPr>
          <w:rFonts w:ascii="Calibri" w:hAnsi="Calibri" w:cs="Arial"/>
          <w:sz w:val="22"/>
          <w:szCs w:val="22"/>
        </w:rPr>
        <w:t>informace, kterou Magistrát města Chomutova nedisponuje</w:t>
      </w:r>
      <w:r w:rsidR="00486771">
        <w:rPr>
          <w:rFonts w:ascii="Calibri" w:hAnsi="Calibri" w:cs="Arial"/>
          <w:sz w:val="22"/>
          <w:szCs w:val="22"/>
        </w:rPr>
        <w:t xml:space="preserve"> z objektivních důvodů,</w:t>
      </w:r>
      <w:r w:rsidRPr="00785243">
        <w:rPr>
          <w:rFonts w:ascii="Calibri" w:hAnsi="Calibri" w:cs="Arial"/>
          <w:sz w:val="22"/>
          <w:szCs w:val="22"/>
        </w:rPr>
        <w:t xml:space="preserve"> je tímto splněn důvod pro odmítnutí žádosti o poskytnutí informací podle § 2 odst. 4 zákona o svobodném přístupu k informacím. Režim zákona o svobodném přístupu k informacím totiž nestanovuje povinnost nové informace vytvářet. Z ustanovení § 15 odst. 1 výše zmíněného zákona vyplývá, že pokud povinný subjekt žádosti, byť i jen z části nevyhoví, vydá ve lhůtě </w:t>
      </w:r>
      <w:r w:rsidRPr="00785243">
        <w:rPr>
          <w:rFonts w:ascii="Calibri" w:hAnsi="Calibri" w:cs="Arial"/>
          <w:sz w:val="22"/>
          <w:szCs w:val="22"/>
        </w:rPr>
        <w:lastRenderedPageBreak/>
        <w:t>pro vyřízení žádosti rozhodnutí o odmítnutí žádosti, popřípadě o odmítnutí části žádosti, s výjimkou případů, kdy se žádost odloží.</w:t>
      </w:r>
    </w:p>
    <w:p w:rsidR="00D8386F" w:rsidRPr="008D01D4" w:rsidRDefault="00D8386F" w:rsidP="00D8386F">
      <w:pPr>
        <w:jc w:val="both"/>
        <w:rPr>
          <w:rFonts w:ascii="Calibri" w:hAnsi="Calibri" w:cs="Arial"/>
          <w:b/>
        </w:rPr>
      </w:pPr>
    </w:p>
    <w:p w:rsidR="00D8386F" w:rsidRPr="008D01D4" w:rsidRDefault="00D8386F" w:rsidP="00D8386F">
      <w:pPr>
        <w:spacing w:after="0"/>
        <w:jc w:val="both"/>
        <w:rPr>
          <w:rFonts w:ascii="Calibri" w:hAnsi="Calibri" w:cs="Arial"/>
          <w:b/>
        </w:rPr>
      </w:pPr>
      <w:r w:rsidRPr="008D01D4">
        <w:rPr>
          <w:rFonts w:ascii="Calibri" w:hAnsi="Calibri" w:cs="Arial"/>
          <w:b/>
        </w:rPr>
        <w:t>Poučení:</w:t>
      </w:r>
    </w:p>
    <w:p w:rsidR="00D8386F" w:rsidRPr="008D01D4" w:rsidRDefault="00D8386F" w:rsidP="00D8386F">
      <w:pPr>
        <w:jc w:val="both"/>
        <w:rPr>
          <w:rFonts w:ascii="Calibri" w:hAnsi="Calibri" w:cs="Arial"/>
        </w:rPr>
      </w:pPr>
      <w:r w:rsidRPr="008D01D4">
        <w:rPr>
          <w:rFonts w:ascii="Calibri" w:hAnsi="Calibri" w:cs="Arial"/>
        </w:rPr>
        <w:t>Proti tomuto rozhodnutí lze podle ustanovení § 16 odst. 1 zákona č. 106/1999 Sb., o svobodném přístupu k informacím podat odvolání ve lhůtě 15 dnů ode dne jeho oznámení. Odvolání se podává ke Krajskému úřadu Ústeckého kraje prostřednictvím Magistrátu města Chomutova, odboru interního auditu.</w:t>
      </w:r>
    </w:p>
    <w:p w:rsidR="00D8386F" w:rsidRDefault="00D8386F" w:rsidP="00D8386F">
      <w:pPr>
        <w:rPr>
          <w:rFonts w:ascii="Calibri" w:hAnsi="Calibri" w:cs="Arial"/>
        </w:rPr>
      </w:pPr>
    </w:p>
    <w:p w:rsidR="00D8386F" w:rsidRPr="008D01D4" w:rsidRDefault="00D8386F" w:rsidP="00D8386F">
      <w:pPr>
        <w:rPr>
          <w:rFonts w:ascii="Calibri" w:hAnsi="Calibri"/>
        </w:rPr>
      </w:pPr>
    </w:p>
    <w:p w:rsidR="00D8386F" w:rsidRDefault="00D8386F" w:rsidP="00D8386F">
      <w:pPr>
        <w:tabs>
          <w:tab w:val="left" w:pos="1560"/>
        </w:tabs>
        <w:spacing w:after="0"/>
        <w:ind w:left="5664"/>
        <w:jc w:val="center"/>
        <w:rPr>
          <w:rFonts w:ascii="Calibri" w:hAnsi="Calibri" w:cs="MyriadPro-Regular"/>
          <w:bCs/>
        </w:rPr>
      </w:pPr>
    </w:p>
    <w:p w:rsidR="00D8386F" w:rsidRDefault="00D8386F" w:rsidP="00D8386F">
      <w:pPr>
        <w:tabs>
          <w:tab w:val="left" w:pos="1560"/>
        </w:tabs>
        <w:spacing w:after="0"/>
        <w:ind w:left="5664"/>
        <w:jc w:val="center"/>
        <w:rPr>
          <w:rFonts w:ascii="Calibri" w:hAnsi="Calibri" w:cs="MyriadPro-Regular"/>
          <w:bCs/>
        </w:rPr>
      </w:pPr>
      <w:r>
        <w:rPr>
          <w:rFonts w:ascii="Calibri" w:hAnsi="Calibri" w:cs="MyriadPro-Regular"/>
          <w:bCs/>
        </w:rPr>
        <w:t>Mgr. David Kuhn</w:t>
      </w:r>
    </w:p>
    <w:p w:rsidR="00D8386F" w:rsidRDefault="00D8386F" w:rsidP="00D8386F">
      <w:pPr>
        <w:tabs>
          <w:tab w:val="left" w:pos="1560"/>
        </w:tabs>
        <w:spacing w:after="0"/>
        <w:ind w:left="5664"/>
        <w:jc w:val="center"/>
        <w:rPr>
          <w:rFonts w:ascii="Calibri" w:hAnsi="Calibri" w:cs="MyriadPro-Regular"/>
          <w:bCs/>
        </w:rPr>
      </w:pPr>
      <w:r>
        <w:rPr>
          <w:rFonts w:ascii="Calibri" w:hAnsi="Calibri" w:cs="MyriadPro-Regular"/>
          <w:bCs/>
        </w:rPr>
        <w:t>odbor interní audit – právní úsek</w:t>
      </w:r>
    </w:p>
    <w:p w:rsidR="00D8386F" w:rsidRDefault="00D8386F" w:rsidP="00D8386F">
      <w:pPr>
        <w:tabs>
          <w:tab w:val="left" w:pos="1560"/>
        </w:tabs>
        <w:spacing w:after="0"/>
        <w:ind w:left="5664"/>
        <w:jc w:val="center"/>
        <w:rPr>
          <w:rFonts w:ascii="Calibri" w:hAnsi="Calibri" w:cs="MyriadPro-Regular"/>
          <w:bCs/>
        </w:rPr>
      </w:pPr>
      <w:r>
        <w:rPr>
          <w:rFonts w:ascii="Calibri" w:hAnsi="Calibri" w:cs="MyriadPro-Regular"/>
          <w:bCs/>
        </w:rPr>
        <w:t>magistrát města Chomutova</w:t>
      </w:r>
    </w:p>
    <w:p w:rsidR="00D8386F" w:rsidRPr="000C28C2" w:rsidRDefault="00D8386F" w:rsidP="00D8386F">
      <w:pPr>
        <w:tabs>
          <w:tab w:val="left" w:pos="1560"/>
        </w:tabs>
        <w:spacing w:after="0" w:line="240" w:lineRule="auto"/>
        <w:rPr>
          <w:rFonts w:ascii="Calibri" w:hAnsi="Calibri" w:cs="MyriadPro-Regular"/>
          <w:bCs/>
          <w:lang w:eastAsia="cs-CZ"/>
        </w:rPr>
      </w:pPr>
    </w:p>
    <w:p w:rsidR="00C6733E" w:rsidRPr="00785A29" w:rsidRDefault="00C6733E" w:rsidP="00C6733E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lang w:eastAsia="cs-CZ"/>
        </w:rPr>
      </w:pPr>
    </w:p>
    <w:p w:rsidR="00C6733E" w:rsidRDefault="00C6733E" w:rsidP="00C6733E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/>
          <w:lang w:eastAsia="cs-CZ"/>
        </w:rPr>
      </w:pPr>
    </w:p>
    <w:p w:rsidR="00C6733E" w:rsidRDefault="00C6733E" w:rsidP="00C6733E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b/>
          <w:lang w:eastAsia="cs-CZ"/>
        </w:rPr>
      </w:pPr>
    </w:p>
    <w:p w:rsidR="006550EE" w:rsidRDefault="006550EE" w:rsidP="008E1717">
      <w:pPr>
        <w:spacing w:before="120" w:after="360" w:line="288" w:lineRule="auto"/>
        <w:jc w:val="both"/>
      </w:pPr>
    </w:p>
    <w:sectPr w:rsidR="006550EE" w:rsidSect="006913F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6CC" w:rsidRDefault="009A56CC" w:rsidP="002F57DA">
      <w:pPr>
        <w:spacing w:after="0" w:line="240" w:lineRule="auto"/>
      </w:pPr>
      <w:r>
        <w:separator/>
      </w:r>
    </w:p>
  </w:endnote>
  <w:endnote w:type="continuationSeparator" w:id="0">
    <w:p w:rsidR="009A56CC" w:rsidRDefault="009A56CC" w:rsidP="002F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DA" w:rsidRPr="00AE667F" w:rsidRDefault="002F57DA" w:rsidP="002F57DA">
    <w:pPr>
      <w:pStyle w:val="Zpat"/>
      <w:jc w:val="center"/>
      <w:rPr>
        <w:b/>
        <w:caps/>
        <w:color w:val="A6A6A6" w:themeColor="background1" w:themeShade="A6"/>
        <w:sz w:val="16"/>
      </w:rPr>
    </w:pPr>
    <w:r w:rsidRPr="00AE667F">
      <w:rPr>
        <w:b/>
        <w:caps/>
        <w:color w:val="A6A6A6" w:themeColor="background1" w:themeShade="A6"/>
        <w:sz w:val="16"/>
      </w:rPr>
      <w:t>statutární město Chomutov</w:t>
    </w:r>
  </w:p>
  <w:p w:rsidR="002F57DA" w:rsidRPr="00AE667F" w:rsidRDefault="002F57DA" w:rsidP="002F57DA">
    <w:pPr>
      <w:pStyle w:val="Zpat"/>
      <w:jc w:val="center"/>
      <w:rPr>
        <w:sz w:val="16"/>
      </w:rPr>
    </w:pPr>
    <w:r w:rsidRPr="00AE667F">
      <w:rPr>
        <w:sz w:val="16"/>
      </w:rPr>
      <w:t xml:space="preserve">Zborovská 4602, 430 28 Chomutov | tel.: +420 474 637 111 | fax: +420 474 652 777 | email: </w:t>
    </w:r>
    <w:hyperlink r:id="rId1" w:history="1">
      <w:r w:rsidRPr="00AE667F">
        <w:rPr>
          <w:rStyle w:val="Hypertextovodkaz"/>
          <w:sz w:val="16"/>
        </w:rPr>
        <w:t>podatelna@chomutov.cz</w:t>
      </w:r>
    </w:hyperlink>
  </w:p>
  <w:p w:rsidR="002F57DA" w:rsidRPr="00AE667F" w:rsidRDefault="002F57DA" w:rsidP="002F57DA">
    <w:pPr>
      <w:pStyle w:val="Zpat"/>
      <w:jc w:val="center"/>
      <w:rPr>
        <w:sz w:val="16"/>
        <w:szCs w:val="18"/>
      </w:rPr>
    </w:pPr>
    <w:r w:rsidRPr="00AE667F">
      <w:rPr>
        <w:sz w:val="16"/>
        <w:szCs w:val="18"/>
      </w:rPr>
      <w:t xml:space="preserve">Datová schránka: 497beyz | IČ: 00261891 | DIČ: CZ 00261891 | číslo účtu: KB 19-0000626441/0100 | </w:t>
    </w:r>
    <w:hyperlink r:id="rId2" w:history="1">
      <w:r w:rsidRPr="00BE554D">
        <w:rPr>
          <w:rStyle w:val="Hypertextovodkaz"/>
          <w:sz w:val="16"/>
          <w:szCs w:val="18"/>
        </w:rPr>
        <w:t>www.chomutov.cz</w:t>
      </w:r>
    </w:hyperlink>
  </w:p>
  <w:p w:rsidR="002F57DA" w:rsidRPr="002F57DA" w:rsidRDefault="002F57DA" w:rsidP="002F57DA">
    <w:pPr>
      <w:pStyle w:val="Zpat"/>
      <w:jc w:val="center"/>
      <w:rPr>
        <w:sz w:val="16"/>
        <w:szCs w:val="18"/>
      </w:rPr>
    </w:pPr>
    <w:r w:rsidRPr="00AE667F">
      <w:rPr>
        <w:sz w:val="16"/>
        <w:szCs w:val="18"/>
      </w:rPr>
      <w:t>Úřední dny a hodiny: pondělí, středa 08:00 – 17:00 hodin | úterý, čtvrtek 08:00 – 15:00 hodin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200" w:rsidRDefault="00841200" w:rsidP="00841200">
    <w:pPr>
      <w:pStyle w:val="Zpat"/>
      <w:jc w:val="center"/>
      <w:rPr>
        <w:b/>
        <w:caps/>
        <w:color w:val="A6A6A6" w:themeColor="background1" w:themeShade="A6"/>
        <w:sz w:val="16"/>
      </w:rPr>
    </w:pPr>
    <w:r>
      <w:rPr>
        <w:b/>
        <w:caps/>
        <w:color w:val="A6A6A6" w:themeColor="background1" w:themeShade="A6"/>
        <w:sz w:val="16"/>
      </w:rPr>
      <w:t>statutární město Chomutov</w:t>
    </w:r>
  </w:p>
  <w:p w:rsidR="00841200" w:rsidRDefault="00841200" w:rsidP="00841200">
    <w:pPr>
      <w:pStyle w:val="Zpat"/>
      <w:jc w:val="center"/>
      <w:rPr>
        <w:sz w:val="16"/>
      </w:rPr>
    </w:pPr>
    <w:r>
      <w:rPr>
        <w:sz w:val="16"/>
      </w:rPr>
      <w:t xml:space="preserve">Zborovská 4602, 430 28 Chomutov | tel.: +420 474 637 111 | fax: +420 474 652 777 | email: </w:t>
    </w:r>
    <w:r w:rsidRPr="00C14A53">
      <w:rPr>
        <w:sz w:val="16"/>
      </w:rPr>
      <w:t>podatelna@chomutov.cz</w:t>
    </w:r>
  </w:p>
  <w:p w:rsidR="00841200" w:rsidRDefault="00841200" w:rsidP="00841200">
    <w:pPr>
      <w:pStyle w:val="Zpat"/>
      <w:jc w:val="center"/>
      <w:rPr>
        <w:sz w:val="16"/>
        <w:szCs w:val="18"/>
      </w:rPr>
    </w:pPr>
    <w:r>
      <w:rPr>
        <w:sz w:val="16"/>
        <w:szCs w:val="18"/>
      </w:rPr>
      <w:t xml:space="preserve">Datová schránka: 497beyz | IČ: 00261891 | DIČ: CZ 00261891 | číslo účtu: KB 19-0000626441/0100 | </w:t>
    </w:r>
    <w:r w:rsidRPr="00C14A53">
      <w:rPr>
        <w:sz w:val="16"/>
        <w:szCs w:val="18"/>
      </w:rPr>
      <w:t>www.chomutov.cz</w:t>
    </w:r>
  </w:p>
  <w:p w:rsidR="00841200" w:rsidRPr="00841200" w:rsidRDefault="00841200" w:rsidP="00841200">
    <w:pPr>
      <w:pStyle w:val="Zpat"/>
      <w:jc w:val="center"/>
      <w:rPr>
        <w:sz w:val="16"/>
        <w:szCs w:val="18"/>
      </w:rPr>
    </w:pPr>
    <w:r>
      <w:rPr>
        <w:sz w:val="16"/>
        <w:szCs w:val="18"/>
      </w:rPr>
      <w:t>Úřední dny a hodiny: pondělí, středa 08:00 – 17:00 hodin | úterý, čtvrtek 08:00 – 15:00 hodin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6CC" w:rsidRDefault="009A56CC" w:rsidP="002F57DA">
      <w:pPr>
        <w:spacing w:after="0" w:line="240" w:lineRule="auto"/>
      </w:pPr>
      <w:r>
        <w:separator/>
      </w:r>
    </w:p>
  </w:footnote>
  <w:footnote w:type="continuationSeparator" w:id="0">
    <w:p w:rsidR="009A56CC" w:rsidRDefault="009A56CC" w:rsidP="002F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2" w:rsidRDefault="00C55FA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22BC4" wp14:editId="2CD5F065">
          <wp:simplePos x="0" y="0"/>
          <wp:positionH relativeFrom="page">
            <wp:posOffset>-14605</wp:posOffset>
          </wp:positionH>
          <wp:positionV relativeFrom="paragraph">
            <wp:posOffset>-438785</wp:posOffset>
          </wp:positionV>
          <wp:extent cx="7556500" cy="1476375"/>
          <wp:effectExtent l="0" t="0" r="6350" b="952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9773F"/>
    <w:multiLevelType w:val="hybridMultilevel"/>
    <w:tmpl w:val="A336C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48"/>
    <w:rsid w:val="00061348"/>
    <w:rsid w:val="00066F48"/>
    <w:rsid w:val="000971CA"/>
    <w:rsid w:val="000A493C"/>
    <w:rsid w:val="0014293F"/>
    <w:rsid w:val="00231968"/>
    <w:rsid w:val="00274256"/>
    <w:rsid w:val="002D23E1"/>
    <w:rsid w:val="002F57DA"/>
    <w:rsid w:val="003334BA"/>
    <w:rsid w:val="003579D3"/>
    <w:rsid w:val="00381CEF"/>
    <w:rsid w:val="00411D2C"/>
    <w:rsid w:val="00414424"/>
    <w:rsid w:val="00486771"/>
    <w:rsid w:val="00486CF3"/>
    <w:rsid w:val="004A2367"/>
    <w:rsid w:val="005063C0"/>
    <w:rsid w:val="005166CD"/>
    <w:rsid w:val="00563B79"/>
    <w:rsid w:val="005F25E6"/>
    <w:rsid w:val="006115C6"/>
    <w:rsid w:val="00625C83"/>
    <w:rsid w:val="00641C0E"/>
    <w:rsid w:val="0064532D"/>
    <w:rsid w:val="006500B9"/>
    <w:rsid w:val="006550EE"/>
    <w:rsid w:val="006913F2"/>
    <w:rsid w:val="006A6786"/>
    <w:rsid w:val="00730766"/>
    <w:rsid w:val="00734F49"/>
    <w:rsid w:val="00736080"/>
    <w:rsid w:val="00783FDA"/>
    <w:rsid w:val="007A45BE"/>
    <w:rsid w:val="007B7AC1"/>
    <w:rsid w:val="007E4D77"/>
    <w:rsid w:val="0083253F"/>
    <w:rsid w:val="00841200"/>
    <w:rsid w:val="00843617"/>
    <w:rsid w:val="00854455"/>
    <w:rsid w:val="00892E16"/>
    <w:rsid w:val="008E1717"/>
    <w:rsid w:val="009000EC"/>
    <w:rsid w:val="00917297"/>
    <w:rsid w:val="009237E5"/>
    <w:rsid w:val="00940BA7"/>
    <w:rsid w:val="00941954"/>
    <w:rsid w:val="00946699"/>
    <w:rsid w:val="009713F9"/>
    <w:rsid w:val="009A56CC"/>
    <w:rsid w:val="00A11B01"/>
    <w:rsid w:val="00AF7725"/>
    <w:rsid w:val="00BE35DA"/>
    <w:rsid w:val="00C14A53"/>
    <w:rsid w:val="00C202D8"/>
    <w:rsid w:val="00C23A0C"/>
    <w:rsid w:val="00C55FA2"/>
    <w:rsid w:val="00C6733E"/>
    <w:rsid w:val="00CA6B6B"/>
    <w:rsid w:val="00CB6963"/>
    <w:rsid w:val="00CB6C7A"/>
    <w:rsid w:val="00CD1946"/>
    <w:rsid w:val="00D2760D"/>
    <w:rsid w:val="00D8386F"/>
    <w:rsid w:val="00DA3ED8"/>
    <w:rsid w:val="00DB64C6"/>
    <w:rsid w:val="00DD0938"/>
    <w:rsid w:val="00E163D1"/>
    <w:rsid w:val="00E20918"/>
    <w:rsid w:val="00E75C0D"/>
    <w:rsid w:val="00EE55E4"/>
    <w:rsid w:val="00F44C8E"/>
    <w:rsid w:val="00F661F7"/>
    <w:rsid w:val="00FA660C"/>
    <w:rsid w:val="00FB6300"/>
    <w:rsid w:val="00FD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A99204"/>
  <w15:chartTrackingRefBased/>
  <w15:docId w15:val="{46062178-DD00-48D2-B0B8-C48F21C1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7DA"/>
  </w:style>
  <w:style w:type="paragraph" w:styleId="Zpat">
    <w:name w:val="footer"/>
    <w:basedOn w:val="Normln"/>
    <w:link w:val="ZpatChar"/>
    <w:uiPriority w:val="99"/>
    <w:unhideWhenUsed/>
    <w:rsid w:val="002F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7DA"/>
  </w:style>
  <w:style w:type="character" w:styleId="Hypertextovodkaz">
    <w:name w:val="Hyperlink"/>
    <w:basedOn w:val="Standardnpsmoodstavce"/>
    <w:uiPriority w:val="99"/>
    <w:unhideWhenUsed/>
    <w:rsid w:val="002F57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57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4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1442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946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rsid w:val="00D838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838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mutov.cz" TargetMode="External"/><Relationship Id="rId1" Type="http://schemas.openxmlformats.org/officeDocument/2006/relationships/hyperlink" Target="mailto:podatelna@chomut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1933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Pöselt Lukáš</dc:creator>
  <cp:keywords/>
  <dc:description/>
  <cp:lastModifiedBy>Kuhn David</cp:lastModifiedBy>
  <cp:revision>2</cp:revision>
  <cp:lastPrinted>2023-04-06T07:06:00Z</cp:lastPrinted>
  <dcterms:created xsi:type="dcterms:W3CDTF">2026-06-05T09:46:00Z</dcterms:created>
  <dcterms:modified xsi:type="dcterms:W3CDTF">2026-06-05T09:46:00Z</dcterms:modified>
</cp:coreProperties>
</file>