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264" w:rsidRPr="001D562F" w:rsidRDefault="00456C35" w:rsidP="005404CF">
      <w:pPr>
        <w:ind w:right="-1023"/>
        <w:jc w:val="both"/>
        <w:rPr>
          <w:rFonts w:ascii="Calibri" w:hAnsi="Calibri" w:cs="Calibri"/>
          <w:color w:val="808080"/>
          <w:sz w:val="22"/>
          <w:szCs w:val="22"/>
        </w:rPr>
      </w:pPr>
      <w:r>
        <w:rPr>
          <w:noProof/>
        </w:rPr>
        <w:drawing>
          <wp:anchor distT="0" distB="0" distL="114300" distR="114300" simplePos="0" relativeHeight="251657728" behindDoc="0" locked="0" layoutInCell="1" allowOverlap="1">
            <wp:simplePos x="0" y="0"/>
            <wp:positionH relativeFrom="page">
              <wp:posOffset>9525</wp:posOffset>
            </wp:positionH>
            <wp:positionV relativeFrom="page">
              <wp:posOffset>635</wp:posOffset>
            </wp:positionV>
            <wp:extent cx="7552690" cy="146685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b="18417"/>
                    <a:stretch>
                      <a:fillRect/>
                    </a:stretch>
                  </pic:blipFill>
                  <pic:spPr bwMode="auto">
                    <a:xfrm>
                      <a:off x="0" y="0"/>
                      <a:ext cx="7552690" cy="1466850"/>
                    </a:xfrm>
                    <a:prstGeom prst="rect">
                      <a:avLst/>
                    </a:prstGeom>
                    <a:noFill/>
                  </pic:spPr>
                </pic:pic>
              </a:graphicData>
            </a:graphic>
            <wp14:sizeRelH relativeFrom="page">
              <wp14:pctWidth>0</wp14:pctWidth>
            </wp14:sizeRelH>
            <wp14:sizeRelV relativeFrom="page">
              <wp14:pctHeight>0</wp14:pctHeight>
            </wp14:sizeRelV>
          </wp:anchor>
        </w:drawing>
      </w:r>
      <w:r w:rsidR="001D562F" w:rsidRPr="001D562F">
        <w:rPr>
          <w:rFonts w:ascii="Calibri" w:hAnsi="Calibri" w:cs="Calibri"/>
          <w:sz w:val="22"/>
          <w:szCs w:val="22"/>
        </w:rPr>
        <w:t xml:space="preserve">                                                                                </w:t>
      </w:r>
      <w:r w:rsidR="001D562F" w:rsidRPr="001D562F">
        <w:rPr>
          <w:rFonts w:ascii="Calibri" w:hAnsi="Calibri" w:cs="Calibri"/>
          <w:sz w:val="22"/>
          <w:szCs w:val="22"/>
        </w:rPr>
        <w:tab/>
      </w:r>
      <w:r w:rsidR="001D562F" w:rsidRPr="001D562F">
        <w:rPr>
          <w:rFonts w:ascii="Calibri" w:hAnsi="Calibri" w:cs="Calibri"/>
          <w:sz w:val="22"/>
          <w:szCs w:val="22"/>
        </w:rPr>
        <w:tab/>
      </w:r>
      <w:r w:rsidR="001D562F" w:rsidRPr="001D562F">
        <w:rPr>
          <w:rFonts w:ascii="Calibri" w:hAnsi="Calibri" w:cs="Calibri"/>
          <w:sz w:val="22"/>
          <w:szCs w:val="22"/>
        </w:rPr>
        <w:tab/>
      </w:r>
      <w:r w:rsidR="001D562F" w:rsidRPr="001D562F">
        <w:rPr>
          <w:rFonts w:ascii="Calibri" w:hAnsi="Calibri" w:cs="Calibri"/>
          <w:sz w:val="22"/>
          <w:szCs w:val="22"/>
        </w:rPr>
        <w:tab/>
      </w:r>
      <w:r w:rsidR="001D562F" w:rsidRPr="001D562F">
        <w:rPr>
          <w:rFonts w:ascii="Calibri" w:hAnsi="Calibri" w:cs="Calibri"/>
          <w:sz w:val="22"/>
          <w:szCs w:val="22"/>
        </w:rPr>
        <w:tab/>
      </w:r>
      <w:r w:rsidR="001D562F" w:rsidRPr="001D562F">
        <w:rPr>
          <w:rFonts w:ascii="Calibri" w:hAnsi="Calibri" w:cs="Calibri"/>
          <w:color w:val="808080"/>
          <w:sz w:val="22"/>
          <w:szCs w:val="22"/>
          <w:shd w:val="clear" w:color="auto" w:fill="FFFFFF"/>
        </w:rPr>
        <w:t>Odbor životního prostředí</w:t>
      </w:r>
    </w:p>
    <w:p w:rsidR="00474264" w:rsidRPr="001D562F" w:rsidRDefault="00474264" w:rsidP="005404CF">
      <w:pPr>
        <w:ind w:right="-1023"/>
        <w:jc w:val="both"/>
        <w:rPr>
          <w:rFonts w:ascii="Calibri" w:hAnsi="Calibri" w:cs="Calibri"/>
          <w:color w:val="808080"/>
          <w:sz w:val="22"/>
          <w:szCs w:val="22"/>
        </w:rPr>
      </w:pPr>
    </w:p>
    <w:p w:rsidR="00474264" w:rsidRPr="001D562F" w:rsidRDefault="00474264" w:rsidP="005404CF">
      <w:pPr>
        <w:ind w:right="-1023"/>
        <w:jc w:val="both"/>
        <w:rPr>
          <w:rFonts w:ascii="Calibri" w:hAnsi="Calibri" w:cs="Calibri"/>
          <w:color w:val="808080"/>
          <w:sz w:val="22"/>
          <w:szCs w:val="22"/>
        </w:rPr>
      </w:pPr>
    </w:p>
    <w:p w:rsidR="00474264" w:rsidRPr="001D562F" w:rsidRDefault="00474264" w:rsidP="005404CF">
      <w:pPr>
        <w:ind w:right="-1023"/>
        <w:jc w:val="both"/>
        <w:rPr>
          <w:rFonts w:ascii="Calibri" w:hAnsi="Calibri" w:cs="Calibri"/>
          <w:b/>
          <w:color w:val="808080"/>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5086"/>
      </w:tblGrid>
      <w:tr w:rsidR="00474264" w:rsidRPr="001D562F">
        <w:tc>
          <w:tcPr>
            <w:tcW w:w="4520" w:type="dxa"/>
            <w:tcBorders>
              <w:top w:val="nil"/>
              <w:left w:val="nil"/>
              <w:bottom w:val="nil"/>
              <w:right w:val="nil"/>
            </w:tcBorders>
          </w:tcPr>
          <w:p w:rsidR="00474264" w:rsidRPr="001D562F" w:rsidRDefault="001D562F" w:rsidP="005404CF">
            <w:pPr>
              <w:jc w:val="both"/>
              <w:rPr>
                <w:rFonts w:ascii="Calibri" w:hAnsi="Calibri" w:cs="Calibri"/>
                <w:sz w:val="22"/>
                <w:szCs w:val="22"/>
                <w:lang w:val="en-US"/>
              </w:rPr>
            </w:pPr>
            <w:r w:rsidRPr="001D562F">
              <w:rPr>
                <w:rFonts w:ascii="Calibri" w:hAnsi="Calibri" w:cs="Calibri"/>
                <w:sz w:val="22"/>
                <w:szCs w:val="22"/>
                <w:lang w:val="en-US"/>
              </w:rPr>
              <w:br/>
            </w:r>
            <w:r w:rsidRPr="001D562F">
              <w:rPr>
                <w:rFonts w:ascii="Calibri" w:hAnsi="Calibri" w:cs="Calibri"/>
                <w:sz w:val="22"/>
                <w:szCs w:val="22"/>
                <w:shd w:val="clear" w:color="auto" w:fill="FFFFFF"/>
                <w:lang w:val="en-US"/>
              </w:rPr>
              <w:t>General Property XV s.r.o., IČO 14040760</w:t>
            </w:r>
            <w:r w:rsidRPr="001D562F">
              <w:rPr>
                <w:rFonts w:ascii="Calibri" w:hAnsi="Calibri" w:cs="Calibri"/>
                <w:sz w:val="22"/>
                <w:szCs w:val="22"/>
                <w:shd w:val="clear" w:color="auto" w:fill="FFFFFF"/>
                <w:lang w:val="en-US"/>
              </w:rPr>
              <w:br/>
              <w:t>Dubová č.p. 248/1</w:t>
            </w:r>
            <w:r w:rsidRPr="001D562F">
              <w:rPr>
                <w:rFonts w:ascii="Calibri" w:hAnsi="Calibri" w:cs="Calibri"/>
                <w:sz w:val="22"/>
                <w:szCs w:val="22"/>
                <w:shd w:val="clear" w:color="auto" w:fill="FFFFFF"/>
                <w:lang w:val="en-US"/>
              </w:rPr>
              <w:br/>
              <w:t>Bohatice</w:t>
            </w:r>
            <w:r w:rsidRPr="001D562F">
              <w:rPr>
                <w:rFonts w:ascii="Calibri" w:hAnsi="Calibri" w:cs="Calibri"/>
                <w:sz w:val="22"/>
                <w:szCs w:val="22"/>
                <w:shd w:val="clear" w:color="auto" w:fill="FFFFFF"/>
                <w:lang w:val="en-US"/>
              </w:rPr>
              <w:br/>
              <w:t>360 04  Karlovy Vary 4</w:t>
            </w:r>
          </w:p>
          <w:p w:rsidR="00474264" w:rsidRPr="001D562F" w:rsidRDefault="00474264" w:rsidP="005404CF">
            <w:pPr>
              <w:jc w:val="both"/>
              <w:rPr>
                <w:rFonts w:ascii="Calibri" w:hAnsi="Calibri" w:cs="Calibri"/>
                <w:sz w:val="22"/>
                <w:szCs w:val="22"/>
              </w:rPr>
            </w:pPr>
          </w:p>
        </w:tc>
        <w:tc>
          <w:tcPr>
            <w:tcW w:w="5086" w:type="dxa"/>
            <w:tcBorders>
              <w:top w:val="nil"/>
              <w:left w:val="nil"/>
              <w:bottom w:val="nil"/>
              <w:right w:val="nil"/>
            </w:tcBorders>
          </w:tcPr>
          <w:p w:rsidR="00474264" w:rsidRPr="001D562F" w:rsidRDefault="001D562F" w:rsidP="005404CF">
            <w:pPr>
              <w:jc w:val="both"/>
              <w:rPr>
                <w:rFonts w:ascii="Calibri" w:hAnsi="Calibri" w:cs="Calibri"/>
                <w:sz w:val="22"/>
                <w:szCs w:val="22"/>
              </w:rPr>
            </w:pPr>
            <w:r w:rsidRPr="001D562F">
              <w:rPr>
                <w:rFonts w:ascii="Calibri" w:hAnsi="Calibri" w:cs="Calibri"/>
                <w:sz w:val="22"/>
                <w:szCs w:val="22"/>
              </w:rPr>
              <w:t>Váš dopis zn.:</w:t>
            </w:r>
            <w:r w:rsidRPr="001D562F">
              <w:rPr>
                <w:rFonts w:ascii="Calibri" w:hAnsi="Calibri" w:cs="Calibri"/>
                <w:sz w:val="22"/>
                <w:szCs w:val="22"/>
              </w:rPr>
              <w:tab/>
            </w:r>
          </w:p>
          <w:p w:rsidR="00474264" w:rsidRPr="001D562F" w:rsidRDefault="001D562F" w:rsidP="005404CF">
            <w:pPr>
              <w:jc w:val="both"/>
              <w:rPr>
                <w:rFonts w:ascii="Calibri" w:hAnsi="Calibri" w:cs="Calibri"/>
                <w:sz w:val="22"/>
                <w:szCs w:val="22"/>
              </w:rPr>
            </w:pPr>
            <w:r w:rsidRPr="001D562F">
              <w:rPr>
                <w:rFonts w:ascii="Calibri" w:hAnsi="Calibri" w:cs="Calibri"/>
                <w:sz w:val="22"/>
                <w:szCs w:val="22"/>
              </w:rPr>
              <w:t>Ze dne:</w:t>
            </w:r>
            <w:r w:rsidRPr="001D562F">
              <w:rPr>
                <w:rFonts w:ascii="Calibri" w:hAnsi="Calibri" w:cs="Calibri"/>
                <w:sz w:val="22"/>
                <w:szCs w:val="22"/>
              </w:rPr>
              <w:tab/>
            </w:r>
            <w:r w:rsidRPr="001D562F">
              <w:rPr>
                <w:rFonts w:ascii="Calibri" w:hAnsi="Calibri" w:cs="Calibri"/>
                <w:sz w:val="22"/>
                <w:szCs w:val="22"/>
              </w:rPr>
              <w:tab/>
            </w:r>
            <w:r w:rsidRPr="001D562F">
              <w:rPr>
                <w:rFonts w:ascii="Calibri" w:hAnsi="Calibri" w:cs="Calibri"/>
                <w:sz w:val="22"/>
                <w:szCs w:val="22"/>
                <w:shd w:val="clear" w:color="auto" w:fill="FFFFFF"/>
              </w:rPr>
              <w:t>27.06.2024</w:t>
            </w:r>
          </w:p>
          <w:p w:rsidR="00474264" w:rsidRPr="001D562F" w:rsidRDefault="001D562F" w:rsidP="005404CF">
            <w:pPr>
              <w:jc w:val="both"/>
              <w:rPr>
                <w:rFonts w:ascii="Calibri" w:hAnsi="Calibri" w:cs="Calibri"/>
                <w:sz w:val="22"/>
                <w:szCs w:val="22"/>
              </w:rPr>
            </w:pPr>
            <w:r w:rsidRPr="001D562F">
              <w:rPr>
                <w:rFonts w:ascii="Calibri" w:hAnsi="Calibri" w:cs="Calibri"/>
                <w:sz w:val="22"/>
                <w:szCs w:val="22"/>
              </w:rPr>
              <w:t xml:space="preserve">Čj.: </w:t>
            </w:r>
            <w:bookmarkStart w:id="0" w:name="Věc"/>
            <w:bookmarkStart w:id="1" w:name="čj"/>
            <w:r w:rsidRPr="001D562F">
              <w:rPr>
                <w:rFonts w:ascii="Calibri" w:hAnsi="Calibri" w:cs="Calibri"/>
                <w:sz w:val="22"/>
                <w:szCs w:val="22"/>
              </w:rPr>
              <w:tab/>
            </w:r>
            <w:bookmarkEnd w:id="0"/>
            <w:bookmarkEnd w:id="1"/>
            <w:r w:rsidRPr="001D562F">
              <w:rPr>
                <w:rFonts w:ascii="Calibri" w:hAnsi="Calibri" w:cs="Calibri"/>
                <w:sz w:val="22"/>
                <w:szCs w:val="22"/>
              </w:rPr>
              <w:tab/>
            </w:r>
            <w:r w:rsidRPr="001D562F">
              <w:rPr>
                <w:rFonts w:ascii="Calibri" w:hAnsi="Calibri" w:cs="Calibri"/>
                <w:sz w:val="22"/>
                <w:szCs w:val="22"/>
                <w:shd w:val="clear" w:color="auto" w:fill="FFFFFF"/>
              </w:rPr>
              <w:t>MMCH/102274/2024/Hub/OŽP</w:t>
            </w:r>
          </w:p>
          <w:p w:rsidR="00474264" w:rsidRPr="001D562F" w:rsidRDefault="001D562F" w:rsidP="005404CF">
            <w:pPr>
              <w:jc w:val="both"/>
              <w:rPr>
                <w:rFonts w:ascii="Calibri" w:hAnsi="Calibri" w:cs="Calibri"/>
                <w:sz w:val="22"/>
                <w:szCs w:val="22"/>
              </w:rPr>
            </w:pPr>
            <w:r w:rsidRPr="001D562F">
              <w:rPr>
                <w:rFonts w:ascii="Calibri" w:hAnsi="Calibri" w:cs="Calibri"/>
                <w:sz w:val="22"/>
                <w:szCs w:val="22"/>
              </w:rPr>
              <w:t xml:space="preserve">Sp. značka: </w:t>
            </w:r>
            <w:r w:rsidRPr="001D562F">
              <w:rPr>
                <w:rFonts w:ascii="Calibri" w:hAnsi="Calibri" w:cs="Calibri"/>
                <w:sz w:val="22"/>
                <w:szCs w:val="22"/>
              </w:rPr>
              <w:tab/>
            </w:r>
            <w:r w:rsidRPr="001D562F">
              <w:rPr>
                <w:rFonts w:ascii="Calibri" w:hAnsi="Calibri" w:cs="Calibri"/>
                <w:sz w:val="22"/>
                <w:szCs w:val="22"/>
                <w:shd w:val="clear" w:color="auto" w:fill="FFFFFF"/>
              </w:rPr>
              <w:t>SZ MMCH/86227/2024/</w:t>
            </w:r>
          </w:p>
          <w:p w:rsidR="00474264" w:rsidRPr="001D562F" w:rsidRDefault="00474264" w:rsidP="005404CF">
            <w:pPr>
              <w:jc w:val="both"/>
              <w:rPr>
                <w:rFonts w:ascii="Calibri" w:hAnsi="Calibri" w:cs="Calibri"/>
                <w:sz w:val="22"/>
                <w:szCs w:val="22"/>
              </w:rPr>
            </w:pPr>
          </w:p>
          <w:p w:rsidR="00474264" w:rsidRPr="001D562F" w:rsidRDefault="001D562F" w:rsidP="005404CF">
            <w:pPr>
              <w:jc w:val="both"/>
              <w:rPr>
                <w:rFonts w:ascii="Calibri" w:hAnsi="Calibri" w:cs="Calibri"/>
                <w:sz w:val="22"/>
                <w:szCs w:val="22"/>
              </w:rPr>
            </w:pPr>
            <w:r w:rsidRPr="001D562F">
              <w:rPr>
                <w:rFonts w:ascii="Calibri" w:hAnsi="Calibri" w:cs="Calibri"/>
                <w:sz w:val="22"/>
                <w:szCs w:val="22"/>
              </w:rPr>
              <w:t>Vyřizuje:</w:t>
            </w:r>
            <w:r w:rsidRPr="001D562F">
              <w:rPr>
                <w:rFonts w:ascii="Calibri" w:hAnsi="Calibri" w:cs="Calibri"/>
                <w:sz w:val="22"/>
                <w:szCs w:val="22"/>
              </w:rPr>
              <w:tab/>
            </w:r>
            <w:r w:rsidRPr="001D562F">
              <w:rPr>
                <w:rFonts w:ascii="Calibri" w:hAnsi="Calibri" w:cs="Calibri"/>
                <w:sz w:val="22"/>
                <w:szCs w:val="22"/>
                <w:shd w:val="clear" w:color="auto" w:fill="FFFFFF"/>
              </w:rPr>
              <w:t>Hubálková Hana</w:t>
            </w:r>
          </w:p>
          <w:p w:rsidR="00474264" w:rsidRPr="001D562F" w:rsidRDefault="001D562F" w:rsidP="005404CF">
            <w:pPr>
              <w:jc w:val="both"/>
              <w:rPr>
                <w:rFonts w:ascii="Calibri" w:hAnsi="Calibri" w:cs="Calibri"/>
                <w:sz w:val="22"/>
                <w:szCs w:val="22"/>
              </w:rPr>
            </w:pPr>
            <w:r w:rsidRPr="001D562F">
              <w:rPr>
                <w:rFonts w:ascii="Calibri" w:hAnsi="Calibri" w:cs="Calibri"/>
                <w:sz w:val="22"/>
                <w:szCs w:val="22"/>
              </w:rPr>
              <w:t>Tel.:</w:t>
            </w:r>
            <w:r w:rsidRPr="001D562F">
              <w:rPr>
                <w:rFonts w:ascii="Calibri" w:hAnsi="Calibri" w:cs="Calibri"/>
                <w:sz w:val="22"/>
                <w:szCs w:val="22"/>
              </w:rPr>
              <w:tab/>
            </w:r>
            <w:r w:rsidRPr="001D562F">
              <w:rPr>
                <w:rFonts w:ascii="Calibri" w:hAnsi="Calibri" w:cs="Calibri"/>
                <w:sz w:val="22"/>
                <w:szCs w:val="22"/>
              </w:rPr>
              <w:tab/>
            </w:r>
            <w:r w:rsidRPr="001D562F">
              <w:rPr>
                <w:rFonts w:ascii="Calibri" w:hAnsi="Calibri" w:cs="Calibri"/>
                <w:sz w:val="22"/>
                <w:szCs w:val="22"/>
                <w:shd w:val="clear" w:color="auto" w:fill="FFFFFF"/>
              </w:rPr>
              <w:t>474 637 943</w:t>
            </w:r>
          </w:p>
          <w:p w:rsidR="00474264" w:rsidRPr="001D562F" w:rsidRDefault="001D562F" w:rsidP="005404CF">
            <w:pPr>
              <w:jc w:val="both"/>
              <w:rPr>
                <w:rFonts w:ascii="Calibri" w:hAnsi="Calibri" w:cs="Calibri"/>
                <w:sz w:val="22"/>
                <w:szCs w:val="22"/>
              </w:rPr>
            </w:pPr>
            <w:r w:rsidRPr="001D562F">
              <w:rPr>
                <w:rFonts w:ascii="Calibri" w:hAnsi="Calibri" w:cs="Calibri"/>
                <w:sz w:val="22"/>
                <w:szCs w:val="22"/>
              </w:rPr>
              <w:t>MOBIL:</w:t>
            </w:r>
            <w:r w:rsidRPr="001D562F">
              <w:rPr>
                <w:rFonts w:ascii="Calibri" w:hAnsi="Calibri" w:cs="Calibri"/>
                <w:sz w:val="22"/>
                <w:szCs w:val="22"/>
              </w:rPr>
              <w:tab/>
            </w:r>
            <w:r w:rsidRPr="001D562F">
              <w:rPr>
                <w:rFonts w:ascii="Calibri" w:hAnsi="Calibri" w:cs="Calibri"/>
                <w:sz w:val="22"/>
                <w:szCs w:val="22"/>
              </w:rPr>
              <w:tab/>
            </w:r>
          </w:p>
          <w:p w:rsidR="00474264" w:rsidRPr="001D562F" w:rsidRDefault="001D562F" w:rsidP="005404CF">
            <w:pPr>
              <w:jc w:val="both"/>
              <w:rPr>
                <w:rFonts w:ascii="Calibri" w:hAnsi="Calibri" w:cs="Calibri"/>
                <w:sz w:val="22"/>
                <w:szCs w:val="22"/>
              </w:rPr>
            </w:pPr>
            <w:r w:rsidRPr="001D562F">
              <w:rPr>
                <w:rFonts w:ascii="Calibri" w:hAnsi="Calibri" w:cs="Calibri"/>
                <w:sz w:val="22"/>
                <w:szCs w:val="22"/>
              </w:rPr>
              <w:t>E-mail:</w:t>
            </w:r>
            <w:r w:rsidRPr="001D562F">
              <w:rPr>
                <w:rFonts w:ascii="Calibri" w:hAnsi="Calibri" w:cs="Calibri"/>
                <w:sz w:val="22"/>
                <w:szCs w:val="22"/>
              </w:rPr>
              <w:tab/>
            </w:r>
            <w:r w:rsidRPr="001D562F">
              <w:rPr>
                <w:rFonts w:ascii="Calibri" w:hAnsi="Calibri" w:cs="Calibri"/>
                <w:sz w:val="22"/>
                <w:szCs w:val="22"/>
              </w:rPr>
              <w:tab/>
            </w:r>
            <w:r w:rsidRPr="001D562F">
              <w:rPr>
                <w:rFonts w:ascii="Calibri" w:hAnsi="Calibri" w:cs="Calibri"/>
                <w:sz w:val="22"/>
                <w:szCs w:val="22"/>
                <w:shd w:val="clear" w:color="auto" w:fill="FFFFFF"/>
              </w:rPr>
              <w:t>h.hubalkova@chomutov.cz</w:t>
            </w:r>
          </w:p>
          <w:p w:rsidR="00474264" w:rsidRPr="001D562F" w:rsidRDefault="00474264" w:rsidP="005404CF">
            <w:pPr>
              <w:jc w:val="both"/>
              <w:rPr>
                <w:rFonts w:ascii="Calibri" w:hAnsi="Calibri" w:cs="Calibri"/>
                <w:sz w:val="22"/>
                <w:szCs w:val="22"/>
              </w:rPr>
            </w:pPr>
          </w:p>
          <w:p w:rsidR="00474264" w:rsidRPr="001D562F" w:rsidRDefault="001D562F" w:rsidP="005404CF">
            <w:pPr>
              <w:jc w:val="both"/>
              <w:rPr>
                <w:rFonts w:ascii="Calibri" w:hAnsi="Calibri" w:cs="Calibri"/>
                <w:sz w:val="22"/>
                <w:szCs w:val="22"/>
              </w:rPr>
            </w:pPr>
            <w:r w:rsidRPr="001D562F">
              <w:rPr>
                <w:rFonts w:ascii="Calibri" w:hAnsi="Calibri" w:cs="Calibri"/>
                <w:sz w:val="22"/>
                <w:szCs w:val="22"/>
              </w:rPr>
              <w:t>Datum:</w:t>
            </w:r>
            <w:r w:rsidRPr="001D562F">
              <w:rPr>
                <w:rFonts w:ascii="Calibri" w:hAnsi="Calibri" w:cs="Calibri"/>
                <w:sz w:val="22"/>
                <w:szCs w:val="22"/>
              </w:rPr>
              <w:tab/>
            </w:r>
            <w:r w:rsidRPr="001D562F">
              <w:rPr>
                <w:rFonts w:ascii="Calibri" w:hAnsi="Calibri" w:cs="Calibri"/>
                <w:sz w:val="22"/>
                <w:szCs w:val="22"/>
              </w:rPr>
              <w:tab/>
            </w:r>
            <w:r w:rsidRPr="001D562F">
              <w:rPr>
                <w:rFonts w:ascii="Calibri" w:hAnsi="Calibri" w:cs="Calibri"/>
                <w:sz w:val="22"/>
                <w:szCs w:val="22"/>
                <w:shd w:val="clear" w:color="auto" w:fill="FFFFFF"/>
              </w:rPr>
              <w:t>01.08.2024</w:t>
            </w:r>
          </w:p>
          <w:p w:rsidR="00474264" w:rsidRPr="001D562F" w:rsidRDefault="00474264" w:rsidP="005404CF">
            <w:pPr>
              <w:jc w:val="both"/>
              <w:rPr>
                <w:rFonts w:ascii="Calibri" w:hAnsi="Calibri" w:cs="Calibri"/>
                <w:sz w:val="22"/>
                <w:szCs w:val="22"/>
              </w:rPr>
            </w:pPr>
          </w:p>
        </w:tc>
      </w:tr>
      <w:tr w:rsidR="00474264" w:rsidRPr="001D562F">
        <w:tc>
          <w:tcPr>
            <w:tcW w:w="4520" w:type="dxa"/>
            <w:tcBorders>
              <w:top w:val="nil"/>
              <w:left w:val="nil"/>
              <w:bottom w:val="nil"/>
              <w:right w:val="nil"/>
            </w:tcBorders>
          </w:tcPr>
          <w:p w:rsidR="00474264" w:rsidRPr="001D562F" w:rsidRDefault="00474264" w:rsidP="005404CF">
            <w:pPr>
              <w:jc w:val="both"/>
              <w:rPr>
                <w:rFonts w:ascii="Calibri" w:hAnsi="Calibri" w:cs="Calibri"/>
                <w:sz w:val="22"/>
                <w:szCs w:val="22"/>
                <w:lang w:val="en-US"/>
              </w:rPr>
            </w:pPr>
          </w:p>
        </w:tc>
        <w:tc>
          <w:tcPr>
            <w:tcW w:w="5086" w:type="dxa"/>
            <w:tcBorders>
              <w:top w:val="nil"/>
              <w:left w:val="nil"/>
              <w:bottom w:val="nil"/>
              <w:right w:val="nil"/>
            </w:tcBorders>
          </w:tcPr>
          <w:p w:rsidR="00474264" w:rsidRPr="001D562F" w:rsidRDefault="00474264" w:rsidP="005404CF">
            <w:pPr>
              <w:jc w:val="both"/>
              <w:rPr>
                <w:rFonts w:ascii="Calibri" w:hAnsi="Calibri" w:cs="Calibri"/>
                <w:sz w:val="22"/>
                <w:szCs w:val="22"/>
              </w:rPr>
            </w:pPr>
          </w:p>
        </w:tc>
      </w:tr>
    </w:tbl>
    <w:p w:rsidR="00474264" w:rsidRPr="001D562F" w:rsidRDefault="001D562F" w:rsidP="005404CF">
      <w:pPr>
        <w:jc w:val="both"/>
        <w:rPr>
          <w:rFonts w:ascii="Calibri" w:hAnsi="Calibri" w:cs="Calibri"/>
          <w:b/>
          <w:sz w:val="22"/>
          <w:szCs w:val="22"/>
        </w:rPr>
      </w:pPr>
      <w:r w:rsidRPr="001D562F">
        <w:rPr>
          <w:rFonts w:ascii="Calibri" w:hAnsi="Calibri" w:cs="Calibri"/>
          <w:sz w:val="22"/>
          <w:szCs w:val="22"/>
        </w:rPr>
        <w:fldChar w:fldCharType="begin"/>
      </w:r>
      <w:r w:rsidRPr="001D562F">
        <w:rPr>
          <w:rFonts w:ascii="Calibri" w:hAnsi="Calibri" w:cs="Calibri"/>
          <w:sz w:val="22"/>
          <w:szCs w:val="22"/>
        </w:rPr>
        <w:instrText xml:space="preserve"> FORMTEXT </w:instrText>
      </w:r>
      <w:r w:rsidR="00456C35">
        <w:rPr>
          <w:rFonts w:ascii="Calibri" w:hAnsi="Calibri" w:cs="Calibri"/>
          <w:sz w:val="22"/>
          <w:szCs w:val="22"/>
        </w:rPr>
        <w:fldChar w:fldCharType="separate"/>
      </w:r>
      <w:r w:rsidRPr="001D562F">
        <w:rPr>
          <w:rFonts w:ascii="Calibri" w:hAnsi="Calibri" w:cs="Calibri"/>
          <w:sz w:val="22"/>
          <w:szCs w:val="22"/>
        </w:rPr>
        <w:fldChar w:fldCharType="end"/>
      </w:r>
      <w:r w:rsidRPr="001D562F">
        <w:rPr>
          <w:rFonts w:ascii="Calibri" w:hAnsi="Calibri" w:cs="Calibri"/>
          <w:sz w:val="22"/>
          <w:szCs w:val="22"/>
        </w:rPr>
        <w:tab/>
      </w:r>
      <w:r w:rsidRPr="001D562F">
        <w:rPr>
          <w:rFonts w:ascii="Calibri" w:hAnsi="Calibri" w:cs="Calibri"/>
          <w:sz w:val="22"/>
          <w:szCs w:val="22"/>
        </w:rPr>
        <w:tab/>
      </w:r>
      <w:r w:rsidRPr="001D562F">
        <w:rPr>
          <w:rFonts w:ascii="Calibri" w:hAnsi="Calibri" w:cs="Calibri"/>
          <w:sz w:val="22"/>
          <w:szCs w:val="22"/>
        </w:rPr>
        <w:tab/>
      </w:r>
      <w:r w:rsidRPr="001D562F">
        <w:rPr>
          <w:rFonts w:ascii="Calibri" w:hAnsi="Calibri" w:cs="Calibri"/>
          <w:sz w:val="22"/>
          <w:szCs w:val="22"/>
        </w:rPr>
        <w:tab/>
      </w:r>
    </w:p>
    <w:p w:rsidR="00474264" w:rsidRPr="001D562F" w:rsidRDefault="00474264" w:rsidP="005404CF">
      <w:pPr>
        <w:jc w:val="both"/>
        <w:rPr>
          <w:rFonts w:ascii="Calibri" w:hAnsi="Calibri" w:cs="Calibri"/>
          <w:sz w:val="22"/>
          <w:szCs w:val="22"/>
        </w:rPr>
      </w:pPr>
    </w:p>
    <w:p w:rsidR="00474264" w:rsidRPr="001D562F" w:rsidRDefault="001D562F" w:rsidP="005404CF">
      <w:pPr>
        <w:pStyle w:val="Nadpis1"/>
        <w:rPr>
          <w:rFonts w:ascii="Calibri" w:hAnsi="Calibri" w:cs="Calibri"/>
          <w:szCs w:val="28"/>
        </w:rPr>
      </w:pPr>
      <w:r w:rsidRPr="001D562F">
        <w:rPr>
          <w:rFonts w:ascii="Calibri" w:hAnsi="Calibri" w:cs="Calibri"/>
          <w:szCs w:val="28"/>
        </w:rPr>
        <w:t>KOORDINOVANÉ ZÁVAZNÉ STANOVISKO</w:t>
      </w:r>
    </w:p>
    <w:p w:rsidR="00474264" w:rsidRPr="001D562F" w:rsidRDefault="001D562F" w:rsidP="005404CF">
      <w:pPr>
        <w:pStyle w:val="Nadpis1"/>
        <w:spacing w:before="60"/>
        <w:rPr>
          <w:rFonts w:ascii="Calibri" w:hAnsi="Calibri" w:cs="Calibri"/>
          <w:szCs w:val="28"/>
        </w:rPr>
      </w:pPr>
      <w:r w:rsidRPr="001D562F">
        <w:rPr>
          <w:rFonts w:ascii="Calibri" w:hAnsi="Calibri" w:cs="Calibri"/>
          <w:szCs w:val="28"/>
        </w:rPr>
        <w:t>(NEGATIVNÍ)</w:t>
      </w:r>
    </w:p>
    <w:p w:rsidR="00474264" w:rsidRPr="001D562F" w:rsidRDefault="00474264" w:rsidP="005404CF">
      <w:pPr>
        <w:spacing w:before="120"/>
        <w:jc w:val="center"/>
        <w:rPr>
          <w:rFonts w:ascii="Calibri" w:hAnsi="Calibri" w:cs="Calibri"/>
          <w:sz w:val="28"/>
          <w:szCs w:val="28"/>
        </w:rPr>
      </w:pPr>
    </w:p>
    <w:p w:rsidR="003E3B47" w:rsidRPr="001D562F" w:rsidRDefault="003E3B47" w:rsidP="005404CF">
      <w:pPr>
        <w:spacing w:before="120"/>
        <w:jc w:val="center"/>
        <w:rPr>
          <w:rFonts w:ascii="Calibri" w:hAnsi="Calibri" w:cs="Calibri"/>
          <w:sz w:val="28"/>
          <w:szCs w:val="28"/>
        </w:rPr>
      </w:pPr>
    </w:p>
    <w:p w:rsidR="00474264" w:rsidRPr="001D562F" w:rsidRDefault="001D562F" w:rsidP="005404CF">
      <w:pPr>
        <w:spacing w:before="120"/>
        <w:jc w:val="both"/>
        <w:rPr>
          <w:rFonts w:ascii="Calibri" w:hAnsi="Calibri" w:cs="Calibri"/>
          <w:sz w:val="22"/>
          <w:szCs w:val="22"/>
        </w:rPr>
      </w:pPr>
      <w:r w:rsidRPr="001D562F">
        <w:rPr>
          <w:rFonts w:ascii="Calibri" w:hAnsi="Calibri" w:cs="Calibri"/>
          <w:sz w:val="22"/>
          <w:szCs w:val="22"/>
          <w:shd w:val="clear" w:color="auto" w:fill="FFFFFF"/>
        </w:rPr>
        <w:t>Statutární město Chomutov</w:t>
      </w:r>
      <w:r w:rsidRPr="001D562F">
        <w:rPr>
          <w:rFonts w:ascii="Calibri" w:hAnsi="Calibri" w:cs="Calibri"/>
          <w:sz w:val="22"/>
          <w:szCs w:val="22"/>
        </w:rPr>
        <w:t xml:space="preserve">, jako dotčený orgán příslušný podle § 136 </w:t>
      </w:r>
      <w:r w:rsidRPr="001D562F">
        <w:rPr>
          <w:rFonts w:ascii="Calibri" w:hAnsi="Calibri" w:cs="Calibri"/>
          <w:sz w:val="22"/>
          <w:szCs w:val="22"/>
          <w:shd w:val="clear" w:color="auto" w:fill="FFFFFF"/>
        </w:rPr>
        <w:t>zákona č. 500/2004 Sb., správní řád, ve znění pozdějších předpisů</w:t>
      </w:r>
      <w:r w:rsidRPr="001D562F">
        <w:rPr>
          <w:rFonts w:ascii="Calibri" w:hAnsi="Calibri" w:cs="Calibri"/>
          <w:sz w:val="22"/>
          <w:szCs w:val="22"/>
        </w:rPr>
        <w:t xml:space="preserve"> (dále jen "správní řád")</w:t>
      </w:r>
      <w:r w:rsidRPr="001D562F">
        <w:rPr>
          <w:rFonts w:ascii="Calibri" w:hAnsi="Calibri" w:cs="Calibri"/>
          <w:sz w:val="22"/>
          <w:szCs w:val="22"/>
          <w:shd w:val="clear" w:color="auto" w:fill="FFFFFF"/>
        </w:rPr>
        <w:t>,</w:t>
      </w:r>
      <w:r w:rsidRPr="001D562F">
        <w:rPr>
          <w:rFonts w:ascii="Calibri" w:hAnsi="Calibri" w:cs="Calibri"/>
          <w:sz w:val="22"/>
          <w:szCs w:val="22"/>
        </w:rPr>
        <w:t xml:space="preserve"> a podle dále uvedených ustanovení jednotlivých zvláštních zákonů, po posouzení žádosti, kterou dne </w:t>
      </w:r>
      <w:r w:rsidRPr="001D562F">
        <w:rPr>
          <w:rFonts w:ascii="Calibri" w:hAnsi="Calibri" w:cs="Calibri"/>
          <w:sz w:val="22"/>
          <w:szCs w:val="22"/>
          <w:shd w:val="clear" w:color="auto" w:fill="FFFFFF"/>
        </w:rPr>
        <w:t>27.06.2024</w:t>
      </w:r>
      <w:r w:rsidRPr="001D562F">
        <w:rPr>
          <w:rFonts w:ascii="Calibri" w:hAnsi="Calibri" w:cs="Calibri"/>
          <w:sz w:val="22"/>
          <w:szCs w:val="22"/>
        </w:rPr>
        <w:t xml:space="preserve"> podal</w:t>
      </w:r>
    </w:p>
    <w:p w:rsidR="00474264" w:rsidRPr="001D562F" w:rsidRDefault="001D562F" w:rsidP="005404CF">
      <w:pPr>
        <w:spacing w:before="120"/>
        <w:jc w:val="both"/>
        <w:rPr>
          <w:rFonts w:ascii="Calibri" w:hAnsi="Calibri" w:cs="Calibri"/>
          <w:b/>
          <w:sz w:val="22"/>
          <w:szCs w:val="22"/>
        </w:rPr>
      </w:pPr>
      <w:r w:rsidRPr="001D562F">
        <w:rPr>
          <w:rFonts w:ascii="Calibri" w:hAnsi="Calibri" w:cs="Calibri"/>
          <w:b/>
          <w:sz w:val="22"/>
          <w:szCs w:val="22"/>
          <w:shd w:val="clear" w:color="auto" w:fill="FFFFFF"/>
        </w:rPr>
        <w:t>General Property XV s.r.o., IČO 14040760, se sídlem Dubová č.p. 248/1, Bohatice, 360 04  Karlovy Vary 4,</w:t>
      </w:r>
      <w:r w:rsidRPr="001D562F">
        <w:rPr>
          <w:rFonts w:ascii="Calibri" w:hAnsi="Calibri" w:cs="Calibri"/>
          <w:b/>
          <w:sz w:val="22"/>
          <w:szCs w:val="22"/>
          <w:shd w:val="clear" w:color="auto" w:fill="FFFFFF"/>
        </w:rPr>
        <w:br/>
        <w:t>kterého zastupuje United Architect Studio, s.r.o., IČO 25734695, se sídlem Pod vrstevnicí č.p. 494/8, 140 00  Praha 4-Krč</w:t>
      </w:r>
    </w:p>
    <w:p w:rsidR="00474264" w:rsidRPr="001D562F" w:rsidRDefault="001D562F" w:rsidP="005404CF">
      <w:pPr>
        <w:spacing w:before="120"/>
        <w:jc w:val="both"/>
        <w:rPr>
          <w:rFonts w:ascii="Calibri" w:hAnsi="Calibri" w:cs="Calibri"/>
          <w:sz w:val="22"/>
          <w:szCs w:val="22"/>
        </w:rPr>
      </w:pPr>
      <w:r w:rsidRPr="001D562F">
        <w:rPr>
          <w:rFonts w:ascii="Calibri" w:hAnsi="Calibri" w:cs="Calibri"/>
          <w:sz w:val="22"/>
          <w:szCs w:val="22"/>
        </w:rPr>
        <w:t>(dále jen "žadatel"), ve věci:</w:t>
      </w:r>
    </w:p>
    <w:p w:rsidR="005404CF" w:rsidRPr="001D562F" w:rsidRDefault="005404CF" w:rsidP="005404CF">
      <w:pPr>
        <w:spacing w:before="120"/>
        <w:jc w:val="both"/>
        <w:rPr>
          <w:rFonts w:ascii="Calibri" w:hAnsi="Calibri" w:cs="Calibri"/>
          <w:b/>
          <w:sz w:val="22"/>
          <w:szCs w:val="22"/>
          <w:shd w:val="clear" w:color="auto" w:fill="FFFFFF"/>
        </w:rPr>
      </w:pPr>
    </w:p>
    <w:p w:rsidR="003E3B47" w:rsidRPr="001D562F" w:rsidRDefault="001D562F" w:rsidP="005404CF">
      <w:pPr>
        <w:spacing w:before="120"/>
        <w:jc w:val="both"/>
        <w:rPr>
          <w:rFonts w:ascii="Calibri" w:hAnsi="Calibri" w:cs="Calibri"/>
          <w:sz w:val="22"/>
          <w:szCs w:val="22"/>
        </w:rPr>
      </w:pPr>
      <w:r w:rsidRPr="001D562F">
        <w:rPr>
          <w:rFonts w:ascii="Calibri" w:hAnsi="Calibri" w:cs="Calibri"/>
          <w:b/>
          <w:sz w:val="22"/>
          <w:szCs w:val="22"/>
          <w:shd w:val="clear" w:color="auto" w:fill="FFFFFF"/>
        </w:rPr>
        <w:t>Vedení přípojky VN pro budoucí napojení FVE Droužkovice na fransformovnu Chomutov I</w:t>
      </w:r>
      <w:r w:rsidRPr="001D562F">
        <w:rPr>
          <w:rFonts w:ascii="Calibri" w:hAnsi="Calibri" w:cs="Calibri"/>
          <w:b/>
          <w:sz w:val="22"/>
          <w:szCs w:val="22"/>
          <w:shd w:val="clear" w:color="auto" w:fill="FFFFFF"/>
        </w:rPr>
        <w:br/>
      </w:r>
    </w:p>
    <w:p w:rsidR="003E3B47" w:rsidRPr="001D562F" w:rsidRDefault="003E3B47" w:rsidP="005404CF">
      <w:pPr>
        <w:spacing w:before="120"/>
        <w:jc w:val="both"/>
        <w:rPr>
          <w:rFonts w:ascii="Calibri" w:hAnsi="Calibri" w:cs="Calibri"/>
          <w:sz w:val="22"/>
          <w:szCs w:val="22"/>
        </w:rPr>
      </w:pPr>
    </w:p>
    <w:p w:rsidR="00474264" w:rsidRPr="001D562F" w:rsidRDefault="001D562F" w:rsidP="005404CF">
      <w:pPr>
        <w:spacing w:before="120"/>
        <w:jc w:val="both"/>
        <w:rPr>
          <w:rFonts w:ascii="Calibri" w:hAnsi="Calibri" w:cs="Calibri"/>
          <w:sz w:val="22"/>
          <w:szCs w:val="22"/>
        </w:rPr>
      </w:pPr>
      <w:r w:rsidRPr="001D562F">
        <w:rPr>
          <w:rFonts w:ascii="Calibri" w:hAnsi="Calibri" w:cs="Calibri"/>
          <w:sz w:val="22"/>
          <w:szCs w:val="22"/>
        </w:rPr>
        <w:t xml:space="preserve">(dále jen "záměr") na pozemku </w:t>
      </w:r>
      <w:r w:rsidRPr="001D562F">
        <w:rPr>
          <w:rFonts w:ascii="Calibri" w:hAnsi="Calibri" w:cs="Calibri"/>
          <w:sz w:val="22"/>
          <w:szCs w:val="22"/>
          <w:shd w:val="clear" w:color="auto" w:fill="FFFFFF"/>
        </w:rPr>
        <w:t>parc. č. 717, 731, 806, 948, 949, 950, 977, 986, 987, 988, 1141, 1142, 1143, 1178, 1179, 1188, 1196 v katastrálním území Droužkovice, parc. č. 4192/1, 4193/1, 4193/2, 4195/7, 4235/5, 4235/37, 4244/5, 4244/14, 4244/17, 4244/32, 4251/1, 4251/2, 4251/5, 4251/9, 4251/10, 4251/11, 4251/12, 4251/13, 4251/14, 4251/15, 4251/16, 4251/17, 4254/1, 4256/1, 4335/1, 4336/2, 4337/1, 4337/5, 4337/6 v katastrálním území Chomutov I</w:t>
      </w:r>
      <w:r w:rsidRPr="001D562F">
        <w:rPr>
          <w:rFonts w:ascii="Calibri" w:hAnsi="Calibri" w:cs="Calibri"/>
          <w:sz w:val="22"/>
          <w:szCs w:val="22"/>
        </w:rPr>
        <w:t xml:space="preserve">, a po zkoordinování požadavků na ochranu dotčených veřejných zájmů, vydává podle ustanovení § 4 odst. 2 a 7 </w:t>
      </w:r>
      <w:r w:rsidRPr="001D562F">
        <w:rPr>
          <w:rFonts w:ascii="Calibri" w:hAnsi="Calibri" w:cs="Calibri"/>
          <w:sz w:val="22"/>
          <w:szCs w:val="22"/>
          <w:shd w:val="clear" w:color="auto" w:fill="FFFFFF"/>
        </w:rPr>
        <w:t>zákona č. 183/2006 Sb., o územním plánování a stavebním řádu (stavební zákon), ve znění pozdějších předpisů</w:t>
      </w:r>
      <w:r w:rsidRPr="001D562F">
        <w:rPr>
          <w:rFonts w:ascii="Calibri" w:hAnsi="Calibri" w:cs="Calibri"/>
          <w:sz w:val="22"/>
          <w:szCs w:val="22"/>
        </w:rPr>
        <w:t xml:space="preserve"> (dále jen </w:t>
      </w:r>
      <w:r w:rsidRPr="001D562F">
        <w:rPr>
          <w:rFonts w:ascii="Calibri" w:hAnsi="Calibri" w:cs="Calibri"/>
          <w:sz w:val="22"/>
          <w:szCs w:val="22"/>
        </w:rPr>
        <w:lastRenderedPageBreak/>
        <w:t xml:space="preserve">"stavební zákon") a podle § 136 a § 149 odst. 1 správního řádu toto </w:t>
      </w:r>
      <w:r w:rsidRPr="001D562F">
        <w:rPr>
          <w:rFonts w:ascii="Calibri" w:hAnsi="Calibri" w:cs="Calibri"/>
          <w:b/>
          <w:sz w:val="22"/>
          <w:szCs w:val="22"/>
        </w:rPr>
        <w:t>koordinované závazné stanovisko</w:t>
      </w:r>
      <w:r w:rsidRPr="001D562F">
        <w:rPr>
          <w:rFonts w:ascii="Calibri" w:hAnsi="Calibri" w:cs="Calibri"/>
          <w:sz w:val="22"/>
          <w:szCs w:val="22"/>
        </w:rPr>
        <w:t xml:space="preserve"> pro úseky, které jako dotčený orgán hájí:</w:t>
      </w:r>
    </w:p>
    <w:p w:rsidR="00474264" w:rsidRPr="001D562F" w:rsidRDefault="00474264" w:rsidP="005404CF">
      <w:pPr>
        <w:jc w:val="both"/>
        <w:rPr>
          <w:rFonts w:ascii="Calibri" w:hAnsi="Calibri" w:cs="Calibri"/>
          <w:sz w:val="22"/>
          <w:szCs w:val="22"/>
        </w:rPr>
      </w:pPr>
    </w:p>
    <w:p w:rsidR="00474264" w:rsidRPr="001D562F" w:rsidRDefault="001D562F" w:rsidP="005404CF">
      <w:pPr>
        <w:numPr>
          <w:ilvl w:val="0"/>
          <w:numId w:val="7"/>
        </w:numPr>
        <w:spacing w:before="120"/>
        <w:ind w:left="426"/>
        <w:jc w:val="both"/>
        <w:rPr>
          <w:rFonts w:ascii="Calibri" w:hAnsi="Calibri" w:cs="Calibri"/>
          <w:b/>
          <w:sz w:val="22"/>
          <w:szCs w:val="22"/>
        </w:rPr>
      </w:pPr>
      <w:r w:rsidRPr="001D562F">
        <w:rPr>
          <w:rFonts w:ascii="Calibri" w:hAnsi="Calibri" w:cs="Calibri"/>
          <w:b/>
          <w:sz w:val="22"/>
          <w:szCs w:val="22"/>
        </w:rPr>
        <w:t>Územní plánování</w:t>
      </w:r>
    </w:p>
    <w:p w:rsidR="00474264" w:rsidRPr="001D562F" w:rsidRDefault="001D562F" w:rsidP="005404CF">
      <w:pPr>
        <w:spacing w:before="60"/>
        <w:ind w:left="425"/>
        <w:jc w:val="both"/>
        <w:rPr>
          <w:rFonts w:ascii="Calibri" w:hAnsi="Calibri" w:cs="Calibri"/>
          <w:sz w:val="22"/>
          <w:szCs w:val="22"/>
        </w:rPr>
      </w:pPr>
      <w:r w:rsidRPr="001D562F">
        <w:rPr>
          <w:rFonts w:ascii="Calibri" w:hAnsi="Calibri" w:cs="Calibri"/>
          <w:sz w:val="22"/>
          <w:szCs w:val="22"/>
        </w:rPr>
        <w:t xml:space="preserve">Veřejné zájmy, které dotčený orgán hájí podle </w:t>
      </w:r>
      <w:r w:rsidRPr="001D562F">
        <w:rPr>
          <w:rFonts w:ascii="Calibri" w:hAnsi="Calibri" w:cs="Calibri"/>
          <w:sz w:val="22"/>
          <w:szCs w:val="22"/>
          <w:shd w:val="clear" w:color="auto" w:fill="FFFFFF"/>
        </w:rPr>
        <w:t>§ 6 odst. 1 písm. e), § 96b zákona č. 183/2006 Sb., o územním plánování a stavebním řádu (stavební zákon), ve znění pozdějších předpisů</w:t>
      </w:r>
      <w:r w:rsidRPr="001D562F">
        <w:rPr>
          <w:rFonts w:ascii="Calibri" w:hAnsi="Calibri" w:cs="Calibri"/>
          <w:sz w:val="22"/>
          <w:szCs w:val="22"/>
        </w:rPr>
        <w:t xml:space="preserve">, jsou záměrem dotčeny. </w:t>
      </w:r>
      <w:r w:rsidRPr="001D562F">
        <w:rPr>
          <w:rFonts w:ascii="Calibri" w:hAnsi="Calibri" w:cs="Calibri"/>
          <w:b/>
          <w:szCs w:val="24"/>
        </w:rPr>
        <w:t>Záměr není možné uskutečnit</w:t>
      </w:r>
      <w:r w:rsidRPr="001D562F">
        <w:rPr>
          <w:rFonts w:ascii="Calibri" w:hAnsi="Calibri" w:cs="Calibri"/>
          <w:sz w:val="22"/>
          <w:szCs w:val="22"/>
        </w:rPr>
        <w:t xml:space="preserve"> z těchto důvodů:</w:t>
      </w: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Žádost o  vydání závazného stanoviska k výše uvedenému záměru byla orgánu územního plánování předložena v rámci žádosti o závazné koordinované stanovisko na odboru životního prostředí Magistrátu města Chomutova  firmou UAS s.r.o. UNITED ARCHITECT STUDIO Pod Vrstevnicí 494/8, 140 00 Praha 4 - Krč, která zastupuje žadatele firmu GENERAL PROPERTY XV s.r.o., Dubová 248/1, 360 04 Karlovy Vary - Bohatice, dne 27. 6. 2024.</w:t>
      </w:r>
    </w:p>
    <w:p w:rsidR="00474264" w:rsidRPr="001D562F" w:rsidRDefault="00474264" w:rsidP="009935F6">
      <w:pPr>
        <w:spacing w:before="60"/>
        <w:ind w:left="720"/>
        <w:jc w:val="both"/>
        <w:rPr>
          <w:rFonts w:ascii="Calibri" w:hAnsi="Calibri" w:cs="Calibri"/>
          <w:sz w:val="22"/>
          <w:szCs w:val="22"/>
        </w:rPr>
      </w:pP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Podklady pro vydání závazného stanoviska:</w:t>
      </w: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w:t>
      </w:r>
      <w:r w:rsidRPr="001D562F">
        <w:rPr>
          <w:rFonts w:ascii="Calibri" w:hAnsi="Calibri" w:cs="Calibri"/>
          <w:sz w:val="22"/>
          <w:szCs w:val="22"/>
          <w:shd w:val="clear" w:color="auto" w:fill="FFFFFF"/>
        </w:rPr>
        <w:tab/>
        <w:t>dokumentace pro územní řízení na stavbu "Napojení FVE Droužkovice na transformovnu Chomutov I kabelovým vedením VN" na pozemcích parc. č.  1188, 189, 1179, 988, 987, 986, 1178, 1142, 950, 949, 948, 1141, 1196, 977, 717, 1143, 806 a 731 všechny v k. ú. Droužkovice, pozemky parc. č. 4193/2, 4193/1, 4192/1, 4337/1, 4337/6, 4337/5, 4336/2, 4335/1, 4256/1, 4254/1,4235/37, 4251/14, 4251/13, 4251/12, 4251/5, 4251/11, 4251/16, 4251/15, 4251/17, 4251/15, 4251/10,  4251/9, 4251/2, 4244/14, 4251/1, 4244/17, 4244/5, 4244/26, 4244/32, 4235/5, 4195/7 a 4195/8 všechny v  k.ú. Chomutov I., 07/2024 (A. Průvodní zpráva a B. Souhrnná technická zpráva - části pro posouzení z hlediska ÚP,  výkres č. C-04 Koordinační situace) United Architect Studio, s.r.o., Pod Vrstevnicí 494/8, 140 00 Praha 4, Ing. Arch. Jaromír Myška, autorizovaný architekt ČKA 02788</w:t>
      </w: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w:t>
      </w:r>
      <w:r w:rsidRPr="001D562F">
        <w:rPr>
          <w:rFonts w:ascii="Calibri" w:hAnsi="Calibri" w:cs="Calibri"/>
          <w:sz w:val="22"/>
          <w:szCs w:val="22"/>
          <w:shd w:val="clear" w:color="auto" w:fill="FFFFFF"/>
        </w:rPr>
        <w:tab/>
        <w:t>Politika územního rozvoje České republiky, ve znění Aktualizace č. 1., 2., 3., 4., 5., 6.   a  7. (dále jen "aPÚR"),</w:t>
      </w: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w:t>
      </w:r>
      <w:r w:rsidRPr="001D562F">
        <w:rPr>
          <w:rFonts w:ascii="Calibri" w:hAnsi="Calibri" w:cs="Calibri"/>
          <w:sz w:val="22"/>
          <w:szCs w:val="22"/>
          <w:shd w:val="clear" w:color="auto" w:fill="FFFFFF"/>
        </w:rPr>
        <w:tab/>
        <w:t>Zásady územního rozvoje Ústeckého kraje, ve znění aktualizace č. 1., 2., 3., 4., 5.  a 7. s účinností poslední aktualizace ode dne 19. 7. 2024 (dále jen "aZÚR"),</w:t>
      </w: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w:t>
      </w:r>
      <w:r w:rsidRPr="001D562F">
        <w:rPr>
          <w:rFonts w:ascii="Calibri" w:hAnsi="Calibri" w:cs="Calibri"/>
          <w:sz w:val="22"/>
          <w:szCs w:val="22"/>
          <w:shd w:val="clear" w:color="auto" w:fill="FFFFFF"/>
        </w:rPr>
        <w:tab/>
        <w:t>Územního plánu Droužkovice, vydaný opatřením obecné povahy č. 1/2019 dne 20. 12. 2019 s účinností od 7. ledna 2020 (dále jen "Územní plán Droužkovice")</w:t>
      </w: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w:t>
      </w:r>
      <w:r w:rsidRPr="001D562F">
        <w:rPr>
          <w:rFonts w:ascii="Calibri" w:hAnsi="Calibri" w:cs="Calibri"/>
          <w:sz w:val="22"/>
          <w:szCs w:val="22"/>
          <w:shd w:val="clear" w:color="auto" w:fill="FFFFFF"/>
        </w:rPr>
        <w:tab/>
        <w:t>Územního plánu Chomutov, ve znění jeho změny č. 1. a 2. s účinností ode dne 29.11.2022 (dále jen "Územní plán Chomutov"</w:t>
      </w:r>
    </w:p>
    <w:p w:rsidR="00474264" w:rsidRPr="001D562F" w:rsidRDefault="00474264" w:rsidP="009935F6">
      <w:pPr>
        <w:spacing w:before="60"/>
        <w:ind w:left="720"/>
        <w:jc w:val="both"/>
        <w:rPr>
          <w:rFonts w:ascii="Calibri" w:hAnsi="Calibri" w:cs="Calibri"/>
          <w:sz w:val="22"/>
          <w:szCs w:val="22"/>
        </w:rPr>
      </w:pP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Ke dni 01.01.2024 nabyl účinnosti nový stavební zákon č. 283/2021 Sb., stavební zákon, ve znění pozdějších předpisů. Podle jeho zvláštního ustanovení § 334a se ve věcech týkajících se územního plánování v přechodném období od 01.01.2024 do 30.06.2024 postupuje podle dosavadních právních předpisů (s výjimkami zde uvedenými). V uvedeném období tedy orgány územního plánování postupují podle stavebního zákona č. 183/2006 Sb., ve znění účinném do 31.12.2023 (dále jen "SZ"), včetně jeho prováděcích předpisů a podle právních předpisů s tímto zákonem souvisejících, ve znění účinném do 31.12.2023.</w:t>
      </w:r>
    </w:p>
    <w:p w:rsidR="00474264" w:rsidRPr="001D562F" w:rsidRDefault="00474264" w:rsidP="009935F6">
      <w:pPr>
        <w:spacing w:before="60"/>
        <w:ind w:left="720"/>
        <w:jc w:val="both"/>
        <w:rPr>
          <w:rFonts w:ascii="Calibri" w:hAnsi="Calibri" w:cs="Calibri"/>
          <w:sz w:val="22"/>
          <w:szCs w:val="22"/>
        </w:rPr>
      </w:pP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Magistrát města Chomutova, Odbor rozvoje a investic, oddělení úřadu územního plánování jako orgán územního plánování posoudil podle § 96b odst. 1 SZ  záměr a shledal, že vyvolává změnu v území. Přezkoumal záměr podle § 96b odst. 3 SZ, zda je přípustný z hlediska souladu s politikou územního rozvoje, zásadami územního rozvoje, územně plánovací dokumentací a z hlediska uplatňování cílů a úkolů územního plánování, či nikoliv.</w:t>
      </w:r>
    </w:p>
    <w:p w:rsidR="003E3B47" w:rsidRPr="001D562F" w:rsidRDefault="003E3B47" w:rsidP="003E3B47">
      <w:pPr>
        <w:pStyle w:val="Odstavecseseznamem"/>
        <w:rPr>
          <w:rFonts w:ascii="Calibri" w:hAnsi="Calibri" w:cs="Calibri"/>
          <w:sz w:val="22"/>
          <w:szCs w:val="22"/>
        </w:rPr>
      </w:pPr>
    </w:p>
    <w:p w:rsidR="003E3B47" w:rsidRPr="001D562F" w:rsidRDefault="003E3B47" w:rsidP="003E3B47">
      <w:pPr>
        <w:spacing w:before="60"/>
        <w:jc w:val="both"/>
        <w:rPr>
          <w:rFonts w:ascii="Calibri" w:hAnsi="Calibri" w:cs="Calibri"/>
          <w:sz w:val="22"/>
          <w:szCs w:val="22"/>
        </w:rPr>
      </w:pPr>
    </w:p>
    <w:p w:rsidR="003E3B47" w:rsidRPr="001D562F" w:rsidRDefault="003E3B47" w:rsidP="003E3B47">
      <w:pPr>
        <w:spacing w:before="60"/>
        <w:jc w:val="both"/>
        <w:rPr>
          <w:rFonts w:ascii="Calibri" w:hAnsi="Calibri" w:cs="Calibri"/>
          <w:sz w:val="22"/>
          <w:szCs w:val="22"/>
        </w:rPr>
      </w:pPr>
    </w:p>
    <w:p w:rsidR="00474264" w:rsidRPr="001D562F" w:rsidRDefault="00474264" w:rsidP="009935F6">
      <w:pPr>
        <w:spacing w:before="60"/>
        <w:ind w:left="720"/>
        <w:jc w:val="both"/>
        <w:rPr>
          <w:rFonts w:ascii="Calibri" w:hAnsi="Calibri" w:cs="Calibri"/>
          <w:sz w:val="22"/>
          <w:szCs w:val="22"/>
        </w:rPr>
      </w:pP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Orgán územního plánování předložený záměr  prostudoval, posoudil a nyní vydává závazné stanovisko.</w:t>
      </w: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Záměrem je napojením budoucí fotovoltaické elektrárny, která bude budována na protihlukovém valu podél dálnice D7 v katastrálním území Droužkovice. Bodem napojení byla stanovena transformovna / rozvodna Chomutov jih. Vzdálenost plánované FVE od rozvodny je vzdušnou čarou 1,78 km nebo 3,15 km. Vzhledem k rozsahu stavby - přípojka VN umístěná v zemi.</w:t>
      </w: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Platná Politika územního rozvoje České republiky ve znění Aktualizací č. 1.,2.,3., 4., 5., 6.  a 7.   ani Zásady územního rozvoje Ústeckého kraje ve znění 1. , 2., 3., 4. a 7. Aktualizace záměr v jím dotčeném území neřeší, záměr jejich uplatnění neohrožuje. Platný Územní plán Droužkovice není v rozporu   s vydanými Zásadami územního rozvoje Ústeckého kraje ve zněních jejích Aktualizací, proto byl záměr posuzován z hlediska souladu s Územním plánem Droužkovice. Platný územní plán Chomutov ve znění jeho změn č. 1 a 2, není uveden do souladu s aZÚR vydanými krajem. aZÚR v dotčeném území řeší, záměr se věcí řešených aZÚR dotýká.</w:t>
      </w:r>
    </w:p>
    <w:p w:rsidR="00474264" w:rsidRPr="001D562F" w:rsidRDefault="00474264" w:rsidP="005404CF">
      <w:pPr>
        <w:spacing w:before="60"/>
        <w:ind w:left="720"/>
        <w:jc w:val="both"/>
        <w:rPr>
          <w:rFonts w:ascii="Calibri" w:hAnsi="Calibri" w:cs="Calibri"/>
          <w:sz w:val="22"/>
          <w:szCs w:val="22"/>
        </w:rPr>
      </w:pP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 xml:space="preserve">Předmětný záměr prochází přes přírodní hodnotu nadmístního významu "Přírodní rezervace Pražská pole". Dle aZÚR ochrana, kultivace a rozvíjení hodnot přírodního a krajinného prostředí na území Ústeckého kraje prvořadým veřejným zájem a je nutné stanovovat a dodržovat limity rozvoje pro všechny aktivity, které by mohly způsobovat poškození těchto hodnot (energetika - včetně obnovitelných zdrojů, technická a dopravní infrastruktura). aZÚR dále uvádí, že je potřeba chránit, kultivovat a rozvíjet přírodní hodnoty i mimo rámec území se stanovenou ochranou krajiny a přírody, v územích charakterizovaných jako dynamická a harmonická krajina, dále v exponovaných koridorech podél významných vodních toků a v oblastech při významných vodních plochách. aZÚR také uvádí, že je nutné zaměřovat pozornost na podmínky využívání zemědělských území - zachování jedinečnosti kulturní krajiny; minimalizovat zábory zejména nejkvalitnějších zemědělských půd; podporovat ozdravná opatření - ochrana proti erozním účinkům vody, větru a příprava na realizaci ÚSES, zvýšení prostupnosti zemědělské krajiny, zamezení její zbytečné fragmentace; obnovit péči o dlouhodobě nevyužívaná území; vymezovat území vhodná pro pěstování biomasy a rychle rostoucích dřevin pro technické a energetické účely - nevymezovat však tento způsob využití území ve zvláště chráněných velkoplošných územích (NP, CHKO).  Orgán územního plánování konstatuje, že předložený záměr je z hlediska souladu s nadřazenou PÚR ČR přípustný.  </w:t>
      </w:r>
      <w:r w:rsidRPr="001D562F">
        <w:rPr>
          <w:rFonts w:ascii="Calibri" w:hAnsi="Calibri" w:cs="Calibri"/>
          <w:b/>
          <w:sz w:val="22"/>
          <w:szCs w:val="22"/>
          <w:shd w:val="clear" w:color="auto" w:fill="FFFFFF"/>
        </w:rPr>
        <w:t>Z hlediska aZÚR na základě výše uvedených podmínek ochrany a rozvoje přírodních hodnot dle aZÚR jako orgán územního plánování konstatujeme, že záměr připojení  k budoucí FVE v nezastavěném území obce, které se nachází v "Přírodní rezervaci Pražská pole" je  nepřípustný.</w:t>
      </w:r>
    </w:p>
    <w:p w:rsidR="00474264" w:rsidRPr="001D562F" w:rsidRDefault="00474264" w:rsidP="005404CF">
      <w:pPr>
        <w:spacing w:before="60"/>
        <w:ind w:left="720"/>
        <w:jc w:val="both"/>
        <w:rPr>
          <w:rFonts w:ascii="Calibri" w:hAnsi="Calibri" w:cs="Calibri"/>
          <w:sz w:val="22"/>
          <w:szCs w:val="22"/>
        </w:rPr>
      </w:pP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b/>
          <w:sz w:val="22"/>
          <w:szCs w:val="22"/>
          <w:shd w:val="clear" w:color="auto" w:fill="FFFFFF"/>
        </w:rPr>
        <w:t>Posouzení z hlediska souladu s Územním plánem Droužkovice:</w:t>
      </w:r>
    </w:p>
    <w:p w:rsidR="00474264" w:rsidRPr="001D562F" w:rsidRDefault="00474264" w:rsidP="005404CF">
      <w:pPr>
        <w:spacing w:before="60"/>
        <w:ind w:left="720"/>
        <w:jc w:val="both"/>
        <w:rPr>
          <w:rFonts w:ascii="Calibri" w:hAnsi="Calibri" w:cs="Calibri"/>
          <w:sz w:val="22"/>
          <w:szCs w:val="22"/>
        </w:rPr>
      </w:pP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 xml:space="preserve">Pozemky parc. č.  731, 806, 948, 949, 950, 986, 987, 988 všechny k.ú. Droužkovice se dle platného Územního plánu Droužkovice nacházejí mimo zastavěné území v plochách NS.o - plochy smíšené nezastavěného území s funkcí ochrannou, pozemky parc. č.  1188, 1142, 1178, 1179 a 1189 (v PD zřejmě chybně uvedeno 189) všechny v k.ú. Droužkovice jsou mimo zastavěné území v plochách DS - plochy dopravní infrastruktury - doprava pro silniční dopravu, pozemky parc. č.  717, 1141  a 1143 všechny v k.ú. Droužkovice jsou v části záměru mimo zastavěné území ve funkčních plochách P - plochy veřejných prostranství,  pozemek </w:t>
      </w:r>
      <w:r w:rsidRPr="001D562F">
        <w:rPr>
          <w:rFonts w:ascii="Calibri" w:hAnsi="Calibri" w:cs="Calibri"/>
          <w:sz w:val="22"/>
          <w:szCs w:val="22"/>
          <w:shd w:val="clear" w:color="auto" w:fill="FFFFFF"/>
        </w:rPr>
        <w:lastRenderedPageBreak/>
        <w:t xml:space="preserve">parc. č.  1196 k.ú. Droužkovice je mimo zastavěné území v ploše W - plochy vodní a vodohospodářské a pozemek parc. č.  977 kú. Droužkovice je mimo zastavěné území v plochách NP - plochy přírodní. Pozemky parc. č.  1188, 977, 1196 a 1189 všechny v k.ú. Droužkovice jsou součástí lokálního biokoridoru LBC 5 - Pražské pole (tedy ÚSES). </w:t>
      </w:r>
    </w:p>
    <w:p w:rsidR="00474264" w:rsidRPr="001D562F" w:rsidRDefault="001D562F" w:rsidP="005404CF">
      <w:pPr>
        <w:numPr>
          <w:ilvl w:val="1"/>
          <w:numId w:val="13"/>
        </w:numPr>
        <w:spacing w:before="60"/>
        <w:jc w:val="both"/>
        <w:rPr>
          <w:rFonts w:ascii="Calibri" w:hAnsi="Calibri" w:cs="Calibri"/>
          <w:szCs w:val="24"/>
        </w:rPr>
      </w:pPr>
      <w:r w:rsidRPr="001D562F">
        <w:rPr>
          <w:rFonts w:ascii="Calibri" w:hAnsi="Calibri" w:cs="Calibri"/>
          <w:sz w:val="22"/>
          <w:szCs w:val="22"/>
          <w:shd w:val="clear" w:color="auto" w:fill="FFFFFF"/>
        </w:rPr>
        <w:t xml:space="preserve">V současnosti stávající Územní plán Droužkovice připouští fotovoltaické systémy (fotovoltaické panely) jako substituční podporu části energetických potřeb alternativními zdroji realizovat pouze na střechách objektů. V současné době je tak umístění FVE mimo střechy objektů zcela v rozporu se závaznou částí Územního plánu Droužkovice. Vzhledem k tomu, že FVE je nepřípustná nelze shledat v souladu s Územním plánem Droužkovice ani napojení transformovnu Chomutov I kabelovým vedením. Proto ani nebyla zjišťována další přípustnost či nepřípustnost v jednotlivých funkčních využitích, zvláště když i jednotlivá funkční využití případné umístění tak zcela neumožňují (ÚSES, NATURA apod.).  </w:t>
      </w:r>
      <w:r w:rsidRPr="001D562F">
        <w:rPr>
          <w:rFonts w:ascii="Calibri" w:hAnsi="Calibri" w:cs="Calibri"/>
          <w:b/>
          <w:szCs w:val="24"/>
          <w:shd w:val="clear" w:color="auto" w:fill="FFFFFF"/>
        </w:rPr>
        <w:t>Předložený záměr je  z hlediska Územního plánu Droužkovice nepřípustný.</w:t>
      </w:r>
    </w:p>
    <w:p w:rsidR="00474264" w:rsidRPr="001D562F" w:rsidRDefault="00474264" w:rsidP="005404CF">
      <w:pPr>
        <w:spacing w:before="60"/>
        <w:ind w:left="720"/>
        <w:jc w:val="both"/>
        <w:rPr>
          <w:rFonts w:ascii="Calibri" w:hAnsi="Calibri" w:cs="Calibri"/>
          <w:sz w:val="22"/>
          <w:szCs w:val="22"/>
        </w:rPr>
      </w:pP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b/>
          <w:sz w:val="22"/>
          <w:szCs w:val="22"/>
          <w:shd w:val="clear" w:color="auto" w:fill="FFFFFF"/>
        </w:rPr>
        <w:t>Posouzení z hlediska souladu s Územním plánem Chomutov:</w:t>
      </w:r>
    </w:p>
    <w:p w:rsidR="00474264" w:rsidRPr="001D562F" w:rsidRDefault="00474264" w:rsidP="005404CF">
      <w:pPr>
        <w:spacing w:before="60"/>
        <w:ind w:left="720"/>
        <w:jc w:val="both"/>
        <w:rPr>
          <w:rFonts w:ascii="Calibri" w:hAnsi="Calibri" w:cs="Calibri"/>
          <w:sz w:val="22"/>
          <w:szCs w:val="22"/>
        </w:rPr>
      </w:pP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 xml:space="preserve">Předmětné pozemky parc. č. 4193/2, 4193/1, 4192/1, 4337/1, 4337/6, 4337/5, 4336/2, 4335/1, 4256/1, 4254/1, 4235/37, 4251/14, 4251/13, 4251/12, 4251/5, 4251/11, 4251/16, 4251/15, 4251/17, 4251/15, 4251/10, 4251/9, 4251/2, 4244/14, 4251/1 (pozemek je uveden chybně, v grafické části je mimo záměr), 4244/17, 4244/5 (pozemek je uveden chybně, v grafické části je mimo záměr), 4244/26, 4244/32, 4235/5, 4195/7, 4195/8, (v textové části PD chybí tyto pozemky:  4251/8, 4244/57, 4251/4 k.ú. Chomutov I, které jsou dle výkresu součástí záměru) všechny v k.ú. Chomutov I dotčené záměrem dle předložené dokumentace, se nachází zastavěném území města i nezastavěném území,  zastavitelné ploše 29-Z1 a v plochách funkčního využití "SR plochy krajinné smíšené s rekreačním využitím" - plochy smíšené nezastavěného území s výrazným zastoupením ploch pro nepobytovou rekreaci a relaxaci; "OS plochy pro tělovýchovu a sport" - plochy a stavby pro sportovní činnost a regeneraci organismu; "DS.K Dopravní infrastruktura - silniční - pozemní komunikace" - plochy silniční dopravy určené pro pozemní komunikace; "VP.2 průmyslová výroba a sklady - rušící" - plochy a stavby určené pro průmyslovou výrobu, energetiku a pro skladování bez omezení a s případným negativním vlivem nad přípustnou mez mimo areál a velkými dopravními nároky; "ZI zeleň izolační" - plochy ochranné a izolační zeleně v sídlech nebo v nezastavěném území, které nejsou součástí jiných typů ploch. </w:t>
      </w: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 xml:space="preserve">Vzhledem k tomu, že předmětný záměr souvisí s výstavbou FVE elektrárny v sousední obci Droužkovice, která je dle současného územního plánu nepřípustná, úřad územního plánování se přípustností vedení připojení k budoucí FVE v jednotlivých plochách s rozdílným způsobem využití dále nezabýval.  </w:t>
      </w: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Z důvodu, že je předmětný záměr v rozporu s platným územním plánem obce Droužkovice je dle orgánu územního plánování nepřípustný, jelikož se jedná o stavbu podmíněnou přípustností stavby hlavní, což je výrobna FVE.</w:t>
      </w: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Stavební zákon vyzdvihuje princip ochrany nezastavěného území a umožňuje umístění pouze některých vybraných druhů staveb, a jen pokud je takové umístění v souladu s charakterem tohoto území. Předmětný záměr dle orgánu územního plánu není v souladu se stávajícím charakterem území, jímž v současné době je přírodě blízká volá krajina jako součást Přírodní rezervace Pražská pole. Dále v souladu § 19 odst. 1) písm. a), b), c), e), n) orgán územního plánování považuje  Přírodní rezervaci Pražská pole, jejíž jsou pozemky součástí jako významnou přírodní hodnotu území, kterou je potřeba chránit jako součást nezastavěného území. Předmětný záměr dle orgánu územního plánování může mít negativní vliv na tyto hodnoty, a proto není v souladu s cíli a úkoly územního plánování.</w:t>
      </w:r>
    </w:p>
    <w:p w:rsidR="003E3B47" w:rsidRPr="001D562F" w:rsidRDefault="003E3B47" w:rsidP="003E3B47">
      <w:pPr>
        <w:spacing w:before="60"/>
        <w:jc w:val="both"/>
        <w:rPr>
          <w:rFonts w:ascii="Calibri" w:hAnsi="Calibri" w:cs="Calibri"/>
          <w:sz w:val="22"/>
          <w:szCs w:val="22"/>
          <w:shd w:val="clear" w:color="auto" w:fill="FFFFFF"/>
        </w:rPr>
      </w:pPr>
    </w:p>
    <w:p w:rsidR="003E3B47" w:rsidRPr="001D562F" w:rsidRDefault="003E3B47" w:rsidP="003E3B47">
      <w:pPr>
        <w:spacing w:before="60"/>
        <w:jc w:val="both"/>
        <w:rPr>
          <w:rFonts w:ascii="Calibri" w:hAnsi="Calibri" w:cs="Calibri"/>
          <w:sz w:val="22"/>
          <w:szCs w:val="22"/>
        </w:rPr>
      </w:pP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 xml:space="preserve">Územní plán Chomutov v návrhu uspořádání krajiny klade důraz na symbiózu přírodních a civilizačních prvků, hledá jejich více rovnovážný stav. Podporuje druhovost a vyšší podíl zeleně i rekreačních ploch na řešeném území města. V ÚP Chomutova jsou respektovány registrované prvky ochrany přírody. Územní plán Chomutov podporuje stabilizaci zelených ploch městských i příměstských, rozšíření rekreačních možností v krajinném prostředí a velký jižní přírodní prstenec složený z navazujících velkoprostorových krajinných přírodních prostorů (ZOO, safari, golf, koupání, Údlický lesík s rozhledem na město, vodní plochy) jehož jsou pozemky součástí. Dle orgánu územního plánování je předmětný záměr v rozporu s výše uvedenými doporučeními a §19a (charakter území) a také z důvodu toho, že je ve střetu s veřejným zájmem ochrany životního prostředí. </w:t>
      </w: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b/>
          <w:sz w:val="22"/>
          <w:szCs w:val="22"/>
          <w:shd w:val="clear" w:color="auto" w:fill="FFFFFF"/>
        </w:rPr>
        <w:t>Na základě shora uvedených skutečností a v souladu s § 18, § 19 a §19a stavebního zákona, orgán územního plánování považuje předmětný záměr  v katastrálním území Chomutov I.  i k. ú. Droužkovice za nepřípustný.</w:t>
      </w:r>
    </w:p>
    <w:p w:rsidR="00474264" w:rsidRPr="001D562F" w:rsidRDefault="00474264" w:rsidP="005404CF">
      <w:pPr>
        <w:spacing w:before="60"/>
        <w:ind w:left="720"/>
        <w:jc w:val="both"/>
        <w:rPr>
          <w:rFonts w:ascii="Calibri" w:hAnsi="Calibri" w:cs="Calibri"/>
          <w:sz w:val="22"/>
          <w:szCs w:val="22"/>
        </w:rPr>
      </w:pP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b/>
          <w:sz w:val="22"/>
          <w:szCs w:val="22"/>
          <w:shd w:val="clear" w:color="auto" w:fill="FFFFFF"/>
        </w:rPr>
        <w:t xml:space="preserve">Z uvedených důvodů dospěl orgán územního plánování k závěru, že posuzovaný záměr není přípustný. </w:t>
      </w:r>
    </w:p>
    <w:p w:rsidR="00474264" w:rsidRPr="001D562F" w:rsidRDefault="00474264" w:rsidP="005404CF">
      <w:pPr>
        <w:spacing w:before="60"/>
        <w:ind w:left="720"/>
        <w:jc w:val="both"/>
        <w:rPr>
          <w:rFonts w:ascii="Calibri" w:hAnsi="Calibri" w:cs="Calibri"/>
          <w:sz w:val="22"/>
          <w:szCs w:val="22"/>
        </w:rPr>
      </w:pPr>
    </w:p>
    <w:p w:rsidR="00474264" w:rsidRPr="001D562F" w:rsidRDefault="001D562F" w:rsidP="005404CF">
      <w:pPr>
        <w:numPr>
          <w:ilvl w:val="1"/>
          <w:numId w:val="13"/>
        </w:numPr>
        <w:spacing w:before="60"/>
        <w:jc w:val="both"/>
        <w:rPr>
          <w:rFonts w:ascii="Calibri" w:hAnsi="Calibri" w:cs="Calibri"/>
          <w:sz w:val="22"/>
          <w:szCs w:val="22"/>
        </w:rPr>
      </w:pPr>
      <w:r w:rsidRPr="001D562F">
        <w:rPr>
          <w:rFonts w:ascii="Calibri" w:hAnsi="Calibri" w:cs="Calibri"/>
          <w:sz w:val="22"/>
          <w:szCs w:val="22"/>
          <w:shd w:val="clear" w:color="auto" w:fill="FFFFFF"/>
        </w:rPr>
        <w:t xml:space="preserve">Upozorňujeme dále na zřejmé zásadní chyby v předložené PD: chybí specifikace katastrálního území Chomutov - zřejmě k grafickému umístění se jedná o katastrální území Chomutov I., v PD je konstatováno, že lokalita není evidována v evropsky významné lokalitě NATURA 2000, ve skutečnosti však území dotčené záměrem se nachází v NATUŘE 2000 evropsky významné lokalitě, dále je v PD sděleno, že navrhovaná stavba se nenachází na evidovaném a chráněném ložiskovém území nerostných surovin, což opět není pravda, protože lokalita je dokonce ve 2 evidovaných chráněných ložiskových území : CHLÚ Droužkovice I - č. CHLU 07930100 a  CHLÚ Chomutov - Údlice č. CHLU 07870000, celé území je i v poddolovaném území  Chomutov I-Droužkovice, ačkoliv PD opět uvádí, že v záměr v poddolovaném území není.  Dále je lokalita dotčena aktivním záplavovým území a záplavovým území Q100 v k.ú. Droužkovice, což opět předložená PD neřeší, neboť prý se navrhovaná stavba nenachází v "zátopovém" území. Záměr je i v území s archeologickými nálezy. Předložená PD výše uvedené limity zcela ignoruje. </w:t>
      </w:r>
    </w:p>
    <w:p w:rsidR="00474264" w:rsidRPr="001D562F" w:rsidRDefault="00474264" w:rsidP="005404CF">
      <w:pPr>
        <w:spacing w:before="60"/>
        <w:ind w:left="720"/>
        <w:jc w:val="both"/>
        <w:rPr>
          <w:rFonts w:ascii="Calibri" w:hAnsi="Calibri" w:cs="Calibri"/>
          <w:sz w:val="22"/>
          <w:szCs w:val="22"/>
        </w:rPr>
      </w:pPr>
    </w:p>
    <w:p w:rsidR="00474264" w:rsidRPr="001D562F" w:rsidRDefault="00474264" w:rsidP="005404CF">
      <w:pPr>
        <w:spacing w:before="120"/>
        <w:jc w:val="both"/>
        <w:rPr>
          <w:rFonts w:ascii="Calibri" w:hAnsi="Calibri" w:cs="Calibri"/>
          <w:sz w:val="22"/>
          <w:szCs w:val="22"/>
        </w:rPr>
      </w:pPr>
    </w:p>
    <w:p w:rsidR="00474264" w:rsidRPr="001D562F" w:rsidRDefault="005404CF" w:rsidP="005404CF">
      <w:pPr>
        <w:spacing w:before="120"/>
        <w:jc w:val="both"/>
        <w:rPr>
          <w:rFonts w:ascii="Calibri" w:hAnsi="Calibri" w:cs="Calibri"/>
          <w:b/>
          <w:sz w:val="22"/>
          <w:szCs w:val="22"/>
        </w:rPr>
      </w:pPr>
      <w:r w:rsidRPr="001D562F">
        <w:rPr>
          <w:rFonts w:ascii="Calibri" w:hAnsi="Calibri" w:cs="Calibri"/>
          <w:b/>
          <w:sz w:val="22"/>
          <w:szCs w:val="22"/>
        </w:rPr>
        <w:t>Odůvodnění</w:t>
      </w:r>
    </w:p>
    <w:p w:rsidR="00474264" w:rsidRPr="001D562F" w:rsidRDefault="001D562F" w:rsidP="005404CF">
      <w:pPr>
        <w:spacing w:before="120"/>
        <w:jc w:val="both"/>
        <w:rPr>
          <w:rFonts w:ascii="Calibri" w:hAnsi="Calibri" w:cs="Calibri"/>
          <w:sz w:val="22"/>
          <w:szCs w:val="22"/>
        </w:rPr>
      </w:pPr>
      <w:r w:rsidRPr="001D562F">
        <w:rPr>
          <w:rFonts w:ascii="Calibri" w:hAnsi="Calibri" w:cs="Calibri"/>
          <w:sz w:val="22"/>
          <w:szCs w:val="22"/>
        </w:rPr>
        <w:t xml:space="preserve">Dotčený orgán obdržel dne </w:t>
      </w:r>
      <w:r w:rsidRPr="001D562F">
        <w:rPr>
          <w:rFonts w:ascii="Calibri" w:hAnsi="Calibri" w:cs="Calibri"/>
          <w:sz w:val="22"/>
          <w:szCs w:val="22"/>
          <w:shd w:val="clear" w:color="auto" w:fill="FFFFFF"/>
        </w:rPr>
        <w:t>27.06.2024</w:t>
      </w:r>
      <w:r w:rsidRPr="001D562F">
        <w:rPr>
          <w:rFonts w:ascii="Calibri" w:hAnsi="Calibri" w:cs="Calibri"/>
          <w:sz w:val="22"/>
          <w:szCs w:val="22"/>
        </w:rPr>
        <w:t xml:space="preserve"> žádost o vydání stanoviska k uvedenému záměru. Podkladem pro vydání stanoviska byla předložená dokumentace záměru.</w:t>
      </w:r>
    </w:p>
    <w:p w:rsidR="00474264" w:rsidRPr="001D562F" w:rsidRDefault="001D562F" w:rsidP="005404CF">
      <w:pPr>
        <w:spacing w:before="120"/>
        <w:jc w:val="both"/>
        <w:rPr>
          <w:rFonts w:ascii="Calibri" w:hAnsi="Calibri" w:cs="Calibri"/>
          <w:sz w:val="22"/>
          <w:szCs w:val="22"/>
        </w:rPr>
      </w:pPr>
      <w:r w:rsidRPr="001D562F">
        <w:rPr>
          <w:rFonts w:ascii="Calibri" w:hAnsi="Calibri" w:cs="Calibri"/>
          <w:sz w:val="22"/>
          <w:szCs w:val="22"/>
        </w:rPr>
        <w:t>Popis záměru:</w:t>
      </w:r>
    </w:p>
    <w:p w:rsidR="00474264" w:rsidRPr="001D562F" w:rsidRDefault="001D562F" w:rsidP="005404CF">
      <w:pPr>
        <w:numPr>
          <w:ilvl w:val="0"/>
          <w:numId w:val="6"/>
        </w:numPr>
        <w:tabs>
          <w:tab w:val="left" w:pos="709"/>
          <w:tab w:val="left" w:pos="1134"/>
        </w:tabs>
        <w:spacing w:before="60"/>
        <w:jc w:val="both"/>
        <w:rPr>
          <w:rFonts w:ascii="Calibri" w:hAnsi="Calibri" w:cs="Calibri"/>
          <w:sz w:val="22"/>
          <w:szCs w:val="22"/>
        </w:rPr>
      </w:pPr>
      <w:r w:rsidRPr="001D562F">
        <w:rPr>
          <w:rFonts w:ascii="Calibri" w:hAnsi="Calibri" w:cs="Calibri"/>
          <w:sz w:val="22"/>
          <w:szCs w:val="22"/>
          <w:shd w:val="clear" w:color="auto" w:fill="FFFFFF"/>
        </w:rPr>
        <w:t xml:space="preserve">Jedná se o napojení FVE Droužkovice na transformovnu Chomutov I </w:t>
      </w:r>
    </w:p>
    <w:p w:rsidR="009935F6" w:rsidRPr="001D562F" w:rsidRDefault="001D562F" w:rsidP="005404CF">
      <w:pPr>
        <w:spacing w:before="120"/>
        <w:jc w:val="both"/>
        <w:rPr>
          <w:rFonts w:ascii="Calibri" w:hAnsi="Calibri" w:cs="Calibri"/>
          <w:sz w:val="22"/>
          <w:szCs w:val="22"/>
        </w:rPr>
      </w:pPr>
      <w:r w:rsidRPr="001D562F">
        <w:rPr>
          <w:rFonts w:ascii="Calibri" w:hAnsi="Calibri" w:cs="Calibri"/>
          <w:sz w:val="22"/>
          <w:szCs w:val="22"/>
        </w:rPr>
        <w:t xml:space="preserve">Dotčený orgán záměr posoudil a zjistil požadavky na ochranu všech dotčených veřejných zájmů chráněných podle zvláštních právních předpisů. Požadavky na různých úsecích ochrany veřejných zájmů úseku </w:t>
      </w:r>
      <w:r w:rsidRPr="001D562F">
        <w:rPr>
          <w:rFonts w:ascii="Calibri" w:hAnsi="Calibri" w:cs="Calibri"/>
          <w:sz w:val="22"/>
          <w:szCs w:val="22"/>
          <w:shd w:val="clear" w:color="auto" w:fill="FFFFFF"/>
        </w:rPr>
        <w:t>Ochrana přírody a krajiny, Ochrana ovzduší, Odpadové hospodářství, Ochrana lesa, Ochrana zemědělského půdního fondu, Ochrana vod, Doprava na pozemních komunikacích a Památková péče</w:t>
      </w:r>
      <w:r w:rsidR="009935F6" w:rsidRPr="001D562F">
        <w:rPr>
          <w:rFonts w:ascii="Calibri" w:hAnsi="Calibri" w:cs="Calibri"/>
          <w:sz w:val="22"/>
          <w:szCs w:val="22"/>
          <w:shd w:val="clear" w:color="auto" w:fill="FFFFFF"/>
        </w:rPr>
        <w:t xml:space="preserve"> a úsek Územního plánování se </w:t>
      </w:r>
      <w:r w:rsidR="009935F6" w:rsidRPr="001D562F">
        <w:rPr>
          <w:rFonts w:ascii="Calibri" w:hAnsi="Calibri" w:cs="Calibri"/>
          <w:b/>
          <w:sz w:val="22"/>
          <w:szCs w:val="22"/>
          <w:shd w:val="clear" w:color="auto" w:fill="FFFFFF"/>
        </w:rPr>
        <w:t>nepodařilo zkoordinovat</w:t>
      </w:r>
      <w:r w:rsidR="009935F6" w:rsidRPr="001D562F">
        <w:rPr>
          <w:rFonts w:ascii="Calibri" w:hAnsi="Calibri" w:cs="Calibri"/>
          <w:sz w:val="22"/>
          <w:szCs w:val="22"/>
          <w:shd w:val="clear" w:color="auto" w:fill="FFFFFF"/>
        </w:rPr>
        <w:t xml:space="preserve">, vzhledem k negativnímu stanovisku úseku Územního plánování a proto vydal toto </w:t>
      </w:r>
      <w:r w:rsidR="009935F6" w:rsidRPr="001D562F">
        <w:rPr>
          <w:rFonts w:ascii="Calibri" w:hAnsi="Calibri" w:cs="Calibri"/>
          <w:b/>
          <w:sz w:val="22"/>
          <w:szCs w:val="22"/>
          <w:shd w:val="clear" w:color="auto" w:fill="FFFFFF"/>
        </w:rPr>
        <w:t>negativní koordinované závazné stanovisko</w:t>
      </w:r>
      <w:r w:rsidR="009935F6" w:rsidRPr="001D562F">
        <w:rPr>
          <w:rFonts w:ascii="Calibri" w:hAnsi="Calibri" w:cs="Calibri"/>
          <w:sz w:val="22"/>
          <w:szCs w:val="22"/>
          <w:shd w:val="clear" w:color="auto" w:fill="FFFFFF"/>
        </w:rPr>
        <w:t>.</w:t>
      </w:r>
      <w:bookmarkStart w:id="2" w:name="_GoBack"/>
      <w:bookmarkEnd w:id="2"/>
    </w:p>
    <w:p w:rsidR="00474264" w:rsidRPr="001D562F" w:rsidRDefault="00474264" w:rsidP="005404CF">
      <w:pPr>
        <w:spacing w:before="60"/>
        <w:jc w:val="both"/>
        <w:rPr>
          <w:rFonts w:ascii="Calibri" w:hAnsi="Calibri" w:cs="Calibri"/>
          <w:sz w:val="22"/>
          <w:szCs w:val="22"/>
        </w:rPr>
      </w:pPr>
    </w:p>
    <w:p w:rsidR="00474264" w:rsidRPr="001D562F" w:rsidRDefault="00474264" w:rsidP="005404CF">
      <w:pPr>
        <w:spacing w:before="120"/>
        <w:jc w:val="both"/>
        <w:rPr>
          <w:rFonts w:ascii="Calibri" w:hAnsi="Calibri" w:cs="Calibri"/>
          <w:sz w:val="22"/>
          <w:szCs w:val="22"/>
        </w:rPr>
      </w:pPr>
    </w:p>
    <w:p w:rsidR="00474264" w:rsidRPr="001D562F" w:rsidRDefault="009935F6" w:rsidP="005404CF">
      <w:pPr>
        <w:spacing w:before="120"/>
        <w:jc w:val="both"/>
        <w:rPr>
          <w:rFonts w:ascii="Calibri" w:hAnsi="Calibri" w:cs="Calibri"/>
          <w:b/>
          <w:sz w:val="22"/>
          <w:szCs w:val="22"/>
        </w:rPr>
      </w:pPr>
      <w:r w:rsidRPr="001D562F">
        <w:rPr>
          <w:rFonts w:ascii="Calibri" w:hAnsi="Calibri" w:cs="Calibri"/>
          <w:b/>
          <w:sz w:val="22"/>
          <w:szCs w:val="22"/>
        </w:rPr>
        <w:t>Poučení</w:t>
      </w:r>
    </w:p>
    <w:p w:rsidR="00474264" w:rsidRPr="001D562F" w:rsidRDefault="001D562F" w:rsidP="005404CF">
      <w:pPr>
        <w:spacing w:before="120"/>
        <w:jc w:val="both"/>
        <w:rPr>
          <w:rFonts w:ascii="Calibri" w:hAnsi="Calibri" w:cs="Calibri"/>
          <w:sz w:val="22"/>
          <w:szCs w:val="22"/>
        </w:rPr>
      </w:pPr>
      <w:r w:rsidRPr="001D562F">
        <w:rPr>
          <w:rFonts w:ascii="Calibri" w:hAnsi="Calibri" w:cs="Calibri"/>
          <w:sz w:val="22"/>
          <w:szCs w:val="22"/>
        </w:rPr>
        <w:t>Proti tomuto závaznému stanovisku se nelze odvolat. Nezákonné závazné stanovisko lze zrušit nebo změnit v přezkumném řízení. Podle § 149 odst. 1 správního řádu závazné stanovisko není samostatným rozhodnutím ve správním řízení. Obsah závazného stanoviska je závazný pro výrokovou část rozhodnutí stavebního úřadu.</w:t>
      </w:r>
    </w:p>
    <w:p w:rsidR="00474264" w:rsidRPr="001D562F" w:rsidRDefault="00474264" w:rsidP="005404CF">
      <w:pPr>
        <w:jc w:val="both"/>
        <w:rPr>
          <w:rFonts w:ascii="Calibri" w:hAnsi="Calibri" w:cs="Calibri"/>
          <w:b/>
          <w:sz w:val="22"/>
          <w:szCs w:val="22"/>
        </w:rPr>
      </w:pPr>
    </w:p>
    <w:p w:rsidR="003E3B47" w:rsidRPr="001D562F" w:rsidRDefault="003E3B47" w:rsidP="005404CF">
      <w:pPr>
        <w:jc w:val="both"/>
        <w:rPr>
          <w:rFonts w:ascii="Calibri" w:hAnsi="Calibri" w:cs="Calibri"/>
          <w:b/>
          <w:sz w:val="22"/>
          <w:szCs w:val="22"/>
        </w:rPr>
      </w:pPr>
    </w:p>
    <w:p w:rsidR="003E3B47" w:rsidRPr="001D562F" w:rsidRDefault="003E3B47" w:rsidP="005404CF">
      <w:pPr>
        <w:jc w:val="both"/>
        <w:rPr>
          <w:rFonts w:ascii="Calibri" w:hAnsi="Calibri" w:cs="Calibri"/>
          <w:b/>
          <w:sz w:val="22"/>
          <w:szCs w:val="22"/>
        </w:rPr>
      </w:pPr>
    </w:p>
    <w:p w:rsidR="003E3B47" w:rsidRPr="001D562F" w:rsidRDefault="003E3B47" w:rsidP="005404CF">
      <w:pPr>
        <w:jc w:val="both"/>
        <w:rPr>
          <w:rFonts w:ascii="Calibri" w:hAnsi="Calibri" w:cs="Calibri"/>
          <w:b/>
          <w:sz w:val="22"/>
          <w:szCs w:val="22"/>
        </w:rPr>
      </w:pPr>
    </w:p>
    <w:p w:rsidR="003E3B47" w:rsidRPr="001D562F" w:rsidRDefault="003E3B47" w:rsidP="005404CF">
      <w:pPr>
        <w:jc w:val="both"/>
        <w:rPr>
          <w:rFonts w:ascii="Calibri" w:hAnsi="Calibri" w:cs="Calibri"/>
          <w:b/>
          <w:sz w:val="22"/>
          <w:szCs w:val="22"/>
        </w:rPr>
      </w:pPr>
    </w:p>
    <w:p w:rsidR="003E3B47" w:rsidRPr="001D562F" w:rsidRDefault="003E3B47" w:rsidP="005404CF">
      <w:pPr>
        <w:jc w:val="both"/>
        <w:rPr>
          <w:rFonts w:ascii="Calibri" w:hAnsi="Calibri" w:cs="Calibri"/>
          <w:b/>
          <w:sz w:val="22"/>
          <w:szCs w:val="22"/>
        </w:rPr>
      </w:pPr>
    </w:p>
    <w:p w:rsidR="003E3B47" w:rsidRPr="001D562F" w:rsidRDefault="003E3B47" w:rsidP="005404CF">
      <w:pPr>
        <w:jc w:val="both"/>
        <w:rPr>
          <w:rFonts w:ascii="Calibri" w:hAnsi="Calibri" w:cs="Calibri"/>
          <w:sz w:val="22"/>
          <w:szCs w:val="22"/>
        </w:rPr>
      </w:pPr>
      <w:r w:rsidRPr="001D562F">
        <w:rPr>
          <w:rFonts w:ascii="Calibri" w:hAnsi="Calibri" w:cs="Calibri"/>
          <w:sz w:val="22"/>
          <w:szCs w:val="22"/>
        </w:rPr>
        <w:t>Ing. Dagmar Mutinská</w:t>
      </w:r>
    </w:p>
    <w:p w:rsidR="003E3B47" w:rsidRPr="001D562F" w:rsidRDefault="003E3B47" w:rsidP="005404CF">
      <w:pPr>
        <w:jc w:val="both"/>
        <w:rPr>
          <w:rFonts w:ascii="Calibri" w:hAnsi="Calibri" w:cs="Calibri"/>
          <w:sz w:val="22"/>
          <w:szCs w:val="22"/>
        </w:rPr>
      </w:pPr>
      <w:r w:rsidRPr="001D562F">
        <w:rPr>
          <w:rFonts w:ascii="Calibri" w:hAnsi="Calibri" w:cs="Calibri"/>
          <w:sz w:val="22"/>
          <w:szCs w:val="22"/>
        </w:rPr>
        <w:t>Vedoucí odboru životního prostředí</w:t>
      </w:r>
    </w:p>
    <w:p w:rsidR="00474264" w:rsidRPr="001D562F" w:rsidRDefault="00474264" w:rsidP="005404CF">
      <w:pPr>
        <w:jc w:val="both"/>
        <w:rPr>
          <w:rFonts w:ascii="Calibri" w:hAnsi="Calibri" w:cs="Calibri"/>
          <w:b/>
          <w:sz w:val="22"/>
          <w:szCs w:val="22"/>
        </w:rPr>
      </w:pPr>
    </w:p>
    <w:p w:rsidR="00474264" w:rsidRPr="001D562F" w:rsidRDefault="00474264" w:rsidP="005404CF">
      <w:pPr>
        <w:spacing w:before="120"/>
        <w:jc w:val="both"/>
        <w:rPr>
          <w:rFonts w:ascii="Calibri" w:hAnsi="Calibri" w:cs="Calibri"/>
          <w:sz w:val="22"/>
          <w:szCs w:val="22"/>
        </w:rPr>
      </w:pPr>
    </w:p>
    <w:p w:rsidR="00474264" w:rsidRPr="001D562F" w:rsidRDefault="00474264" w:rsidP="005404CF">
      <w:pPr>
        <w:jc w:val="both"/>
        <w:rPr>
          <w:rFonts w:ascii="Calibri" w:hAnsi="Calibri" w:cs="Calibri"/>
          <w:sz w:val="22"/>
          <w:szCs w:val="22"/>
        </w:rPr>
      </w:pPr>
    </w:p>
    <w:p w:rsidR="00474264" w:rsidRPr="001D562F" w:rsidRDefault="003E3B47" w:rsidP="005404CF">
      <w:pPr>
        <w:spacing w:after="60"/>
        <w:jc w:val="both"/>
        <w:rPr>
          <w:rFonts w:ascii="Calibri" w:hAnsi="Calibri" w:cs="Calibri"/>
          <w:b/>
          <w:sz w:val="22"/>
          <w:szCs w:val="22"/>
        </w:rPr>
      </w:pPr>
      <w:r w:rsidRPr="001D562F">
        <w:rPr>
          <w:rFonts w:ascii="Calibri" w:hAnsi="Calibri" w:cs="Calibri"/>
          <w:b/>
          <w:sz w:val="22"/>
          <w:szCs w:val="22"/>
        </w:rPr>
        <w:t>Obdrží</w:t>
      </w:r>
    </w:p>
    <w:p w:rsidR="00474264" w:rsidRPr="001D562F" w:rsidRDefault="001D562F" w:rsidP="005404CF">
      <w:pPr>
        <w:jc w:val="both"/>
        <w:rPr>
          <w:rFonts w:ascii="Calibri" w:hAnsi="Calibri" w:cs="Calibri"/>
          <w:sz w:val="22"/>
          <w:szCs w:val="22"/>
        </w:rPr>
      </w:pPr>
      <w:r w:rsidRPr="001D562F">
        <w:rPr>
          <w:rFonts w:ascii="Calibri" w:hAnsi="Calibri" w:cs="Calibri"/>
          <w:sz w:val="22"/>
          <w:szCs w:val="22"/>
          <w:shd w:val="clear" w:color="auto" w:fill="FFFFFF"/>
        </w:rPr>
        <w:t>United Architect Studio, s.r.o., IDDS: yb29aej</w:t>
      </w:r>
      <w:r w:rsidRPr="001D562F">
        <w:rPr>
          <w:rFonts w:ascii="Calibri" w:hAnsi="Calibri" w:cs="Calibri"/>
          <w:sz w:val="22"/>
          <w:szCs w:val="22"/>
          <w:shd w:val="clear" w:color="auto" w:fill="FFFFFF"/>
        </w:rPr>
        <w:br/>
      </w:r>
      <w:r w:rsidRPr="001D562F">
        <w:rPr>
          <w:rFonts w:ascii="Calibri" w:hAnsi="Calibri" w:cs="Calibri"/>
          <w:sz w:val="22"/>
          <w:szCs w:val="22"/>
          <w:shd w:val="clear" w:color="auto" w:fill="FFFFFF"/>
        </w:rPr>
        <w:tab/>
        <w:t>sídlo: Pod vrstevnicí č.p. 494/8, 140 00  Praha 4-Krč</w:t>
      </w:r>
      <w:r w:rsidRPr="001D562F">
        <w:rPr>
          <w:rFonts w:ascii="Calibri" w:hAnsi="Calibri" w:cs="Calibri"/>
          <w:sz w:val="22"/>
          <w:szCs w:val="22"/>
          <w:shd w:val="clear" w:color="auto" w:fill="FFFFFF"/>
        </w:rPr>
        <w:br/>
      </w:r>
    </w:p>
    <w:p w:rsidR="00474264" w:rsidRPr="001D562F" w:rsidRDefault="00474264" w:rsidP="005404CF">
      <w:pPr>
        <w:jc w:val="both"/>
        <w:rPr>
          <w:rFonts w:ascii="Calibri" w:hAnsi="Calibri" w:cs="Calibri"/>
          <w:sz w:val="22"/>
          <w:szCs w:val="22"/>
        </w:rPr>
      </w:pPr>
    </w:p>
    <w:sectPr w:rsidR="00474264" w:rsidRPr="001D562F" w:rsidSect="005404CF">
      <w:headerReference w:type="default" r:id="rId8"/>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62F" w:rsidRDefault="001D562F">
      <w:r>
        <w:separator/>
      </w:r>
    </w:p>
  </w:endnote>
  <w:endnote w:type="continuationSeparator" w:id="0">
    <w:p w:rsidR="001D562F" w:rsidRDefault="001D5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62F" w:rsidRDefault="001D562F">
      <w:r>
        <w:separator/>
      </w:r>
    </w:p>
  </w:footnote>
  <w:footnote w:type="continuationSeparator" w:id="0">
    <w:p w:rsidR="001D562F" w:rsidRDefault="001D5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264" w:rsidRDefault="001D562F">
    <w:pPr>
      <w:pStyle w:val="Zhlav"/>
      <w:rPr>
        <w:rStyle w:val="slostrnky"/>
        <w:sz w:val="18"/>
      </w:rPr>
    </w:pPr>
    <w:r>
      <w:rPr>
        <w:sz w:val="18"/>
      </w:rPr>
      <w:t xml:space="preserve">Č.j. </w:t>
    </w:r>
    <w:r>
      <w:rPr>
        <w:sz w:val="18"/>
        <w:shd w:val="clear" w:color="auto" w:fill="FFFFFF"/>
      </w:rPr>
      <w:t>MMCH/102274/2024/Hub/OŽP</w:t>
    </w:r>
    <w:r>
      <w:rPr>
        <w:sz w:val="18"/>
      </w:rPr>
      <w:tab/>
      <w:t xml:space="preserve">str. </w:t>
    </w:r>
    <w:r>
      <w:rPr>
        <w:rStyle w:val="slostrnky"/>
        <w:sz w:val="18"/>
      </w:rPr>
      <w:fldChar w:fldCharType="begin"/>
    </w:r>
    <w:r>
      <w:rPr>
        <w:rStyle w:val="slostrnky"/>
        <w:sz w:val="18"/>
      </w:rPr>
      <w:instrText xml:space="preserve"> PAGE </w:instrText>
    </w:r>
    <w:r>
      <w:rPr>
        <w:rStyle w:val="slostrnky"/>
        <w:sz w:val="18"/>
      </w:rPr>
      <w:fldChar w:fldCharType="separate"/>
    </w:r>
    <w:r w:rsidR="003E3B47">
      <w:rPr>
        <w:rStyle w:val="slostrnky"/>
        <w:noProof/>
        <w:sz w:val="18"/>
      </w:rPr>
      <w:t>6</w:t>
    </w:r>
    <w:r>
      <w:rPr>
        <w:rStyle w:val="slostrnky"/>
      </w:rPr>
      <w:fldChar w:fldCharType="end"/>
    </w:r>
  </w:p>
  <w:p w:rsidR="00474264" w:rsidRDefault="00474264">
    <w:pPr>
      <w:pStyle w:val="Zhlav"/>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16899"/>
    <w:multiLevelType w:val="hybridMultilevel"/>
    <w:tmpl w:val="F87C6CE8"/>
    <w:lvl w:ilvl="0" w:tplc="FFFFFFFF">
      <w:start w:val="1"/>
      <w:numFmt w:val="decimal"/>
      <w:lvlText w:val="%1."/>
      <w:lvlJc w:val="left"/>
      <w:pPr>
        <w:tabs>
          <w:tab w:val="num" w:pos="360"/>
        </w:tabs>
        <w:ind w:left="360" w:hanging="360"/>
      </w:pPr>
    </w:lvl>
    <w:lvl w:ilvl="1" w:tplc="59FB28AB">
      <w:start w:val="1"/>
      <w:numFmt w:val="bullet"/>
      <w:lvlText w:val="-"/>
      <w:lvlJc w:val="left"/>
      <w:pPr>
        <w:tabs>
          <w:tab w:val="num" w:pos="720"/>
        </w:tabs>
        <w:ind w:left="720" w:hanging="360"/>
      </w:pPr>
      <w:rPr>
        <w:rFonts w:ascii="Arial" w:hAnsi="Arial"/>
      </w:rPr>
    </w:lvl>
    <w:lvl w:ilvl="2" w:tplc="8794D522">
      <w:start w:val="1"/>
      <w:numFmt w:val="lowerRoman"/>
      <w:lvlText w:val="%3)"/>
      <w:lvlJc w:val="left"/>
      <w:pPr>
        <w:tabs>
          <w:tab w:val="num" w:pos="1080"/>
        </w:tabs>
        <w:ind w:left="1080" w:hanging="360"/>
      </w:pPr>
    </w:lvl>
    <w:lvl w:ilvl="3" w:tplc="F280C77C">
      <w:start w:val="1"/>
      <w:numFmt w:val="decimal"/>
      <w:lvlText w:val="(%4)"/>
      <w:lvlJc w:val="left"/>
      <w:pPr>
        <w:tabs>
          <w:tab w:val="num" w:pos="1440"/>
        </w:tabs>
        <w:ind w:left="1440" w:hanging="360"/>
      </w:pPr>
    </w:lvl>
    <w:lvl w:ilvl="4" w:tplc="9E72E8DC">
      <w:start w:val="1"/>
      <w:numFmt w:val="lowerLetter"/>
      <w:lvlText w:val="(%5)"/>
      <w:lvlJc w:val="left"/>
      <w:pPr>
        <w:tabs>
          <w:tab w:val="num" w:pos="1800"/>
        </w:tabs>
        <w:ind w:left="1800" w:hanging="360"/>
      </w:pPr>
    </w:lvl>
    <w:lvl w:ilvl="5" w:tplc="F4DE8CBA">
      <w:start w:val="1"/>
      <w:numFmt w:val="lowerRoman"/>
      <w:lvlText w:val="(%6)"/>
      <w:lvlJc w:val="left"/>
      <w:pPr>
        <w:tabs>
          <w:tab w:val="num" w:pos="2160"/>
        </w:tabs>
        <w:ind w:left="2160" w:hanging="360"/>
      </w:pPr>
    </w:lvl>
    <w:lvl w:ilvl="6" w:tplc="21F07280">
      <w:start w:val="1"/>
      <w:numFmt w:val="decimal"/>
      <w:lvlText w:val="%7."/>
      <w:lvlJc w:val="left"/>
      <w:pPr>
        <w:tabs>
          <w:tab w:val="num" w:pos="2520"/>
        </w:tabs>
        <w:ind w:left="2520" w:hanging="360"/>
      </w:pPr>
    </w:lvl>
    <w:lvl w:ilvl="7" w:tplc="F7F89C44">
      <w:start w:val="1"/>
      <w:numFmt w:val="lowerLetter"/>
      <w:lvlText w:val="%8."/>
      <w:lvlJc w:val="left"/>
      <w:pPr>
        <w:tabs>
          <w:tab w:val="num" w:pos="2880"/>
        </w:tabs>
        <w:ind w:left="2880" w:hanging="360"/>
      </w:pPr>
    </w:lvl>
    <w:lvl w:ilvl="8" w:tplc="64708B0C">
      <w:start w:val="1"/>
      <w:numFmt w:val="lowerRoman"/>
      <w:lvlText w:val="%9."/>
      <w:lvlJc w:val="left"/>
      <w:pPr>
        <w:tabs>
          <w:tab w:val="num" w:pos="3240"/>
        </w:tabs>
        <w:ind w:left="3240" w:hanging="360"/>
      </w:pPr>
    </w:lvl>
  </w:abstractNum>
  <w:abstractNum w:abstractNumId="1" w15:restartNumberingAfterBreak="0">
    <w:nsid w:val="14897188"/>
    <w:multiLevelType w:val="hybridMultilevel"/>
    <w:tmpl w:val="E64A5E18"/>
    <w:lvl w:ilvl="0" w:tplc="FFFFFFFF">
      <w:start w:val="1"/>
      <w:numFmt w:val="decimal"/>
      <w:lvlText w:val="%1."/>
      <w:lvlJc w:val="left"/>
      <w:pPr>
        <w:tabs>
          <w:tab w:val="num" w:pos="360"/>
        </w:tabs>
        <w:ind w:left="360" w:hanging="360"/>
      </w:pPr>
    </w:lvl>
    <w:lvl w:ilvl="1" w:tplc="FFFFFFFF">
      <w:start w:val="1"/>
      <w:numFmt w:val="ordinal"/>
      <w:lvlText w:val="%2"/>
      <w:lvlJc w:val="left"/>
      <w:pPr>
        <w:tabs>
          <w:tab w:val="num" w:pos="1077"/>
        </w:tabs>
        <w:ind w:left="720" w:hanging="363"/>
      </w:pPr>
    </w:lvl>
    <w:lvl w:ilvl="2" w:tplc="FFFFFFFF">
      <w:start w:val="1"/>
      <w:numFmt w:val="lowerLetter"/>
      <w:lvlText w:val="%3)"/>
      <w:lvlJc w:val="left"/>
      <w:pPr>
        <w:tabs>
          <w:tab w:val="num" w:pos="1080"/>
        </w:tabs>
        <w:ind w:left="1080" w:hanging="360"/>
      </w:pPr>
    </w:lvl>
    <w:lvl w:ilvl="3" w:tplc="5B3F3D02">
      <w:start w:val="1"/>
      <w:numFmt w:val="bullet"/>
      <w:lvlText w:val=""/>
      <w:lvlJc w:val="left"/>
      <w:pPr>
        <w:tabs>
          <w:tab w:val="num" w:pos="1440"/>
        </w:tabs>
        <w:ind w:left="1440" w:hanging="360"/>
      </w:pPr>
      <w:rPr>
        <w:rFonts w:ascii="Symbol" w:hAnsi="Symbol"/>
      </w:rPr>
    </w:lvl>
    <w:lvl w:ilvl="4" w:tplc="336CC235">
      <w:start w:val="1"/>
      <w:numFmt w:val="bullet"/>
      <w:lvlText w:val=""/>
      <w:lvlJc w:val="left"/>
      <w:pPr>
        <w:tabs>
          <w:tab w:val="num" w:pos="1800"/>
        </w:tabs>
        <w:ind w:left="1800" w:hanging="360"/>
      </w:pPr>
      <w:rPr>
        <w:rFonts w:ascii="Symbol" w:hAnsi="Symbol"/>
      </w:rPr>
    </w:lvl>
    <w:lvl w:ilvl="5" w:tplc="29169C2C">
      <w:start w:val="1"/>
      <w:numFmt w:val="bullet"/>
      <w:lvlText w:val=""/>
      <w:lvlJc w:val="left"/>
      <w:pPr>
        <w:tabs>
          <w:tab w:val="num" w:pos="2160"/>
        </w:tabs>
        <w:ind w:left="2160" w:hanging="360"/>
      </w:pPr>
      <w:rPr>
        <w:rFonts w:ascii="Wingdings" w:hAnsi="Wingdings"/>
      </w:rPr>
    </w:lvl>
    <w:lvl w:ilvl="6" w:tplc="0584A536">
      <w:start w:val="1"/>
      <w:numFmt w:val="bullet"/>
      <w:lvlText w:val=""/>
      <w:lvlJc w:val="left"/>
      <w:pPr>
        <w:tabs>
          <w:tab w:val="num" w:pos="2520"/>
        </w:tabs>
        <w:ind w:left="2520" w:hanging="360"/>
      </w:pPr>
      <w:rPr>
        <w:rFonts w:ascii="Wingdings" w:hAnsi="Wingdings"/>
      </w:rPr>
    </w:lvl>
    <w:lvl w:ilvl="7" w:tplc="70130CD2">
      <w:start w:val="1"/>
      <w:numFmt w:val="bullet"/>
      <w:lvlText w:val=""/>
      <w:lvlJc w:val="left"/>
      <w:pPr>
        <w:tabs>
          <w:tab w:val="num" w:pos="2880"/>
        </w:tabs>
        <w:ind w:left="2880" w:hanging="360"/>
      </w:pPr>
      <w:rPr>
        <w:rFonts w:ascii="Symbol" w:hAnsi="Symbol"/>
      </w:rPr>
    </w:lvl>
    <w:lvl w:ilvl="8" w:tplc="6E6E8640">
      <w:start w:val="1"/>
      <w:numFmt w:val="bullet"/>
      <w:lvlText w:val=""/>
      <w:lvlJc w:val="left"/>
      <w:pPr>
        <w:tabs>
          <w:tab w:val="num" w:pos="3240"/>
        </w:tabs>
        <w:ind w:left="3240" w:hanging="360"/>
      </w:pPr>
      <w:rPr>
        <w:rFonts w:ascii="Symbol" w:hAnsi="Symbol"/>
      </w:rPr>
    </w:lvl>
  </w:abstractNum>
  <w:abstractNum w:abstractNumId="2" w15:restartNumberingAfterBreak="0">
    <w:nsid w:val="14F77BB1"/>
    <w:multiLevelType w:val="multilevel"/>
    <w:tmpl w:val="D7522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B6C3B"/>
    <w:multiLevelType w:val="multilevel"/>
    <w:tmpl w:val="AC107B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A12737"/>
    <w:multiLevelType w:val="hybridMultilevel"/>
    <w:tmpl w:val="84FEAB04"/>
    <w:lvl w:ilvl="0" w:tplc="FFFFFFFF">
      <w:start w:val="1"/>
      <w:numFmt w:val="decimal"/>
      <w:lvlText w:val="%1."/>
      <w:lvlJc w:val="left"/>
      <w:pPr>
        <w:tabs>
          <w:tab w:val="num" w:pos="360"/>
        </w:tabs>
        <w:ind w:left="360" w:hanging="360"/>
      </w:pPr>
    </w:lvl>
    <w:lvl w:ilvl="1" w:tplc="0E7EABA9">
      <w:start w:val="1"/>
      <w:numFmt w:val="bullet"/>
      <w:lvlText w:val="-"/>
      <w:lvlJc w:val="left"/>
      <w:pPr>
        <w:tabs>
          <w:tab w:val="num" w:pos="720"/>
        </w:tabs>
        <w:ind w:left="720" w:hanging="360"/>
      </w:pPr>
      <w:rPr>
        <w:rFonts w:ascii="Arial" w:hAnsi="Arial"/>
      </w:rPr>
    </w:lvl>
    <w:lvl w:ilvl="2" w:tplc="7C52B3F6">
      <w:start w:val="1"/>
      <w:numFmt w:val="lowerRoman"/>
      <w:lvlText w:val="%3)"/>
      <w:lvlJc w:val="left"/>
      <w:pPr>
        <w:tabs>
          <w:tab w:val="num" w:pos="1080"/>
        </w:tabs>
        <w:ind w:left="1080" w:hanging="360"/>
      </w:pPr>
    </w:lvl>
    <w:lvl w:ilvl="3" w:tplc="86E09F38">
      <w:start w:val="1"/>
      <w:numFmt w:val="decimal"/>
      <w:lvlText w:val="(%4)"/>
      <w:lvlJc w:val="left"/>
      <w:pPr>
        <w:tabs>
          <w:tab w:val="num" w:pos="1440"/>
        </w:tabs>
        <w:ind w:left="1440" w:hanging="360"/>
      </w:pPr>
    </w:lvl>
    <w:lvl w:ilvl="4" w:tplc="C7E8902C">
      <w:start w:val="1"/>
      <w:numFmt w:val="lowerLetter"/>
      <w:lvlText w:val="(%5)"/>
      <w:lvlJc w:val="left"/>
      <w:pPr>
        <w:tabs>
          <w:tab w:val="num" w:pos="1800"/>
        </w:tabs>
        <w:ind w:left="1800" w:hanging="360"/>
      </w:pPr>
    </w:lvl>
    <w:lvl w:ilvl="5" w:tplc="77A0C318">
      <w:start w:val="1"/>
      <w:numFmt w:val="lowerRoman"/>
      <w:lvlText w:val="(%6)"/>
      <w:lvlJc w:val="left"/>
      <w:pPr>
        <w:tabs>
          <w:tab w:val="num" w:pos="2160"/>
        </w:tabs>
        <w:ind w:left="2160" w:hanging="360"/>
      </w:pPr>
    </w:lvl>
    <w:lvl w:ilvl="6" w:tplc="FC6A22D8">
      <w:start w:val="1"/>
      <w:numFmt w:val="decimal"/>
      <w:lvlText w:val="%7."/>
      <w:lvlJc w:val="left"/>
      <w:pPr>
        <w:tabs>
          <w:tab w:val="num" w:pos="2520"/>
        </w:tabs>
        <w:ind w:left="2520" w:hanging="360"/>
      </w:pPr>
    </w:lvl>
    <w:lvl w:ilvl="7" w:tplc="25800EC4">
      <w:start w:val="1"/>
      <w:numFmt w:val="lowerLetter"/>
      <w:lvlText w:val="%8."/>
      <w:lvlJc w:val="left"/>
      <w:pPr>
        <w:tabs>
          <w:tab w:val="num" w:pos="2880"/>
        </w:tabs>
        <w:ind w:left="2880" w:hanging="360"/>
      </w:pPr>
    </w:lvl>
    <w:lvl w:ilvl="8" w:tplc="C67287BA">
      <w:start w:val="1"/>
      <w:numFmt w:val="lowerRoman"/>
      <w:lvlText w:val="%9."/>
      <w:lvlJc w:val="left"/>
      <w:pPr>
        <w:tabs>
          <w:tab w:val="num" w:pos="3240"/>
        </w:tabs>
        <w:ind w:left="3240" w:hanging="360"/>
      </w:pPr>
    </w:lvl>
  </w:abstractNum>
  <w:abstractNum w:abstractNumId="5" w15:restartNumberingAfterBreak="0">
    <w:nsid w:val="20BA3FCB"/>
    <w:multiLevelType w:val="multilevel"/>
    <w:tmpl w:val="17B49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916619"/>
    <w:multiLevelType w:val="hybridMultilevel"/>
    <w:tmpl w:val="5204BB66"/>
    <w:lvl w:ilvl="0" w:tplc="FFFFFFFF">
      <w:start w:val="1"/>
      <w:numFmt w:val="decimal"/>
      <w:lvlText w:val="%1."/>
      <w:lvlJc w:val="left"/>
      <w:pPr>
        <w:tabs>
          <w:tab w:val="num" w:pos="360"/>
        </w:tabs>
        <w:ind w:left="360" w:hanging="360"/>
      </w:pPr>
    </w:lvl>
    <w:lvl w:ilvl="1" w:tplc="FFFFFFFF">
      <w:start w:val="1"/>
      <w:numFmt w:val="ordinal"/>
      <w:lvlText w:val="%2"/>
      <w:lvlJc w:val="left"/>
      <w:pPr>
        <w:tabs>
          <w:tab w:val="num" w:pos="1077"/>
        </w:tabs>
        <w:ind w:left="720" w:hanging="363"/>
      </w:pPr>
    </w:lvl>
    <w:lvl w:ilvl="2" w:tplc="FFFFFFFF">
      <w:start w:val="1"/>
      <w:numFmt w:val="lowerLetter"/>
      <w:lvlText w:val="%3)"/>
      <w:lvlJc w:val="left"/>
      <w:pPr>
        <w:tabs>
          <w:tab w:val="num" w:pos="1080"/>
        </w:tabs>
        <w:ind w:left="1080" w:hanging="360"/>
      </w:pPr>
    </w:lvl>
    <w:lvl w:ilvl="3" w:tplc="6AEBEFCB">
      <w:start w:val="1"/>
      <w:numFmt w:val="bullet"/>
      <w:lvlText w:val=""/>
      <w:lvlJc w:val="left"/>
      <w:pPr>
        <w:tabs>
          <w:tab w:val="num" w:pos="1440"/>
        </w:tabs>
        <w:ind w:left="1440" w:hanging="360"/>
      </w:pPr>
      <w:rPr>
        <w:rFonts w:ascii="Symbol" w:hAnsi="Symbol"/>
      </w:rPr>
    </w:lvl>
    <w:lvl w:ilvl="4" w:tplc="6AB195D7">
      <w:start w:val="1"/>
      <w:numFmt w:val="bullet"/>
      <w:lvlText w:val=""/>
      <w:lvlJc w:val="left"/>
      <w:pPr>
        <w:tabs>
          <w:tab w:val="num" w:pos="1800"/>
        </w:tabs>
        <w:ind w:left="1800" w:hanging="360"/>
      </w:pPr>
      <w:rPr>
        <w:rFonts w:ascii="Symbol" w:hAnsi="Symbol"/>
      </w:rPr>
    </w:lvl>
    <w:lvl w:ilvl="5" w:tplc="46B9C24C">
      <w:start w:val="1"/>
      <w:numFmt w:val="bullet"/>
      <w:lvlText w:val=""/>
      <w:lvlJc w:val="left"/>
      <w:pPr>
        <w:tabs>
          <w:tab w:val="num" w:pos="2160"/>
        </w:tabs>
        <w:ind w:left="2160" w:hanging="360"/>
      </w:pPr>
      <w:rPr>
        <w:rFonts w:ascii="Wingdings" w:hAnsi="Wingdings"/>
      </w:rPr>
    </w:lvl>
    <w:lvl w:ilvl="6" w:tplc="3DE2B01E">
      <w:start w:val="1"/>
      <w:numFmt w:val="bullet"/>
      <w:lvlText w:val=""/>
      <w:lvlJc w:val="left"/>
      <w:pPr>
        <w:tabs>
          <w:tab w:val="num" w:pos="2520"/>
        </w:tabs>
        <w:ind w:left="2520" w:hanging="360"/>
      </w:pPr>
      <w:rPr>
        <w:rFonts w:ascii="Wingdings" w:hAnsi="Wingdings"/>
      </w:rPr>
    </w:lvl>
    <w:lvl w:ilvl="7" w:tplc="2D8E4F17">
      <w:start w:val="1"/>
      <w:numFmt w:val="bullet"/>
      <w:lvlText w:val=""/>
      <w:lvlJc w:val="left"/>
      <w:pPr>
        <w:tabs>
          <w:tab w:val="num" w:pos="2880"/>
        </w:tabs>
        <w:ind w:left="2880" w:hanging="360"/>
      </w:pPr>
      <w:rPr>
        <w:rFonts w:ascii="Symbol" w:hAnsi="Symbol"/>
      </w:rPr>
    </w:lvl>
    <w:lvl w:ilvl="8" w:tplc="097E2AB1">
      <w:start w:val="1"/>
      <w:numFmt w:val="bullet"/>
      <w:lvlText w:val=""/>
      <w:lvlJc w:val="left"/>
      <w:pPr>
        <w:tabs>
          <w:tab w:val="num" w:pos="3240"/>
        </w:tabs>
        <w:ind w:left="3240" w:hanging="360"/>
      </w:pPr>
      <w:rPr>
        <w:rFonts w:ascii="Symbol" w:hAnsi="Symbol"/>
      </w:rPr>
    </w:lvl>
  </w:abstractNum>
  <w:abstractNum w:abstractNumId="7" w15:restartNumberingAfterBreak="0">
    <w:nsid w:val="2AE83D48"/>
    <w:multiLevelType w:val="multilevel"/>
    <w:tmpl w:val="0F544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003F4D"/>
    <w:multiLevelType w:val="hybridMultilevel"/>
    <w:tmpl w:val="B1B4EA18"/>
    <w:lvl w:ilvl="0" w:tplc="FFFFFFFF">
      <w:start w:val="1"/>
      <w:numFmt w:val="decimal"/>
      <w:lvlText w:val="%1."/>
      <w:lvlJc w:val="left"/>
      <w:pPr>
        <w:tabs>
          <w:tab w:val="num" w:pos="360"/>
        </w:tabs>
        <w:ind w:left="360" w:hanging="360"/>
      </w:pPr>
    </w:lvl>
    <w:lvl w:ilvl="1" w:tplc="FFFFFFFF">
      <w:start w:val="1"/>
      <w:numFmt w:val="ordinal"/>
      <w:lvlText w:val="%2"/>
      <w:lvlJc w:val="left"/>
      <w:pPr>
        <w:tabs>
          <w:tab w:val="num" w:pos="1077"/>
        </w:tabs>
        <w:ind w:left="720" w:hanging="363"/>
      </w:pPr>
    </w:lvl>
    <w:lvl w:ilvl="2" w:tplc="FFFFFFFF">
      <w:start w:val="1"/>
      <w:numFmt w:val="lowerLetter"/>
      <w:lvlText w:val="%3)"/>
      <w:lvlJc w:val="left"/>
      <w:pPr>
        <w:tabs>
          <w:tab w:val="num" w:pos="1080"/>
        </w:tabs>
        <w:ind w:left="1080" w:hanging="360"/>
      </w:pPr>
    </w:lvl>
    <w:lvl w:ilvl="3" w:tplc="5CBE450B">
      <w:start w:val="1"/>
      <w:numFmt w:val="bullet"/>
      <w:lvlText w:val=""/>
      <w:lvlJc w:val="left"/>
      <w:pPr>
        <w:tabs>
          <w:tab w:val="num" w:pos="1440"/>
        </w:tabs>
        <w:ind w:left="1440" w:hanging="360"/>
      </w:pPr>
      <w:rPr>
        <w:rFonts w:ascii="Symbol" w:hAnsi="Symbol"/>
      </w:rPr>
    </w:lvl>
    <w:lvl w:ilvl="4" w:tplc="14C94365">
      <w:start w:val="1"/>
      <w:numFmt w:val="bullet"/>
      <w:lvlText w:val=""/>
      <w:lvlJc w:val="left"/>
      <w:pPr>
        <w:tabs>
          <w:tab w:val="num" w:pos="1800"/>
        </w:tabs>
        <w:ind w:left="1800" w:hanging="360"/>
      </w:pPr>
      <w:rPr>
        <w:rFonts w:ascii="Symbol" w:hAnsi="Symbol"/>
      </w:rPr>
    </w:lvl>
    <w:lvl w:ilvl="5" w:tplc="46DDA070">
      <w:start w:val="1"/>
      <w:numFmt w:val="bullet"/>
      <w:lvlText w:val=""/>
      <w:lvlJc w:val="left"/>
      <w:pPr>
        <w:tabs>
          <w:tab w:val="num" w:pos="2160"/>
        </w:tabs>
        <w:ind w:left="2160" w:hanging="360"/>
      </w:pPr>
      <w:rPr>
        <w:rFonts w:ascii="Wingdings" w:hAnsi="Wingdings"/>
      </w:rPr>
    </w:lvl>
    <w:lvl w:ilvl="6" w:tplc="3EE10CD4">
      <w:start w:val="1"/>
      <w:numFmt w:val="bullet"/>
      <w:lvlText w:val=""/>
      <w:lvlJc w:val="left"/>
      <w:pPr>
        <w:tabs>
          <w:tab w:val="num" w:pos="2520"/>
        </w:tabs>
        <w:ind w:left="2520" w:hanging="360"/>
      </w:pPr>
      <w:rPr>
        <w:rFonts w:ascii="Wingdings" w:hAnsi="Wingdings"/>
      </w:rPr>
    </w:lvl>
    <w:lvl w:ilvl="7" w:tplc="64DDE915">
      <w:start w:val="1"/>
      <w:numFmt w:val="bullet"/>
      <w:lvlText w:val=""/>
      <w:lvlJc w:val="left"/>
      <w:pPr>
        <w:tabs>
          <w:tab w:val="num" w:pos="2880"/>
        </w:tabs>
        <w:ind w:left="2880" w:hanging="360"/>
      </w:pPr>
      <w:rPr>
        <w:rFonts w:ascii="Symbol" w:hAnsi="Symbol"/>
      </w:rPr>
    </w:lvl>
    <w:lvl w:ilvl="8" w:tplc="56B2430B">
      <w:start w:val="1"/>
      <w:numFmt w:val="bullet"/>
      <w:lvlText w:val=""/>
      <w:lvlJc w:val="left"/>
      <w:pPr>
        <w:tabs>
          <w:tab w:val="num" w:pos="3240"/>
        </w:tabs>
        <w:ind w:left="3240" w:hanging="360"/>
      </w:pPr>
      <w:rPr>
        <w:rFonts w:ascii="Symbol" w:hAnsi="Symbol"/>
      </w:rPr>
    </w:lvl>
  </w:abstractNum>
  <w:abstractNum w:abstractNumId="9" w15:restartNumberingAfterBreak="0">
    <w:nsid w:val="32EF2C3E"/>
    <w:multiLevelType w:val="multilevel"/>
    <w:tmpl w:val="4D54E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543EFB"/>
    <w:multiLevelType w:val="hybridMultilevel"/>
    <w:tmpl w:val="11C4D136"/>
    <w:lvl w:ilvl="0" w:tplc="FFFFFFFF">
      <w:start w:val="1"/>
      <w:numFmt w:val="decimal"/>
      <w:lvlText w:val="%1."/>
      <w:lvlJc w:val="left"/>
      <w:pPr>
        <w:tabs>
          <w:tab w:val="num" w:pos="360"/>
        </w:tabs>
        <w:ind w:left="360" w:hanging="360"/>
      </w:pPr>
    </w:lvl>
    <w:lvl w:ilvl="1" w:tplc="FFFFFFFF">
      <w:start w:val="1"/>
      <w:numFmt w:val="ordinal"/>
      <w:lvlText w:val="%2"/>
      <w:lvlJc w:val="left"/>
      <w:pPr>
        <w:tabs>
          <w:tab w:val="num" w:pos="1077"/>
        </w:tabs>
        <w:ind w:left="720" w:hanging="363"/>
      </w:pPr>
    </w:lvl>
    <w:lvl w:ilvl="2" w:tplc="FFFFFFFF">
      <w:start w:val="1"/>
      <w:numFmt w:val="lowerLetter"/>
      <w:lvlText w:val="%3)"/>
      <w:lvlJc w:val="left"/>
      <w:pPr>
        <w:tabs>
          <w:tab w:val="num" w:pos="1080"/>
        </w:tabs>
        <w:ind w:left="1080" w:hanging="360"/>
      </w:pPr>
    </w:lvl>
    <w:lvl w:ilvl="3" w:tplc="28C6BC9D">
      <w:start w:val="1"/>
      <w:numFmt w:val="bullet"/>
      <w:lvlText w:val=""/>
      <w:lvlJc w:val="left"/>
      <w:pPr>
        <w:tabs>
          <w:tab w:val="num" w:pos="1440"/>
        </w:tabs>
        <w:ind w:left="1440" w:hanging="360"/>
      </w:pPr>
      <w:rPr>
        <w:rFonts w:ascii="Symbol" w:hAnsi="Symbol"/>
      </w:rPr>
    </w:lvl>
    <w:lvl w:ilvl="4" w:tplc="6A305D48">
      <w:start w:val="1"/>
      <w:numFmt w:val="bullet"/>
      <w:lvlText w:val=""/>
      <w:lvlJc w:val="left"/>
      <w:pPr>
        <w:tabs>
          <w:tab w:val="num" w:pos="1800"/>
        </w:tabs>
        <w:ind w:left="1800" w:hanging="360"/>
      </w:pPr>
      <w:rPr>
        <w:rFonts w:ascii="Symbol" w:hAnsi="Symbol"/>
      </w:rPr>
    </w:lvl>
    <w:lvl w:ilvl="5" w:tplc="542D8E60">
      <w:start w:val="1"/>
      <w:numFmt w:val="bullet"/>
      <w:lvlText w:val=""/>
      <w:lvlJc w:val="left"/>
      <w:pPr>
        <w:tabs>
          <w:tab w:val="num" w:pos="2160"/>
        </w:tabs>
        <w:ind w:left="2160" w:hanging="360"/>
      </w:pPr>
      <w:rPr>
        <w:rFonts w:ascii="Wingdings" w:hAnsi="Wingdings"/>
      </w:rPr>
    </w:lvl>
    <w:lvl w:ilvl="6" w:tplc="68658F5A">
      <w:start w:val="1"/>
      <w:numFmt w:val="bullet"/>
      <w:lvlText w:val=""/>
      <w:lvlJc w:val="left"/>
      <w:pPr>
        <w:tabs>
          <w:tab w:val="num" w:pos="2520"/>
        </w:tabs>
        <w:ind w:left="2520" w:hanging="360"/>
      </w:pPr>
      <w:rPr>
        <w:rFonts w:ascii="Wingdings" w:hAnsi="Wingdings"/>
      </w:rPr>
    </w:lvl>
    <w:lvl w:ilvl="7" w:tplc="6A9A1AA9">
      <w:start w:val="1"/>
      <w:numFmt w:val="bullet"/>
      <w:lvlText w:val=""/>
      <w:lvlJc w:val="left"/>
      <w:pPr>
        <w:tabs>
          <w:tab w:val="num" w:pos="2880"/>
        </w:tabs>
        <w:ind w:left="2880" w:hanging="360"/>
      </w:pPr>
      <w:rPr>
        <w:rFonts w:ascii="Symbol" w:hAnsi="Symbol"/>
      </w:rPr>
    </w:lvl>
    <w:lvl w:ilvl="8" w:tplc="17663119">
      <w:start w:val="1"/>
      <w:numFmt w:val="bullet"/>
      <w:lvlText w:val=""/>
      <w:lvlJc w:val="left"/>
      <w:pPr>
        <w:tabs>
          <w:tab w:val="num" w:pos="3240"/>
        </w:tabs>
        <w:ind w:left="3240" w:hanging="360"/>
      </w:pPr>
      <w:rPr>
        <w:rFonts w:ascii="Symbol" w:hAnsi="Symbol"/>
      </w:rPr>
    </w:lvl>
  </w:abstractNum>
  <w:abstractNum w:abstractNumId="11" w15:restartNumberingAfterBreak="0">
    <w:nsid w:val="60781AD9"/>
    <w:multiLevelType w:val="hybridMultilevel"/>
    <w:tmpl w:val="4C18879C"/>
    <w:lvl w:ilvl="0" w:tplc="FFFFFFFF">
      <w:start w:val="1"/>
      <w:numFmt w:val="decimal"/>
      <w:lvlText w:val="%1."/>
      <w:lvlJc w:val="left"/>
      <w:pPr>
        <w:tabs>
          <w:tab w:val="num" w:pos="360"/>
        </w:tabs>
        <w:ind w:left="360" w:hanging="360"/>
      </w:pPr>
    </w:lvl>
    <w:lvl w:ilvl="1" w:tplc="FFFFFFFF">
      <w:start w:val="1"/>
      <w:numFmt w:val="ordinal"/>
      <w:lvlText w:val="%2"/>
      <w:lvlJc w:val="left"/>
      <w:pPr>
        <w:tabs>
          <w:tab w:val="num" w:pos="1077"/>
        </w:tabs>
        <w:ind w:left="720" w:hanging="363"/>
      </w:pPr>
    </w:lvl>
    <w:lvl w:ilvl="2" w:tplc="FFFFFFFF">
      <w:start w:val="1"/>
      <w:numFmt w:val="lowerLetter"/>
      <w:lvlText w:val="%3)"/>
      <w:lvlJc w:val="left"/>
      <w:pPr>
        <w:tabs>
          <w:tab w:val="num" w:pos="1080"/>
        </w:tabs>
        <w:ind w:left="1080" w:hanging="360"/>
      </w:pPr>
    </w:lvl>
    <w:lvl w:ilvl="3" w:tplc="1411B931">
      <w:start w:val="1"/>
      <w:numFmt w:val="bullet"/>
      <w:lvlText w:val=""/>
      <w:lvlJc w:val="left"/>
      <w:pPr>
        <w:tabs>
          <w:tab w:val="num" w:pos="1440"/>
        </w:tabs>
        <w:ind w:left="1440" w:hanging="360"/>
      </w:pPr>
      <w:rPr>
        <w:rFonts w:ascii="Symbol" w:hAnsi="Symbol"/>
      </w:rPr>
    </w:lvl>
    <w:lvl w:ilvl="4" w:tplc="712F01AF">
      <w:start w:val="1"/>
      <w:numFmt w:val="bullet"/>
      <w:lvlText w:val=""/>
      <w:lvlJc w:val="left"/>
      <w:pPr>
        <w:tabs>
          <w:tab w:val="num" w:pos="1800"/>
        </w:tabs>
        <w:ind w:left="1800" w:hanging="360"/>
      </w:pPr>
      <w:rPr>
        <w:rFonts w:ascii="Symbol" w:hAnsi="Symbol"/>
      </w:rPr>
    </w:lvl>
    <w:lvl w:ilvl="5" w:tplc="01D8AE70">
      <w:start w:val="1"/>
      <w:numFmt w:val="bullet"/>
      <w:lvlText w:val=""/>
      <w:lvlJc w:val="left"/>
      <w:pPr>
        <w:tabs>
          <w:tab w:val="num" w:pos="2160"/>
        </w:tabs>
        <w:ind w:left="2160" w:hanging="360"/>
      </w:pPr>
      <w:rPr>
        <w:rFonts w:ascii="Wingdings" w:hAnsi="Wingdings"/>
      </w:rPr>
    </w:lvl>
    <w:lvl w:ilvl="6" w:tplc="1276E906">
      <w:start w:val="1"/>
      <w:numFmt w:val="bullet"/>
      <w:lvlText w:val=""/>
      <w:lvlJc w:val="left"/>
      <w:pPr>
        <w:tabs>
          <w:tab w:val="num" w:pos="2520"/>
        </w:tabs>
        <w:ind w:left="2520" w:hanging="360"/>
      </w:pPr>
      <w:rPr>
        <w:rFonts w:ascii="Wingdings" w:hAnsi="Wingdings"/>
      </w:rPr>
    </w:lvl>
    <w:lvl w:ilvl="7" w:tplc="50FBF1C3">
      <w:start w:val="1"/>
      <w:numFmt w:val="bullet"/>
      <w:lvlText w:val=""/>
      <w:lvlJc w:val="left"/>
      <w:pPr>
        <w:tabs>
          <w:tab w:val="num" w:pos="2880"/>
        </w:tabs>
        <w:ind w:left="2880" w:hanging="360"/>
      </w:pPr>
      <w:rPr>
        <w:rFonts w:ascii="Symbol" w:hAnsi="Symbol"/>
      </w:rPr>
    </w:lvl>
    <w:lvl w:ilvl="8" w:tplc="63EFFFA3">
      <w:start w:val="1"/>
      <w:numFmt w:val="bullet"/>
      <w:lvlText w:val=""/>
      <w:lvlJc w:val="left"/>
      <w:pPr>
        <w:tabs>
          <w:tab w:val="num" w:pos="3240"/>
        </w:tabs>
        <w:ind w:left="3240" w:hanging="360"/>
      </w:pPr>
      <w:rPr>
        <w:rFonts w:ascii="Symbol" w:hAnsi="Symbol"/>
      </w:rPr>
    </w:lvl>
  </w:abstractNum>
  <w:abstractNum w:abstractNumId="12" w15:restartNumberingAfterBreak="0">
    <w:nsid w:val="6CD44E20"/>
    <w:multiLevelType w:val="hybridMultilevel"/>
    <w:tmpl w:val="8FD8CA90"/>
    <w:lvl w:ilvl="0" w:tplc="3C836183">
      <w:start w:val="1"/>
      <w:numFmt w:val="bullet"/>
      <w:lvlText w:val="-"/>
      <w:lvlJc w:val="left"/>
      <w:pPr>
        <w:tabs>
          <w:tab w:val="num" w:pos="360"/>
        </w:tabs>
        <w:ind w:left="360" w:hanging="360"/>
      </w:pPr>
      <w:rPr>
        <w:rFonts w:ascii="Arial" w:hAnsi="Arial"/>
      </w:rPr>
    </w:lvl>
    <w:lvl w:ilvl="1" w:tplc="FFFFFFFF">
      <w:start w:val="1"/>
      <w:numFmt w:val="ordinal"/>
      <w:lvlText w:val="%2"/>
      <w:lvlJc w:val="left"/>
      <w:pPr>
        <w:tabs>
          <w:tab w:val="num" w:pos="1077"/>
        </w:tabs>
        <w:ind w:left="720" w:hanging="363"/>
      </w:pPr>
    </w:lvl>
    <w:lvl w:ilvl="2" w:tplc="FFFFFFFF">
      <w:start w:val="1"/>
      <w:numFmt w:val="lowerLetter"/>
      <w:lvlText w:val="%3)"/>
      <w:lvlJc w:val="left"/>
      <w:pPr>
        <w:tabs>
          <w:tab w:val="num" w:pos="1080"/>
        </w:tabs>
        <w:ind w:left="1080" w:hanging="360"/>
      </w:pPr>
    </w:lvl>
    <w:lvl w:ilvl="3" w:tplc="1EABD6CC">
      <w:start w:val="1"/>
      <w:numFmt w:val="bullet"/>
      <w:lvlText w:val=""/>
      <w:lvlJc w:val="left"/>
      <w:pPr>
        <w:tabs>
          <w:tab w:val="num" w:pos="1440"/>
        </w:tabs>
        <w:ind w:left="1440" w:hanging="360"/>
      </w:pPr>
      <w:rPr>
        <w:rFonts w:ascii="Symbol" w:hAnsi="Symbol"/>
      </w:rPr>
    </w:lvl>
    <w:lvl w:ilvl="4" w:tplc="7ED33F31">
      <w:start w:val="1"/>
      <w:numFmt w:val="bullet"/>
      <w:lvlText w:val=""/>
      <w:lvlJc w:val="left"/>
      <w:pPr>
        <w:tabs>
          <w:tab w:val="num" w:pos="1800"/>
        </w:tabs>
        <w:ind w:left="1800" w:hanging="360"/>
      </w:pPr>
      <w:rPr>
        <w:rFonts w:ascii="Symbol" w:hAnsi="Symbol"/>
      </w:rPr>
    </w:lvl>
    <w:lvl w:ilvl="5" w:tplc="6FC9B432">
      <w:start w:val="1"/>
      <w:numFmt w:val="bullet"/>
      <w:lvlText w:val=""/>
      <w:lvlJc w:val="left"/>
      <w:pPr>
        <w:tabs>
          <w:tab w:val="num" w:pos="2160"/>
        </w:tabs>
        <w:ind w:left="2160" w:hanging="360"/>
      </w:pPr>
      <w:rPr>
        <w:rFonts w:ascii="Wingdings" w:hAnsi="Wingdings"/>
      </w:rPr>
    </w:lvl>
    <w:lvl w:ilvl="6" w:tplc="2B289F43">
      <w:start w:val="1"/>
      <w:numFmt w:val="bullet"/>
      <w:lvlText w:val=""/>
      <w:lvlJc w:val="left"/>
      <w:pPr>
        <w:tabs>
          <w:tab w:val="num" w:pos="2520"/>
        </w:tabs>
        <w:ind w:left="2520" w:hanging="360"/>
      </w:pPr>
      <w:rPr>
        <w:rFonts w:ascii="Wingdings" w:hAnsi="Wingdings"/>
      </w:rPr>
    </w:lvl>
    <w:lvl w:ilvl="7" w:tplc="02D8E94D">
      <w:start w:val="1"/>
      <w:numFmt w:val="bullet"/>
      <w:lvlText w:val=""/>
      <w:lvlJc w:val="left"/>
      <w:pPr>
        <w:tabs>
          <w:tab w:val="num" w:pos="2880"/>
        </w:tabs>
        <w:ind w:left="2880" w:hanging="360"/>
      </w:pPr>
      <w:rPr>
        <w:rFonts w:ascii="Symbol" w:hAnsi="Symbol"/>
      </w:rPr>
    </w:lvl>
    <w:lvl w:ilvl="8" w:tplc="2C9939D5">
      <w:start w:val="1"/>
      <w:numFmt w:val="bullet"/>
      <w:lvlText w:val=""/>
      <w:lvlJc w:val="left"/>
      <w:pPr>
        <w:tabs>
          <w:tab w:val="num" w:pos="3240"/>
        </w:tabs>
        <w:ind w:left="3240" w:hanging="360"/>
      </w:pPr>
      <w:rPr>
        <w:rFonts w:ascii="Symbol" w:hAnsi="Symbol"/>
      </w:rPr>
    </w:lvl>
  </w:abstractNum>
  <w:abstractNum w:abstractNumId="13" w15:restartNumberingAfterBreak="0">
    <w:nsid w:val="75E52EBD"/>
    <w:multiLevelType w:val="hybridMultilevel"/>
    <w:tmpl w:val="6D0E27E4"/>
    <w:lvl w:ilvl="0" w:tplc="FFFFFFFF">
      <w:start w:val="1"/>
      <w:numFmt w:val="decimal"/>
      <w:lvlText w:val="%1."/>
      <w:lvlJc w:val="left"/>
      <w:pPr>
        <w:tabs>
          <w:tab w:val="num" w:pos="360"/>
        </w:tabs>
        <w:ind w:left="360" w:hanging="360"/>
      </w:pPr>
    </w:lvl>
    <w:lvl w:ilvl="1" w:tplc="5B3A9D89">
      <w:start w:val="1"/>
      <w:numFmt w:val="bullet"/>
      <w:lvlText w:val="-"/>
      <w:lvlJc w:val="left"/>
      <w:pPr>
        <w:tabs>
          <w:tab w:val="num" w:pos="720"/>
        </w:tabs>
        <w:ind w:left="720" w:hanging="360"/>
      </w:pPr>
      <w:rPr>
        <w:rFonts w:ascii="Arial" w:hAnsi="Arial"/>
      </w:rPr>
    </w:lvl>
    <w:lvl w:ilvl="2" w:tplc="DBDE556E">
      <w:start w:val="1"/>
      <w:numFmt w:val="lowerRoman"/>
      <w:lvlText w:val="%3)"/>
      <w:lvlJc w:val="left"/>
      <w:pPr>
        <w:tabs>
          <w:tab w:val="num" w:pos="1080"/>
        </w:tabs>
        <w:ind w:left="1080" w:hanging="360"/>
      </w:pPr>
    </w:lvl>
    <w:lvl w:ilvl="3" w:tplc="D428A67E">
      <w:start w:val="1"/>
      <w:numFmt w:val="decimal"/>
      <w:lvlText w:val="(%4)"/>
      <w:lvlJc w:val="left"/>
      <w:pPr>
        <w:tabs>
          <w:tab w:val="num" w:pos="1440"/>
        </w:tabs>
        <w:ind w:left="1440" w:hanging="360"/>
      </w:pPr>
    </w:lvl>
    <w:lvl w:ilvl="4" w:tplc="E45635FC">
      <w:start w:val="1"/>
      <w:numFmt w:val="lowerLetter"/>
      <w:lvlText w:val="(%5)"/>
      <w:lvlJc w:val="left"/>
      <w:pPr>
        <w:tabs>
          <w:tab w:val="num" w:pos="1800"/>
        </w:tabs>
        <w:ind w:left="1800" w:hanging="360"/>
      </w:pPr>
    </w:lvl>
    <w:lvl w:ilvl="5" w:tplc="64441A7A">
      <w:start w:val="1"/>
      <w:numFmt w:val="lowerRoman"/>
      <w:lvlText w:val="(%6)"/>
      <w:lvlJc w:val="left"/>
      <w:pPr>
        <w:tabs>
          <w:tab w:val="num" w:pos="2160"/>
        </w:tabs>
        <w:ind w:left="2160" w:hanging="360"/>
      </w:pPr>
    </w:lvl>
    <w:lvl w:ilvl="6" w:tplc="438CC792">
      <w:start w:val="1"/>
      <w:numFmt w:val="decimal"/>
      <w:lvlText w:val="%7."/>
      <w:lvlJc w:val="left"/>
      <w:pPr>
        <w:tabs>
          <w:tab w:val="num" w:pos="2520"/>
        </w:tabs>
        <w:ind w:left="2520" w:hanging="360"/>
      </w:pPr>
    </w:lvl>
    <w:lvl w:ilvl="7" w:tplc="C9101D16">
      <w:start w:val="1"/>
      <w:numFmt w:val="lowerLetter"/>
      <w:lvlText w:val="%8."/>
      <w:lvlJc w:val="left"/>
      <w:pPr>
        <w:tabs>
          <w:tab w:val="num" w:pos="2880"/>
        </w:tabs>
        <w:ind w:left="2880" w:hanging="360"/>
      </w:pPr>
    </w:lvl>
    <w:lvl w:ilvl="8" w:tplc="5C3268AC">
      <w:start w:val="1"/>
      <w:numFmt w:val="lowerRoman"/>
      <w:lvlText w:val="%9."/>
      <w:lvlJc w:val="left"/>
      <w:pPr>
        <w:tabs>
          <w:tab w:val="num" w:pos="3240"/>
        </w:tabs>
        <w:ind w:left="3240" w:hanging="360"/>
      </w:pPr>
    </w:lvl>
  </w:abstractNum>
  <w:abstractNum w:abstractNumId="14" w15:restartNumberingAfterBreak="0">
    <w:nsid w:val="776113D9"/>
    <w:multiLevelType w:val="hybridMultilevel"/>
    <w:tmpl w:val="86FE3DDE"/>
    <w:lvl w:ilvl="0" w:tplc="42B15E75">
      <w:start w:val="1"/>
      <w:numFmt w:val="bullet"/>
      <w:lvlText w:val="-"/>
      <w:lvlJc w:val="left"/>
      <w:pPr>
        <w:tabs>
          <w:tab w:val="num" w:pos="360"/>
        </w:tabs>
        <w:ind w:left="360" w:hanging="360"/>
      </w:pPr>
      <w:rPr>
        <w:rFonts w:ascii="Times New Roman" w:hAnsi="Times New Roman"/>
      </w:rPr>
    </w:lvl>
    <w:lvl w:ilvl="1" w:tplc="FFFFFFFF">
      <w:start w:val="1"/>
      <w:numFmt w:val="ordinal"/>
      <w:lvlText w:val="%2"/>
      <w:lvlJc w:val="left"/>
      <w:pPr>
        <w:tabs>
          <w:tab w:val="num" w:pos="1077"/>
        </w:tabs>
        <w:ind w:left="720" w:hanging="363"/>
      </w:pPr>
    </w:lvl>
    <w:lvl w:ilvl="2" w:tplc="FFFFFFFF">
      <w:start w:val="1"/>
      <w:numFmt w:val="lowerLetter"/>
      <w:lvlText w:val="%3)"/>
      <w:lvlJc w:val="left"/>
      <w:pPr>
        <w:tabs>
          <w:tab w:val="num" w:pos="1080"/>
        </w:tabs>
        <w:ind w:left="1080" w:hanging="360"/>
      </w:pPr>
    </w:lvl>
    <w:lvl w:ilvl="3" w:tplc="1650C4F4">
      <w:start w:val="1"/>
      <w:numFmt w:val="bullet"/>
      <w:lvlText w:val=""/>
      <w:lvlJc w:val="left"/>
      <w:pPr>
        <w:tabs>
          <w:tab w:val="num" w:pos="1440"/>
        </w:tabs>
        <w:ind w:left="1440" w:hanging="360"/>
      </w:pPr>
      <w:rPr>
        <w:rFonts w:ascii="Symbol" w:hAnsi="Symbol"/>
      </w:rPr>
    </w:lvl>
    <w:lvl w:ilvl="4" w:tplc="7BA8DF5A">
      <w:start w:val="1"/>
      <w:numFmt w:val="bullet"/>
      <w:lvlText w:val=""/>
      <w:lvlJc w:val="left"/>
      <w:pPr>
        <w:tabs>
          <w:tab w:val="num" w:pos="1800"/>
        </w:tabs>
        <w:ind w:left="1800" w:hanging="360"/>
      </w:pPr>
      <w:rPr>
        <w:rFonts w:ascii="Symbol" w:hAnsi="Symbol"/>
      </w:rPr>
    </w:lvl>
    <w:lvl w:ilvl="5" w:tplc="1C0CF70A">
      <w:start w:val="1"/>
      <w:numFmt w:val="bullet"/>
      <w:lvlText w:val=""/>
      <w:lvlJc w:val="left"/>
      <w:pPr>
        <w:tabs>
          <w:tab w:val="num" w:pos="2160"/>
        </w:tabs>
        <w:ind w:left="2160" w:hanging="360"/>
      </w:pPr>
      <w:rPr>
        <w:rFonts w:ascii="Wingdings" w:hAnsi="Wingdings"/>
      </w:rPr>
    </w:lvl>
    <w:lvl w:ilvl="6" w:tplc="24AFE7A3">
      <w:start w:val="1"/>
      <w:numFmt w:val="bullet"/>
      <w:lvlText w:val=""/>
      <w:lvlJc w:val="left"/>
      <w:pPr>
        <w:tabs>
          <w:tab w:val="num" w:pos="2520"/>
        </w:tabs>
        <w:ind w:left="2520" w:hanging="360"/>
      </w:pPr>
      <w:rPr>
        <w:rFonts w:ascii="Wingdings" w:hAnsi="Wingdings"/>
      </w:rPr>
    </w:lvl>
    <w:lvl w:ilvl="7" w:tplc="2DE613CE">
      <w:start w:val="1"/>
      <w:numFmt w:val="bullet"/>
      <w:lvlText w:val=""/>
      <w:lvlJc w:val="left"/>
      <w:pPr>
        <w:tabs>
          <w:tab w:val="num" w:pos="2880"/>
        </w:tabs>
        <w:ind w:left="2880" w:hanging="360"/>
      </w:pPr>
      <w:rPr>
        <w:rFonts w:ascii="Symbol" w:hAnsi="Symbol"/>
      </w:rPr>
    </w:lvl>
    <w:lvl w:ilvl="8" w:tplc="1F7E5957">
      <w:start w:val="1"/>
      <w:numFmt w:val="bullet"/>
      <w:lvlText w:val=""/>
      <w:lvlJc w:val="left"/>
      <w:pPr>
        <w:tabs>
          <w:tab w:val="num" w:pos="3240"/>
        </w:tabs>
        <w:ind w:left="3240" w:hanging="360"/>
      </w:pPr>
      <w:rPr>
        <w:rFonts w:ascii="Symbol" w:hAnsi="Symbol"/>
      </w:rPr>
    </w:lvl>
  </w:abstractNum>
  <w:num w:numId="1">
    <w:abstractNumId w:val="8"/>
  </w:num>
  <w:num w:numId="2">
    <w:abstractNumId w:val="9"/>
  </w:num>
  <w:num w:numId="3">
    <w:abstractNumId w:val="6"/>
  </w:num>
  <w:num w:numId="4">
    <w:abstractNumId w:val="1"/>
  </w:num>
  <w:num w:numId="5">
    <w:abstractNumId w:val="10"/>
  </w:num>
  <w:num w:numId="6">
    <w:abstractNumId w:val="14"/>
  </w:num>
  <w:num w:numId="7">
    <w:abstractNumId w:val="5"/>
  </w:num>
  <w:num w:numId="8">
    <w:abstractNumId w:val="2"/>
  </w:num>
  <w:num w:numId="9">
    <w:abstractNumId w:val="11"/>
  </w:num>
  <w:num w:numId="10">
    <w:abstractNumId w:val="12"/>
  </w:num>
  <w:num w:numId="11">
    <w:abstractNumId w:val="7"/>
  </w:num>
  <w:num w:numId="12">
    <w:abstractNumId w:val="3"/>
  </w:num>
  <w:num w:numId="13">
    <w:abstractNumId w:val="4"/>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64"/>
    <w:rsid w:val="001D562F"/>
    <w:rsid w:val="003E3B47"/>
    <w:rsid w:val="00456C35"/>
    <w:rsid w:val="00474264"/>
    <w:rsid w:val="005404CF"/>
    <w:rsid w:val="00993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9429CD5-2DC4-4F5E-81B6-2339548A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rPr>
  </w:style>
  <w:style w:type="paragraph" w:styleId="Nadpis1">
    <w:name w:val="heading 1"/>
    <w:basedOn w:val="Normln"/>
    <w:next w:val="Normln"/>
    <w:link w:val="Nadpis1Char"/>
    <w:qFormat/>
    <w:pPr>
      <w:keepNext/>
      <w:spacing w:before="120"/>
      <w:jc w:val="center"/>
      <w:outlineLvl w:val="0"/>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bsah5">
    <w:name w:val="toc 5"/>
    <w:basedOn w:val="Normln"/>
    <w:next w:val="Normln"/>
    <w:pPr>
      <w:ind w:left="800"/>
    </w:pPr>
    <w:rPr>
      <w:rFonts w:ascii="Arial" w:hAnsi="Arial"/>
      <w:sz w:val="20"/>
    </w:rPr>
  </w:style>
  <w:style w:type="character" w:styleId="slodku">
    <w:name w:val="line number"/>
    <w:basedOn w:val="Standardnpsmoodstavce"/>
    <w:semiHidden/>
  </w:style>
  <w:style w:type="character" w:styleId="Hypertextovodkaz">
    <w:name w:val="Hyperlink"/>
    <w:rPr>
      <w:color w:val="0000FF"/>
      <w:u w:val="single"/>
    </w:rPr>
  </w:style>
  <w:style w:type="character" w:customStyle="1" w:styleId="Nadpis1Char">
    <w:name w:val="Nadpis 1 Char"/>
    <w:link w:val="Nadpis1"/>
    <w:rPr>
      <w:b/>
      <w:sz w:val="28"/>
    </w:rPr>
  </w:style>
  <w:style w:type="character" w:styleId="slostrnky">
    <w:name w:val="page number"/>
    <w:basedOn w:val="Standardnpsmoodstavce"/>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E3B47"/>
    <w:pPr>
      <w:ind w:left="708"/>
    </w:pPr>
  </w:style>
  <w:style w:type="paragraph" w:styleId="Textbubliny">
    <w:name w:val="Balloon Text"/>
    <w:basedOn w:val="Normln"/>
    <w:link w:val="TextbublinyChar"/>
    <w:uiPriority w:val="99"/>
    <w:semiHidden/>
    <w:unhideWhenUsed/>
    <w:rsid w:val="003E3B47"/>
    <w:rPr>
      <w:rFonts w:ascii="Segoe UI" w:hAnsi="Segoe UI" w:cs="Segoe UI"/>
      <w:sz w:val="18"/>
      <w:szCs w:val="18"/>
    </w:rPr>
  </w:style>
  <w:style w:type="character" w:customStyle="1" w:styleId="TextbublinyChar">
    <w:name w:val="Text bubliny Char"/>
    <w:link w:val="Textbubliny"/>
    <w:uiPriority w:val="99"/>
    <w:semiHidden/>
    <w:rsid w:val="003E3B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2321</Words>
  <Characters>13700</Characters>
  <Application>Microsoft Office Word</Application>
  <DocSecurity>4</DocSecurity>
  <Lines>114</Lines>
  <Paragraphs>31</Paragraphs>
  <ScaleCrop>false</ScaleCrop>
  <HeadingPairs>
    <vt:vector size="2" baseType="variant">
      <vt:variant>
        <vt:lpstr>Název</vt:lpstr>
      </vt:variant>
      <vt:variant>
        <vt:i4>1</vt:i4>
      </vt:variant>
    </vt:vector>
  </HeadingPairs>
  <TitlesOfParts>
    <vt:vector size="1" baseType="lpstr">
      <vt:lpstr>x</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tajemnik</dc:creator>
  <cp:lastModifiedBy>Hergethová Marcela</cp:lastModifiedBy>
  <cp:revision>2</cp:revision>
  <cp:lastPrinted>2024-08-01T06:05:00Z</cp:lastPrinted>
  <dcterms:created xsi:type="dcterms:W3CDTF">2026-02-16T10:14:00Z</dcterms:created>
  <dcterms:modified xsi:type="dcterms:W3CDTF">2026-02-16T10:14:00Z</dcterms:modified>
</cp:coreProperties>
</file>