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6E2D" w:rsidRPr="001E6E2D" w:rsidRDefault="001E6E2D" w:rsidP="001E6E2D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  <w:t>Důvodová zpráva:</w:t>
      </w:r>
    </w:p>
    <w:p w:rsidR="001E6E2D" w:rsidRPr="001E6E2D" w:rsidRDefault="001E6E2D" w:rsidP="001E6E2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E6E2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Hospodaření města Chomutova za rok 2024 bylo významně ovlivněno nejen ekonomickými faktory na celostátní úrovni, ale také specifickými místními potřebami a prioritami. Tato důvodová zpráva nabízí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dílčí </w:t>
      </w:r>
      <w:r w:rsidRPr="001E6E2D">
        <w:rPr>
          <w:rFonts w:ascii="Times New Roman" w:eastAsia="Times New Roman" w:hAnsi="Times New Roman" w:cs="Times New Roman"/>
          <w:sz w:val="24"/>
          <w:szCs w:val="24"/>
          <w:lang w:eastAsia="cs-CZ"/>
        </w:rPr>
        <w:t>analýzu příjmů, výdajů a celkového hospodářského výsledku města, včetně dopadů na finanční stabilitu a strategické řízení veřejných financí.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Podrobné informace a data o hospodaření města lze dohledat v přílohách materiálu.</w:t>
      </w:r>
    </w:p>
    <w:p w:rsidR="001E6E2D" w:rsidRPr="001E6E2D" w:rsidRDefault="001E6E2D" w:rsidP="001E6E2D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</w:pPr>
      <w:r w:rsidRPr="001E6E2D"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  <w:t>Příjmová stránka rozpočtu po konsolidaci</w:t>
      </w:r>
    </w:p>
    <w:p w:rsidR="001E6E2D" w:rsidRPr="001E6E2D" w:rsidRDefault="001E6E2D" w:rsidP="001E6E2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E6E2D">
        <w:rPr>
          <w:rFonts w:ascii="Times New Roman" w:eastAsia="Times New Roman" w:hAnsi="Times New Roman" w:cs="Times New Roman"/>
          <w:sz w:val="24"/>
          <w:szCs w:val="24"/>
          <w:lang w:eastAsia="cs-CZ"/>
        </w:rPr>
        <w:t>Po konsolidaci dosáhly příjmy města Chomutova v roce 2024 výše 1 575 822 393,04 Kč. Největší podíl tvořily daňové příjmy (73,1 %), nedaňové příjmy (10,1 %), provozní dotace (13,0 %), kapitálové příjmy (2,9 %) a kapitálové transfery (0,9 %). Mezi klíčové položky příjmové stránky patřily daň z příjmů fyzických osob ve výši 177 403 948,74 Kč, daň z příjmů právnických osob 240 372 338,22 Kč a daň z přidané hodnoty 482 516 598,96 Kč.</w:t>
      </w:r>
    </w:p>
    <w:p w:rsidR="001E6E2D" w:rsidRPr="001E6E2D" w:rsidRDefault="001E6E2D" w:rsidP="001E6E2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E6E2D">
        <w:rPr>
          <w:rFonts w:ascii="Times New Roman" w:eastAsia="Times New Roman" w:hAnsi="Times New Roman" w:cs="Times New Roman"/>
          <w:sz w:val="24"/>
          <w:szCs w:val="24"/>
          <w:lang w:eastAsia="cs-CZ"/>
        </w:rPr>
        <w:t>Přijaté dotace ve výši 250 811 349,55 Kč lze dále rozdělit na provozní a kapitálové dotace. Provozní dotace činily 204 722 942,94 Kč a byly získány zejména z národních zdrojů, včetně Ministerstva financí ČR, krajských dotačních programů a dalších státních institucí. Kapitálové dotace dosáhly 46 088 406,61 Kč, přičemž hlavním zdrojem byly evropské fondy, konkrétně Operační program Životní prostředí a Integrovaný regionální operační program (IROP). Tyto prostředky byly využity zejména na ekologické projekty a modernizaci městské infrastruktury.</w:t>
      </w:r>
    </w:p>
    <w:p w:rsidR="001E6E2D" w:rsidRPr="001E6E2D" w:rsidRDefault="001E6E2D" w:rsidP="001E6E2D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</w:pPr>
      <w:r w:rsidRPr="001E6E2D"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  <w:t>Výdajová stránka rozpočtu po konsolidaci</w:t>
      </w:r>
    </w:p>
    <w:p w:rsidR="001E6E2D" w:rsidRPr="001E6E2D" w:rsidRDefault="001E6E2D" w:rsidP="001E6E2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E6E2D">
        <w:rPr>
          <w:rFonts w:ascii="Times New Roman" w:eastAsia="Times New Roman" w:hAnsi="Times New Roman" w:cs="Times New Roman"/>
          <w:sz w:val="24"/>
          <w:szCs w:val="24"/>
          <w:lang w:eastAsia="cs-CZ"/>
        </w:rPr>
        <w:t>Po konsolidaci činily výdaje města 1 560 694 302,72 Kč. Provozní výdaje dosáhly 1 258 152 065,63 Kč, což je přibližně 81 % z celkových výdajů, a kapitálové výdaje činily 302 542 237,09 Kč.</w:t>
      </w:r>
    </w:p>
    <w:p w:rsidR="001E6E2D" w:rsidRPr="001E6E2D" w:rsidRDefault="001E6E2D" w:rsidP="001E6E2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E6E2D">
        <w:rPr>
          <w:rFonts w:ascii="Times New Roman" w:eastAsia="Times New Roman" w:hAnsi="Times New Roman" w:cs="Times New Roman"/>
          <w:sz w:val="24"/>
          <w:szCs w:val="24"/>
          <w:lang w:eastAsia="cs-CZ"/>
        </w:rPr>
        <w:t>Mezi hlavní výdajové položky patřily:</w:t>
      </w:r>
    </w:p>
    <w:p w:rsidR="001E6E2D" w:rsidRPr="001E6E2D" w:rsidRDefault="001E6E2D" w:rsidP="001E6E2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E6E2D">
        <w:rPr>
          <w:rFonts w:ascii="Times New Roman" w:eastAsia="Times New Roman" w:hAnsi="Times New Roman" w:cs="Times New Roman"/>
          <w:sz w:val="24"/>
          <w:szCs w:val="24"/>
          <w:lang w:eastAsia="cs-CZ"/>
        </w:rPr>
        <w:t>Komunální služby: 340 570 502,07 Kč (21,8 %)</w:t>
      </w:r>
    </w:p>
    <w:p w:rsidR="001E6E2D" w:rsidRPr="001E6E2D" w:rsidRDefault="001E6E2D" w:rsidP="001E6E2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E6E2D">
        <w:rPr>
          <w:rFonts w:ascii="Times New Roman" w:eastAsia="Times New Roman" w:hAnsi="Times New Roman" w:cs="Times New Roman"/>
          <w:sz w:val="24"/>
          <w:szCs w:val="24"/>
          <w:lang w:eastAsia="cs-CZ"/>
        </w:rPr>
        <w:t>Veřejná správa: 310 872 793,38 Kč (19,9 %)</w:t>
      </w:r>
    </w:p>
    <w:p w:rsidR="001E6E2D" w:rsidRPr="001E6E2D" w:rsidRDefault="001E6E2D" w:rsidP="001E6E2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E6E2D">
        <w:rPr>
          <w:rFonts w:ascii="Times New Roman" w:eastAsia="Times New Roman" w:hAnsi="Times New Roman" w:cs="Times New Roman"/>
          <w:sz w:val="24"/>
          <w:szCs w:val="24"/>
          <w:lang w:eastAsia="cs-CZ"/>
        </w:rPr>
        <w:t>Tělovýchova a zájmová činnost: 212 017 901,35 Kč (13,6 %)</w:t>
      </w:r>
    </w:p>
    <w:p w:rsidR="001E6E2D" w:rsidRPr="001E6E2D" w:rsidRDefault="001E6E2D" w:rsidP="001E6E2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E6E2D">
        <w:rPr>
          <w:rFonts w:ascii="Times New Roman" w:eastAsia="Times New Roman" w:hAnsi="Times New Roman" w:cs="Times New Roman"/>
          <w:sz w:val="24"/>
          <w:szCs w:val="24"/>
          <w:lang w:eastAsia="cs-CZ"/>
        </w:rPr>
        <w:t>Doprava: 187 603 109,78 Kč (12,0 %)</w:t>
      </w:r>
    </w:p>
    <w:p w:rsidR="001E6E2D" w:rsidRPr="001E6E2D" w:rsidRDefault="001E6E2D" w:rsidP="001E6E2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E6E2D">
        <w:rPr>
          <w:rFonts w:ascii="Times New Roman" w:eastAsia="Times New Roman" w:hAnsi="Times New Roman" w:cs="Times New Roman"/>
          <w:sz w:val="24"/>
          <w:szCs w:val="24"/>
          <w:lang w:eastAsia="cs-CZ"/>
        </w:rPr>
        <w:t>Školství (vzdělávání): 144 573 704,25 Kč (9,3 %)</w:t>
      </w:r>
    </w:p>
    <w:p w:rsidR="001E6E2D" w:rsidRPr="001E6E2D" w:rsidRDefault="001E6E2D" w:rsidP="001E6E2D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</w:pPr>
      <w:r w:rsidRPr="001E6E2D"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  <w:t>Nejvýznamnější investiční výdaje dle odvětví</w:t>
      </w:r>
    </w:p>
    <w:p w:rsidR="001E6E2D" w:rsidRPr="001E6E2D" w:rsidRDefault="001E6E2D" w:rsidP="001E6E2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E6E2D">
        <w:rPr>
          <w:rFonts w:ascii="Times New Roman" w:eastAsia="Times New Roman" w:hAnsi="Times New Roman" w:cs="Times New Roman"/>
          <w:sz w:val="24"/>
          <w:szCs w:val="24"/>
          <w:lang w:eastAsia="cs-CZ"/>
        </w:rPr>
        <w:t>Celkové investiční výdaje města Chomutova za rok 2024 činily 302 542 237,09 Kč. Mezi pět nejvýznamnějších oblastí investic podle proinvestované částky patřily:</w:t>
      </w:r>
    </w:p>
    <w:p w:rsidR="001E6E2D" w:rsidRPr="001E6E2D" w:rsidRDefault="001E6E2D" w:rsidP="001E6E2D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E6E2D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Komunální služby:</w:t>
      </w:r>
      <w:r w:rsidRPr="001E6E2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149 570 274,78 Kč (49,4 %)</w:t>
      </w:r>
    </w:p>
    <w:p w:rsidR="001E6E2D" w:rsidRPr="001E6E2D" w:rsidRDefault="001E6E2D" w:rsidP="001E6E2D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E6E2D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Tělovýchova a zájmová činnost:</w:t>
      </w:r>
      <w:r w:rsidRPr="001E6E2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70 101 727,89 Kč (23,2 %)</w:t>
      </w:r>
    </w:p>
    <w:p w:rsidR="001E6E2D" w:rsidRPr="001E6E2D" w:rsidRDefault="001E6E2D" w:rsidP="001E6E2D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E6E2D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Doprava:</w:t>
      </w:r>
      <w:r w:rsidRPr="001E6E2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52 977 944,69 Kč (17,5 %)</w:t>
      </w:r>
    </w:p>
    <w:p w:rsidR="001E6E2D" w:rsidRPr="001E6E2D" w:rsidRDefault="001E6E2D" w:rsidP="001E6E2D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E6E2D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Životní prostředí:</w:t>
      </w:r>
      <w:r w:rsidRPr="001E6E2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12 600 435,89 Kč (4,2 %)</w:t>
      </w:r>
    </w:p>
    <w:p w:rsidR="001E6E2D" w:rsidRPr="001E6E2D" w:rsidRDefault="001E6E2D" w:rsidP="001E6E2D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E6E2D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Veřejná správa:</w:t>
      </w:r>
      <w:r w:rsidRPr="001E6E2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7 587 215,59 Kč (2,5 %)</w:t>
      </w:r>
    </w:p>
    <w:p w:rsidR="001E6E2D" w:rsidRPr="001E6E2D" w:rsidRDefault="001E6E2D" w:rsidP="001E6E2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E6E2D">
        <w:rPr>
          <w:rFonts w:ascii="Times New Roman" w:eastAsia="Times New Roman" w:hAnsi="Times New Roman" w:cs="Times New Roman"/>
          <w:sz w:val="24"/>
          <w:szCs w:val="24"/>
          <w:lang w:eastAsia="cs-CZ"/>
        </w:rPr>
        <w:t>Tyto investice byly zaměřeny především na rozvoj městské infrastruktury, podporu ekologických projektů, modernizaci veřejných služeb a zlepšení kvality života obyvatel města.</w:t>
      </w:r>
    </w:p>
    <w:p w:rsidR="001E6E2D" w:rsidRPr="001E6E2D" w:rsidRDefault="001E6E2D" w:rsidP="001E6E2D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</w:pPr>
      <w:r w:rsidRPr="001E6E2D"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  <w:lastRenderedPageBreak/>
        <w:t>Konsolidované saldo</w:t>
      </w:r>
    </w:p>
    <w:p w:rsidR="001E6E2D" w:rsidRPr="001E6E2D" w:rsidRDefault="001E6E2D" w:rsidP="001E6E2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E6E2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Saldo po konsolidaci představuje přebytek ve výši </w:t>
      </w:r>
      <w:r w:rsidRPr="001E6E2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15 128 090,32 Kč</w:t>
      </w:r>
      <w:r w:rsidRPr="001E6E2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r w:rsidR="00CA106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které bylo zajištěno díky zisku ze zhodnocování volných finančních prostředků. Kladný výsledek </w:t>
      </w:r>
      <w:r w:rsidRPr="001E6E2D">
        <w:rPr>
          <w:rFonts w:ascii="Times New Roman" w:eastAsia="Times New Roman" w:hAnsi="Times New Roman" w:cs="Times New Roman"/>
          <w:sz w:val="24"/>
          <w:szCs w:val="24"/>
          <w:lang w:eastAsia="cs-CZ"/>
        </w:rPr>
        <w:t>podtrhuje finanční stabilitu města i po zohlednění veškerých interních převodů a konsolidovaných položek. Tento výsledek svědčí o odpovědném přístupu města k řízení svých finančních prostředků a efektivnímu hospodaření.</w:t>
      </w:r>
    </w:p>
    <w:p w:rsidR="001E6E2D" w:rsidRPr="001E6E2D" w:rsidRDefault="001E6E2D" w:rsidP="001E6E2D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</w:pPr>
      <w:r w:rsidRPr="001E6E2D"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  <w:t>Vývoj dluhové služby</w:t>
      </w:r>
    </w:p>
    <w:p w:rsidR="001E6E2D" w:rsidRPr="001E6E2D" w:rsidRDefault="001E6E2D" w:rsidP="001E6E2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E6E2D">
        <w:rPr>
          <w:rFonts w:ascii="Times New Roman" w:eastAsia="Times New Roman" w:hAnsi="Times New Roman" w:cs="Times New Roman"/>
          <w:sz w:val="24"/>
          <w:szCs w:val="24"/>
          <w:lang w:eastAsia="cs-CZ"/>
        </w:rPr>
        <w:t>Dluhová služba města Chomutova v roce 2024 zůstala na udržitelné úrovni. Dluhová základna činila 300 000 000 Kč, přičemž v roce 2024 nedošlo k žádným splátkám úvěru. Úvěr byl pouze zhodnocován, kdy výnosy z tohoto zhodnocení dosáhly 49 677 338,10 Kč. Nová metodika výpočtu ukazatele dluhové služby, která staví celkové příjmy jako základnu pro výpočet, poskytuje jasnější obrázek o schopnosti města dostát svým závazkům. Trend z let 2020 až 2024 naznačuje zodpovědné řízení dluhové zátěže a postupné snižování poměru dluhu vůči příjmům města.</w:t>
      </w:r>
    </w:p>
    <w:p w:rsidR="001E6E2D" w:rsidRPr="001E6E2D" w:rsidRDefault="001E6E2D" w:rsidP="001E6E2D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</w:pPr>
      <w:r w:rsidRPr="001E6E2D"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  <w:t>Závěr a doporučení</w:t>
      </w:r>
    </w:p>
    <w:p w:rsidR="001E6E2D" w:rsidRPr="001E6E2D" w:rsidRDefault="001E6E2D" w:rsidP="001E6E2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E6E2D">
        <w:rPr>
          <w:rFonts w:ascii="Times New Roman" w:eastAsia="Times New Roman" w:hAnsi="Times New Roman" w:cs="Times New Roman"/>
          <w:sz w:val="24"/>
          <w:szCs w:val="24"/>
          <w:lang w:eastAsia="cs-CZ"/>
        </w:rPr>
        <w:t>Město Chomutov v roce 2024 prokázalo, že je schopno efektivně hospodařit a strategicky řídit své finanční zdroje. Je třeba vyzdvihnout skutečnost, že se městu podařilo v rámci odpovědného hospodaření zcela vymazat schválený rozpočtový schodek</w:t>
      </w:r>
      <w:r w:rsidR="00CA106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CA1065" w:rsidRPr="00CA1065">
        <w:rPr>
          <w:rFonts w:ascii="Times New Roman" w:eastAsia="Times New Roman" w:hAnsi="Times New Roman" w:cs="Times New Roman"/>
          <w:sz w:val="24"/>
          <w:szCs w:val="24"/>
          <w:lang w:eastAsia="cs-CZ"/>
        </w:rPr>
        <w:t>-278 150 800,00</w:t>
      </w:r>
      <w:r w:rsidR="00CA106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Kč</w:t>
      </w:r>
      <w:r w:rsidRPr="001E6E2D">
        <w:rPr>
          <w:rFonts w:ascii="Times New Roman" w:eastAsia="Times New Roman" w:hAnsi="Times New Roman" w:cs="Times New Roman"/>
          <w:sz w:val="24"/>
          <w:szCs w:val="24"/>
          <w:lang w:eastAsia="cs-CZ"/>
        </w:rPr>
        <w:t>, což je významný úspěch a projev důsledné rozpočtové disciplíny. Pro budoucí období je vhodné nadále podporovat růst příjmů, zejména prostřednictvím rozvoje lokální ekonomiky a maximalizace čerpání dotačních prostředků. V oblasti výdajů se doporučuje pokračovat v investicích do infrastruktury, avšak při zachování současné rozpočtové disciplíny a opatrnosti ve vztahu k dluhové službě. Důležité je rovněž monitorovat vývoj finančních trhů a průběžně vyhodnocovat možnosti optimalizace městských finančních zdrojů.</w:t>
      </w:r>
    </w:p>
    <w:p w:rsidR="003C5389" w:rsidRDefault="003C5389" w:rsidP="001E6E2D">
      <w:pPr>
        <w:jc w:val="both"/>
      </w:pPr>
    </w:p>
    <w:sectPr w:rsidR="003C53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C5CB5"/>
    <w:multiLevelType w:val="multilevel"/>
    <w:tmpl w:val="85F6B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4820D15"/>
    <w:multiLevelType w:val="multilevel"/>
    <w:tmpl w:val="0846D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6E2D"/>
    <w:rsid w:val="001E6E2D"/>
    <w:rsid w:val="003C5389"/>
    <w:rsid w:val="00A16E52"/>
    <w:rsid w:val="00AC62E7"/>
    <w:rsid w:val="00CA1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FADC74-532A-4C70-B733-507A27323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1E6E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1E6E2D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1E6E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1E6E2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91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8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627</Words>
  <Characters>3702</Characters>
  <Application>Microsoft Office Word</Application>
  <DocSecurity>4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Mareš Jan</dc:creator>
  <cp:keywords/>
  <dc:description/>
  <cp:lastModifiedBy>Matějková Romana</cp:lastModifiedBy>
  <cp:revision>2</cp:revision>
  <dcterms:created xsi:type="dcterms:W3CDTF">2025-03-20T05:38:00Z</dcterms:created>
  <dcterms:modified xsi:type="dcterms:W3CDTF">2025-03-20T05:38:00Z</dcterms:modified>
</cp:coreProperties>
</file>