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998" w:rsidRPr="00F874A2" w:rsidRDefault="00186998" w:rsidP="00186998">
      <w:pPr>
        <w:autoSpaceDE w:val="0"/>
        <w:autoSpaceDN w:val="0"/>
        <w:rPr>
          <w:u w:val="single"/>
        </w:rPr>
      </w:pPr>
      <w:r w:rsidRPr="00F874A2">
        <w:rPr>
          <w:u w:val="single"/>
        </w:rPr>
        <w:t>Důvodová zpráva:</w:t>
      </w:r>
    </w:p>
    <w:p w:rsidR="00186998" w:rsidRDefault="00186998" w:rsidP="00186998">
      <w:pPr>
        <w:autoSpaceDE w:val="0"/>
        <w:autoSpaceDN w:val="0"/>
      </w:pPr>
      <w:r>
        <w:t xml:space="preserve"> </w:t>
      </w:r>
    </w:p>
    <w:p w:rsidR="0057418D" w:rsidRDefault="0057418D" w:rsidP="00186998">
      <w:pPr>
        <w:autoSpaceDE w:val="0"/>
        <w:autoSpaceDN w:val="0"/>
      </w:pPr>
    </w:p>
    <w:p w:rsidR="0057418D" w:rsidRDefault="0057418D" w:rsidP="0057418D">
      <w:pPr>
        <w:jc w:val="both"/>
      </w:pPr>
      <w:proofErr w:type="spellStart"/>
      <w:proofErr w:type="gramStart"/>
      <w:r>
        <w:t>TSmCh</w:t>
      </w:r>
      <w:proofErr w:type="spellEnd"/>
      <w:r>
        <w:t xml:space="preserve"> - návrh</w:t>
      </w:r>
      <w:proofErr w:type="gramEnd"/>
      <w:r>
        <w:t xml:space="preserve"> na nařízení odvodu z fondu investic</w:t>
      </w:r>
    </w:p>
    <w:p w:rsidR="0057418D" w:rsidRDefault="0057418D" w:rsidP="0057418D">
      <w:pPr>
        <w:jc w:val="both"/>
      </w:pPr>
    </w:p>
    <w:p w:rsidR="0057418D" w:rsidRDefault="0057418D" w:rsidP="0057418D">
      <w:pPr>
        <w:jc w:val="both"/>
      </w:pPr>
      <w:r>
        <w:t xml:space="preserve">V průběhu projednávání rozpočtu města Chomutova pro rok 2025 bylo rozhodnuto o odvodu 15 mil. Kč z účelového příspěvku na odpisy, který město Chomutov poskytuje v rámci provozního příspěvku Technickým službám města Chomutova zpět do rozpočtu zřizovatele. Roční příspěvek na odpisy činné cca 25 mil. Kč. </w:t>
      </w:r>
    </w:p>
    <w:p w:rsidR="0057418D" w:rsidRDefault="0057418D" w:rsidP="0057418D">
      <w:pPr>
        <w:jc w:val="both"/>
      </w:pPr>
      <w:r>
        <w:t xml:space="preserve">Zřizovatel se domnívá, že investiční obnova majetku v roce 2025 není tak vysoká. Z tohoto důvodu vedení města navrhuje podle uložení odvodu příspěvkové organizaci podle </w:t>
      </w:r>
      <w:proofErr w:type="spellStart"/>
      <w:r>
        <w:t>ust</w:t>
      </w:r>
      <w:proofErr w:type="spellEnd"/>
      <w:r>
        <w:t xml:space="preserve">. §28 odst. 9 písm. b) </w:t>
      </w:r>
    </w:p>
    <w:p w:rsidR="0057418D" w:rsidRDefault="0057418D" w:rsidP="0057418D">
      <w:pPr>
        <w:pStyle w:val="l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>Příspěvkové organizaci může její zřizovatel uložit odvod do svého rozpočtu, jestliže její investiční zdroje jsou větší, než je jejich potřeba užití podle rozhodnutí zřizovatele).</w:t>
      </w:r>
    </w:p>
    <w:p w:rsidR="0057418D" w:rsidRDefault="0057418D" w:rsidP="0057418D">
      <w:pPr>
        <w:pStyle w:val="l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7418D" w:rsidRDefault="0057418D" w:rsidP="0057418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Zákon č. 250/2000 Sb. nestanoví, zda uložení výše uvedených odvodů spadá do kompetence zastupitelstva nebo rady územního samosprávného celku. V daném případě je proto třeba vycházet z kompetencí vyhrazených zastupitelstvu a radě v zákoně č. 128/2000 Sb., o obcích (obecní zřízení), ve znění pozdějších předpisů.</w:t>
      </w:r>
      <w:r>
        <w:rPr>
          <w:rFonts w:ascii="Calibri" w:hAnsi="Calibri" w:cs="Calibri"/>
          <w:color w:val="000000"/>
          <w:sz w:val="22"/>
          <w:szCs w:val="22"/>
        </w:rPr>
        <w:br/>
        <w:t xml:space="preserve">Podle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ust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 § 102 odst. 2 písm. b) zákona č. 128/2000 Sb., </w:t>
      </w:r>
      <w:r>
        <w:rPr>
          <w:rStyle w:val="Siln"/>
          <w:rFonts w:ascii="Calibri" w:hAnsi="Calibri" w:cs="Calibri"/>
          <w:color w:val="000000"/>
          <w:sz w:val="22"/>
          <w:szCs w:val="22"/>
        </w:rPr>
        <w:t>je radě obce vyhrazeno plnit vůči právnickým osobám</w:t>
      </w:r>
      <w:r>
        <w:rPr>
          <w:rFonts w:ascii="Calibri" w:hAnsi="Calibri" w:cs="Calibri"/>
          <w:color w:val="000000"/>
          <w:sz w:val="22"/>
          <w:szCs w:val="22"/>
        </w:rPr>
        <w:t> a organizačním složkám založeným nebo </w:t>
      </w:r>
      <w:r>
        <w:rPr>
          <w:rStyle w:val="Siln"/>
          <w:rFonts w:ascii="Calibri" w:hAnsi="Calibri" w:cs="Calibri"/>
          <w:color w:val="000000"/>
          <w:sz w:val="22"/>
          <w:szCs w:val="22"/>
        </w:rPr>
        <w:t>zřízeným zastupitelstvem obce</w:t>
      </w:r>
      <w:r>
        <w:rPr>
          <w:rFonts w:ascii="Calibri" w:hAnsi="Calibri" w:cs="Calibri"/>
          <w:color w:val="000000"/>
          <w:sz w:val="22"/>
          <w:szCs w:val="22"/>
        </w:rPr>
        <w:t>, s výjimkou obecní policie, </w:t>
      </w:r>
      <w:r>
        <w:rPr>
          <w:rStyle w:val="Siln"/>
          <w:rFonts w:ascii="Calibri" w:hAnsi="Calibri" w:cs="Calibri"/>
          <w:color w:val="000000"/>
          <w:sz w:val="22"/>
          <w:szCs w:val="22"/>
        </w:rPr>
        <w:t>úkoly</w:t>
      </w:r>
      <w:r>
        <w:rPr>
          <w:rFonts w:ascii="Calibri" w:hAnsi="Calibri" w:cs="Calibri"/>
          <w:color w:val="000000"/>
          <w:sz w:val="22"/>
          <w:szCs w:val="22"/>
        </w:rPr>
        <w:t> zakladatele nebo </w:t>
      </w:r>
      <w:r>
        <w:rPr>
          <w:rStyle w:val="Siln"/>
          <w:rFonts w:ascii="Calibri" w:hAnsi="Calibri" w:cs="Calibri"/>
          <w:color w:val="000000"/>
          <w:sz w:val="22"/>
          <w:szCs w:val="22"/>
        </w:rPr>
        <w:t xml:space="preserve">zřizovatele podle zvláštních předpisů, </w:t>
      </w:r>
      <w:r>
        <w:rPr>
          <w:rStyle w:val="Siln"/>
          <w:rFonts w:ascii="Calibri" w:hAnsi="Calibri" w:cs="Calibri"/>
          <w:b w:val="0"/>
          <w:bCs w:val="0"/>
          <w:color w:val="000000"/>
          <w:sz w:val="22"/>
          <w:szCs w:val="22"/>
        </w:rPr>
        <w:t>nejsou-li vyhrazeny zastupitelstvu obce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(§ 84 odst. 2). Nařizování odvodů není vyhrazenou působností zastupitelstva obce, proto v daných případech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rozhoduje o nařízení odvodu rada obce.</w:t>
      </w:r>
    </w:p>
    <w:p w:rsidR="0057418D" w:rsidRDefault="0057418D" w:rsidP="0057418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57418D" w:rsidRDefault="0057418D" w:rsidP="0057418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Zastupitelstvo tedy v návrhu rozpočtu odvod finančně pojmenuje (zapracuje do příjmů rozpočtu města) a rada města jej zřízené organizaci nařídí.</w:t>
      </w:r>
    </w:p>
    <w:p w:rsidR="0057418D" w:rsidRDefault="0057418D" w:rsidP="0057418D">
      <w:pPr>
        <w:autoSpaceDE w:val="0"/>
        <w:autoSpaceDN w:val="0"/>
        <w:jc w:val="both"/>
      </w:pPr>
      <w:bookmarkStart w:id="0" w:name="_GoBack"/>
      <w:bookmarkEnd w:id="0"/>
    </w:p>
    <w:sectPr w:rsidR="0057418D" w:rsidSect="0057418D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98"/>
    <w:rsid w:val="0007764B"/>
    <w:rsid w:val="00186998"/>
    <w:rsid w:val="0022403B"/>
    <w:rsid w:val="00230278"/>
    <w:rsid w:val="0057418D"/>
    <w:rsid w:val="00AF70D0"/>
    <w:rsid w:val="00F874A2"/>
    <w:rsid w:val="00FC780F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B9DA"/>
  <w15:chartTrackingRefBased/>
  <w15:docId w15:val="{E254B113-F030-4DEC-814D-F80C48B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699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7418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uiPriority w:val="99"/>
    <w:semiHidden/>
    <w:rsid w:val="0057418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74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4</cp:revision>
  <cp:lastPrinted>2024-10-24T10:28:00Z</cp:lastPrinted>
  <dcterms:created xsi:type="dcterms:W3CDTF">2024-10-24T10:48:00Z</dcterms:created>
  <dcterms:modified xsi:type="dcterms:W3CDTF">2024-10-24T10:50:00Z</dcterms:modified>
</cp:coreProperties>
</file>