
<file path=[Content_Types].xml><?xml version="1.0" encoding="utf-8"?>
<Types xmlns="http://schemas.openxmlformats.org/package/2006/content-types">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1E519B" w14:textId="77777777" w:rsidR="00377DF6" w:rsidRDefault="00D173A9" w:rsidP="00993408">
      <w:r>
        <w:tab/>
      </w:r>
    </w:p>
    <w:p w14:paraId="4B2DA8B6" w14:textId="77777777" w:rsidR="00377DF6" w:rsidRDefault="00377DF6" w:rsidP="00993408"/>
    <w:p w14:paraId="31AE1C32" w14:textId="77777777" w:rsidR="00672361" w:rsidRPr="00A348F5" w:rsidRDefault="00672361" w:rsidP="00993408"/>
    <w:p w14:paraId="7F7C67FA" w14:textId="77777777" w:rsidR="00C16F72" w:rsidRPr="00A348F5" w:rsidRDefault="00C16F72" w:rsidP="00993408"/>
    <w:p w14:paraId="62ADDC67" w14:textId="77777777" w:rsidR="00377DF6" w:rsidRDefault="00377DF6" w:rsidP="00993408"/>
    <w:p w14:paraId="42ED3B8D" w14:textId="5946508F" w:rsidR="00D46DC7" w:rsidRPr="004F4117" w:rsidRDefault="0052692C" w:rsidP="00993408">
      <w:pPr>
        <w:rPr>
          <w:highlight w:val="yellow"/>
        </w:rPr>
      </w:pPr>
      <w:r w:rsidRPr="0052692C">
        <w:t xml:space="preserve"> </w:t>
      </w:r>
      <w:r w:rsidR="00481EBD">
        <w:rPr>
          <w:noProof/>
          <w:lang w:eastAsia="cs-CZ"/>
        </w:rPr>
        <w:drawing>
          <wp:inline distT="0" distB="0" distL="0" distR="0" wp14:anchorId="4CA55CD1" wp14:editId="798D5F94">
            <wp:extent cx="3134995" cy="1731645"/>
            <wp:effectExtent l="0" t="0" r="8255" b="1905"/>
            <wp:docPr id="50" name="obrázek 1" descr="S:\PŘEHLED FORMULÁŘŮ POUŽÍVANÝCH OD 1.1.2012\Logo - k použití na dokumenty MMCH\chomutov_2011_logo_RGB-1.jpg"/>
            <wp:cNvGraphicFramePr/>
            <a:graphic xmlns:a="http://schemas.openxmlformats.org/drawingml/2006/main">
              <a:graphicData uri="http://schemas.openxmlformats.org/drawingml/2006/picture">
                <pic:pic xmlns:pic="http://schemas.openxmlformats.org/drawingml/2006/picture">
                  <pic:nvPicPr>
                    <pic:cNvPr id="17" name="obrázek 1" descr="S:\PŘEHLED FORMULÁŘŮ POUŽÍVANÝCH OD 1.1.2012\Logo - k použití na dokumenty MMCH\chomutov_2011_logo_RGB-1.jpg"/>
                    <pic:cNvPicPr/>
                  </pic:nvPicPr>
                  <pic:blipFill>
                    <a:blip r:embed="rId8"/>
                    <a:srcRect/>
                    <a:stretch>
                      <a:fillRect/>
                    </a:stretch>
                  </pic:blipFill>
                  <pic:spPr bwMode="auto">
                    <a:xfrm>
                      <a:off x="0" y="0"/>
                      <a:ext cx="3134995" cy="1731645"/>
                    </a:xfrm>
                    <a:prstGeom prst="rect">
                      <a:avLst/>
                    </a:prstGeom>
                    <a:noFill/>
                    <a:ln w="9525">
                      <a:noFill/>
                      <a:miter lim="800000"/>
                      <a:headEnd/>
                      <a:tailEnd/>
                    </a:ln>
                  </pic:spPr>
                </pic:pic>
              </a:graphicData>
            </a:graphic>
          </wp:inline>
        </w:drawing>
      </w:r>
    </w:p>
    <w:p w14:paraId="22126BCA" w14:textId="77777777" w:rsidR="00C16F72" w:rsidRPr="004F4117" w:rsidRDefault="00C16F72" w:rsidP="00993408">
      <w:pPr>
        <w:rPr>
          <w:highlight w:val="yellow"/>
        </w:rPr>
      </w:pPr>
    </w:p>
    <w:p w14:paraId="37BDD683" w14:textId="401E071C" w:rsidR="00B01126" w:rsidRPr="009318B4" w:rsidRDefault="00B01126" w:rsidP="00BD50C3">
      <w:pPr>
        <w:pStyle w:val="Titul"/>
      </w:pPr>
      <w:r w:rsidRPr="00481EBD">
        <w:t>STŘEDNĚDOBÝ VÝHLED ROZPOČTU</w:t>
      </w:r>
      <w:r w:rsidRPr="00481EBD">
        <w:br/>
      </w:r>
      <w:r w:rsidR="003B0A3C" w:rsidRPr="00481EBD">
        <w:rPr>
          <w:caps/>
        </w:rPr>
        <w:t xml:space="preserve">Statutárního </w:t>
      </w:r>
      <w:r w:rsidR="005002CF" w:rsidRPr="00481EBD">
        <w:rPr>
          <w:caps/>
        </w:rPr>
        <w:t xml:space="preserve">MĚSTA </w:t>
      </w:r>
      <w:r w:rsidR="00E77FC3" w:rsidRPr="00481EBD">
        <w:rPr>
          <w:caps/>
        </w:rPr>
        <w:t>Chomutov</w:t>
      </w:r>
      <w:r w:rsidRPr="00481EBD">
        <w:rPr>
          <w:caps/>
        </w:rPr>
        <w:t xml:space="preserve"> </w:t>
      </w:r>
      <w:r w:rsidRPr="00481EBD">
        <w:rPr>
          <w:caps/>
        </w:rPr>
        <w:br/>
      </w:r>
      <w:proofErr w:type="gramStart"/>
      <w:r w:rsidR="00E77FC3" w:rsidRPr="00481EBD">
        <w:t>202</w:t>
      </w:r>
      <w:r w:rsidR="003503AC">
        <w:t>5</w:t>
      </w:r>
      <w:r w:rsidRPr="00481EBD">
        <w:t xml:space="preserve"> – </w:t>
      </w:r>
      <w:r w:rsidR="00E77FC3" w:rsidRPr="00481EBD">
        <w:t>2029</w:t>
      </w:r>
      <w:proofErr w:type="gramEnd"/>
    </w:p>
    <w:p w14:paraId="08DB26ED" w14:textId="77777777" w:rsidR="00B01126" w:rsidRPr="004F4117" w:rsidRDefault="00B01126" w:rsidP="00993408">
      <w:pPr>
        <w:rPr>
          <w:highlight w:val="yellow"/>
        </w:rPr>
      </w:pPr>
    </w:p>
    <w:p w14:paraId="5A710293" w14:textId="77777777" w:rsidR="00B01126" w:rsidRPr="004F4117" w:rsidRDefault="00B01126" w:rsidP="00993408">
      <w:pPr>
        <w:rPr>
          <w:highlight w:val="yellow"/>
        </w:rPr>
      </w:pPr>
    </w:p>
    <w:p w14:paraId="3C7CAF3F" w14:textId="77777777" w:rsidR="00B01126" w:rsidRPr="004F4117" w:rsidRDefault="00B01126" w:rsidP="00993408">
      <w:pPr>
        <w:rPr>
          <w:highlight w:val="yellow"/>
        </w:rPr>
      </w:pPr>
    </w:p>
    <w:p w14:paraId="165BE8AB" w14:textId="787A6317" w:rsidR="00B01126" w:rsidRPr="00D518C8" w:rsidRDefault="00D518C8" w:rsidP="00E13835">
      <w:pPr>
        <w:pStyle w:val="altNadpis1"/>
      </w:pPr>
      <w:r w:rsidRPr="00D518C8">
        <w:t>B1</w:t>
      </w:r>
      <w:r w:rsidR="00B01126" w:rsidRPr="00D518C8">
        <w:t>/AQE</w:t>
      </w:r>
    </w:p>
    <w:p w14:paraId="2A9659F4" w14:textId="376935AD" w:rsidR="00C35808" w:rsidRPr="00D518C8" w:rsidRDefault="00D518C8" w:rsidP="00993408">
      <w:r w:rsidRPr="00D518C8">
        <w:t>Dostatečná schopnost dostát finančním závazkům, subjekt díky změněné ekonomické situaci může mít nižší schopnost splácet své závazky.</w:t>
      </w:r>
    </w:p>
    <w:p w14:paraId="733A12A6" w14:textId="77777777" w:rsidR="00D518C8" w:rsidRPr="00D518C8" w:rsidRDefault="00D518C8" w:rsidP="00993408"/>
    <w:p w14:paraId="65059DD6" w14:textId="77777777" w:rsidR="00B01126" w:rsidRPr="00D518C8" w:rsidRDefault="0052692C" w:rsidP="00E13835">
      <w:pPr>
        <w:pStyle w:val="altNadpis1"/>
      </w:pPr>
      <w:r w:rsidRPr="00D518C8">
        <w:t xml:space="preserve">STR </w:t>
      </w:r>
      <w:r w:rsidR="00C35808" w:rsidRPr="00D518C8">
        <w:t>2</w:t>
      </w:r>
    </w:p>
    <w:p w14:paraId="2384FD6D" w14:textId="77777777" w:rsidR="00B01126" w:rsidRPr="00FB4E51" w:rsidRDefault="00C35808" w:rsidP="00993408">
      <w:r w:rsidRPr="00D518C8">
        <w:t>Velmi dobrý subjekt s vysokou schopností splácet své aktuální závazky</w:t>
      </w:r>
    </w:p>
    <w:p w14:paraId="3FFAFA8A" w14:textId="77777777" w:rsidR="00762B46" w:rsidRDefault="00762B46">
      <w:pPr>
        <w:spacing w:before="0" w:after="200"/>
        <w:jc w:val="left"/>
        <w:rPr>
          <w:rStyle w:val="Hypertextovodkaz"/>
          <w:b/>
          <w:color w:val="2E3192"/>
          <w:sz w:val="28"/>
          <w:szCs w:val="28"/>
          <w:u w:val="none"/>
        </w:rPr>
      </w:pPr>
      <w:r>
        <w:rPr>
          <w:rStyle w:val="Hypertextovodkaz"/>
          <w:color w:val="2E3192"/>
          <w:u w:val="none"/>
        </w:rPr>
        <w:br w:type="page"/>
      </w:r>
    </w:p>
    <w:p w14:paraId="1A6A65F7" w14:textId="77777777" w:rsidR="00BA310E" w:rsidRPr="00793D98" w:rsidRDefault="00BA310E" w:rsidP="00BD50C3">
      <w:pPr>
        <w:pStyle w:val="altNadpis1"/>
        <w:rPr>
          <w:rStyle w:val="Hypertextovodkaz"/>
          <w:color w:val="2E3192"/>
          <w:u w:val="none"/>
        </w:rPr>
      </w:pPr>
      <w:r w:rsidRPr="00A45FB1">
        <w:rPr>
          <w:rStyle w:val="Hypertextovodkaz"/>
          <w:color w:val="2E3192"/>
          <w:u w:val="none"/>
        </w:rPr>
        <w:lastRenderedPageBreak/>
        <w:t>Obsah</w:t>
      </w:r>
    </w:p>
    <w:p w14:paraId="7ED6626F" w14:textId="77777777" w:rsidR="00BA310E" w:rsidRPr="00793D98" w:rsidRDefault="00BA310E" w:rsidP="00993408"/>
    <w:p w14:paraId="3A66F294" w14:textId="713A5CEE" w:rsidR="00666B31" w:rsidRDefault="00DA3019">
      <w:pPr>
        <w:pStyle w:val="Obsah1"/>
        <w:rPr>
          <w:color w:val="auto"/>
          <w:szCs w:val="22"/>
          <w:lang w:eastAsia="cs-CZ"/>
        </w:rPr>
      </w:pPr>
      <w:r>
        <w:rPr>
          <w:rStyle w:val="Hypertextovodkaz"/>
          <w:color w:val="2E3192"/>
        </w:rPr>
        <w:fldChar w:fldCharType="begin"/>
      </w:r>
      <w:r>
        <w:rPr>
          <w:rStyle w:val="Hypertextovodkaz"/>
          <w:color w:val="2E3192"/>
        </w:rPr>
        <w:instrText xml:space="preserve"> TOC \o "1-2" \h \z \u </w:instrText>
      </w:r>
      <w:r>
        <w:rPr>
          <w:rStyle w:val="Hypertextovodkaz"/>
          <w:color w:val="2E3192"/>
        </w:rPr>
        <w:fldChar w:fldCharType="separate"/>
      </w:r>
      <w:hyperlink w:anchor="_Toc180650313" w:history="1">
        <w:r w:rsidR="00666B31" w:rsidRPr="004A214E">
          <w:rPr>
            <w:rStyle w:val="Hypertextovodkaz"/>
          </w:rPr>
          <w:t>Definice základních pojmů</w:t>
        </w:r>
        <w:r w:rsidR="00666B31">
          <w:rPr>
            <w:webHidden/>
          </w:rPr>
          <w:tab/>
        </w:r>
        <w:r w:rsidR="00666B31">
          <w:rPr>
            <w:webHidden/>
          </w:rPr>
          <w:fldChar w:fldCharType="begin"/>
        </w:r>
        <w:r w:rsidR="00666B31">
          <w:rPr>
            <w:webHidden/>
          </w:rPr>
          <w:instrText xml:space="preserve"> PAGEREF _Toc180650313 \h </w:instrText>
        </w:r>
        <w:r w:rsidR="00666B31">
          <w:rPr>
            <w:webHidden/>
          </w:rPr>
        </w:r>
        <w:r w:rsidR="00666B31">
          <w:rPr>
            <w:webHidden/>
          </w:rPr>
          <w:fldChar w:fldCharType="separate"/>
        </w:r>
        <w:r w:rsidR="00666B31">
          <w:rPr>
            <w:webHidden/>
          </w:rPr>
          <w:t>3</w:t>
        </w:r>
        <w:r w:rsidR="00666B31">
          <w:rPr>
            <w:webHidden/>
          </w:rPr>
          <w:fldChar w:fldCharType="end"/>
        </w:r>
      </w:hyperlink>
    </w:p>
    <w:p w14:paraId="1A74D8BB" w14:textId="54430039" w:rsidR="00666B31" w:rsidRDefault="002D4454">
      <w:pPr>
        <w:pStyle w:val="Obsah1"/>
        <w:rPr>
          <w:color w:val="auto"/>
          <w:szCs w:val="22"/>
          <w:lang w:eastAsia="cs-CZ"/>
        </w:rPr>
      </w:pPr>
      <w:hyperlink w:anchor="_Toc180650314" w:history="1">
        <w:r w:rsidR="00666B31" w:rsidRPr="004A214E">
          <w:rPr>
            <w:rStyle w:val="Hypertextovodkaz"/>
          </w:rPr>
          <w:t>Použité zkratky</w:t>
        </w:r>
        <w:r w:rsidR="00666B31">
          <w:rPr>
            <w:webHidden/>
          </w:rPr>
          <w:tab/>
        </w:r>
        <w:r w:rsidR="00666B31">
          <w:rPr>
            <w:webHidden/>
          </w:rPr>
          <w:fldChar w:fldCharType="begin"/>
        </w:r>
        <w:r w:rsidR="00666B31">
          <w:rPr>
            <w:webHidden/>
          </w:rPr>
          <w:instrText xml:space="preserve"> PAGEREF _Toc180650314 \h </w:instrText>
        </w:r>
        <w:r w:rsidR="00666B31">
          <w:rPr>
            <w:webHidden/>
          </w:rPr>
        </w:r>
        <w:r w:rsidR="00666B31">
          <w:rPr>
            <w:webHidden/>
          </w:rPr>
          <w:fldChar w:fldCharType="separate"/>
        </w:r>
        <w:r w:rsidR="00666B31">
          <w:rPr>
            <w:webHidden/>
          </w:rPr>
          <w:t>5</w:t>
        </w:r>
        <w:r w:rsidR="00666B31">
          <w:rPr>
            <w:webHidden/>
          </w:rPr>
          <w:fldChar w:fldCharType="end"/>
        </w:r>
      </w:hyperlink>
    </w:p>
    <w:p w14:paraId="0FAB43EB" w14:textId="6E34F64F" w:rsidR="00666B31" w:rsidRDefault="002D4454">
      <w:pPr>
        <w:pStyle w:val="Obsah1"/>
        <w:rPr>
          <w:color w:val="auto"/>
          <w:szCs w:val="22"/>
          <w:lang w:eastAsia="cs-CZ"/>
        </w:rPr>
      </w:pPr>
      <w:hyperlink w:anchor="_Toc180650315" w:history="1">
        <w:r w:rsidR="00666B31" w:rsidRPr="004A214E">
          <w:rPr>
            <w:rStyle w:val="Hypertextovodkaz"/>
          </w:rPr>
          <w:t>Úvod</w:t>
        </w:r>
        <w:r w:rsidR="00666B31">
          <w:rPr>
            <w:webHidden/>
          </w:rPr>
          <w:tab/>
        </w:r>
        <w:r w:rsidR="00666B31">
          <w:rPr>
            <w:webHidden/>
          </w:rPr>
          <w:fldChar w:fldCharType="begin"/>
        </w:r>
        <w:r w:rsidR="00666B31">
          <w:rPr>
            <w:webHidden/>
          </w:rPr>
          <w:instrText xml:space="preserve"> PAGEREF _Toc180650315 \h </w:instrText>
        </w:r>
        <w:r w:rsidR="00666B31">
          <w:rPr>
            <w:webHidden/>
          </w:rPr>
        </w:r>
        <w:r w:rsidR="00666B31">
          <w:rPr>
            <w:webHidden/>
          </w:rPr>
          <w:fldChar w:fldCharType="separate"/>
        </w:r>
        <w:r w:rsidR="00666B31">
          <w:rPr>
            <w:webHidden/>
          </w:rPr>
          <w:t>6</w:t>
        </w:r>
        <w:r w:rsidR="00666B31">
          <w:rPr>
            <w:webHidden/>
          </w:rPr>
          <w:fldChar w:fldCharType="end"/>
        </w:r>
      </w:hyperlink>
    </w:p>
    <w:p w14:paraId="38595AE0" w14:textId="369FF1AA" w:rsidR="00666B31" w:rsidRDefault="002D4454">
      <w:pPr>
        <w:pStyle w:val="Obsah1"/>
        <w:rPr>
          <w:color w:val="auto"/>
          <w:szCs w:val="22"/>
          <w:lang w:eastAsia="cs-CZ"/>
        </w:rPr>
      </w:pPr>
      <w:hyperlink w:anchor="_Toc180650316" w:history="1">
        <w:r w:rsidR="00666B31" w:rsidRPr="004A214E">
          <w:rPr>
            <w:rStyle w:val="Hypertextovodkaz"/>
          </w:rPr>
          <w:t>1</w:t>
        </w:r>
        <w:r w:rsidR="00666B31">
          <w:rPr>
            <w:color w:val="auto"/>
            <w:szCs w:val="22"/>
            <w:lang w:eastAsia="cs-CZ"/>
          </w:rPr>
          <w:tab/>
        </w:r>
        <w:r w:rsidR="00666B31" w:rsidRPr="004A214E">
          <w:rPr>
            <w:rStyle w:val="Hypertextovodkaz"/>
          </w:rPr>
          <w:t>Analýza hospodaření uplynulého období</w:t>
        </w:r>
        <w:r w:rsidR="00666B31">
          <w:rPr>
            <w:webHidden/>
          </w:rPr>
          <w:tab/>
        </w:r>
        <w:r w:rsidR="00666B31">
          <w:rPr>
            <w:webHidden/>
          </w:rPr>
          <w:fldChar w:fldCharType="begin"/>
        </w:r>
        <w:r w:rsidR="00666B31">
          <w:rPr>
            <w:webHidden/>
          </w:rPr>
          <w:instrText xml:space="preserve"> PAGEREF _Toc180650316 \h </w:instrText>
        </w:r>
        <w:r w:rsidR="00666B31">
          <w:rPr>
            <w:webHidden/>
          </w:rPr>
        </w:r>
        <w:r w:rsidR="00666B31">
          <w:rPr>
            <w:webHidden/>
          </w:rPr>
          <w:fldChar w:fldCharType="separate"/>
        </w:r>
        <w:r w:rsidR="00666B31">
          <w:rPr>
            <w:webHidden/>
          </w:rPr>
          <w:t>7</w:t>
        </w:r>
        <w:r w:rsidR="00666B31">
          <w:rPr>
            <w:webHidden/>
          </w:rPr>
          <w:fldChar w:fldCharType="end"/>
        </w:r>
      </w:hyperlink>
    </w:p>
    <w:p w14:paraId="5700084F" w14:textId="48AA0293" w:rsidR="00666B31" w:rsidRDefault="002D4454">
      <w:pPr>
        <w:pStyle w:val="Obsah2"/>
        <w:tabs>
          <w:tab w:val="left" w:pos="880"/>
        </w:tabs>
        <w:rPr>
          <w:noProof/>
          <w:color w:val="auto"/>
          <w:szCs w:val="22"/>
          <w:lang w:eastAsia="cs-CZ"/>
        </w:rPr>
      </w:pPr>
      <w:hyperlink w:anchor="_Toc180650317" w:history="1">
        <w:r w:rsidR="00666B31" w:rsidRPr="004A214E">
          <w:rPr>
            <w:rStyle w:val="Hypertextovodkaz"/>
            <w:noProof/>
          </w:rPr>
          <w:t>1.1</w:t>
        </w:r>
        <w:r w:rsidR="00666B31">
          <w:rPr>
            <w:noProof/>
            <w:color w:val="auto"/>
            <w:szCs w:val="22"/>
            <w:lang w:eastAsia="cs-CZ"/>
          </w:rPr>
          <w:tab/>
        </w:r>
        <w:r w:rsidR="00666B31" w:rsidRPr="004A214E">
          <w:rPr>
            <w:rStyle w:val="Hypertextovodkaz"/>
            <w:noProof/>
          </w:rPr>
          <w:t>Příjmy</w:t>
        </w:r>
        <w:r w:rsidR="00666B31">
          <w:rPr>
            <w:noProof/>
            <w:webHidden/>
          </w:rPr>
          <w:tab/>
        </w:r>
        <w:r w:rsidR="00666B31">
          <w:rPr>
            <w:noProof/>
            <w:webHidden/>
          </w:rPr>
          <w:fldChar w:fldCharType="begin"/>
        </w:r>
        <w:r w:rsidR="00666B31">
          <w:rPr>
            <w:noProof/>
            <w:webHidden/>
          </w:rPr>
          <w:instrText xml:space="preserve"> PAGEREF _Toc180650317 \h </w:instrText>
        </w:r>
        <w:r w:rsidR="00666B31">
          <w:rPr>
            <w:noProof/>
            <w:webHidden/>
          </w:rPr>
        </w:r>
        <w:r w:rsidR="00666B31">
          <w:rPr>
            <w:noProof/>
            <w:webHidden/>
          </w:rPr>
          <w:fldChar w:fldCharType="separate"/>
        </w:r>
        <w:r w:rsidR="00666B31">
          <w:rPr>
            <w:noProof/>
            <w:webHidden/>
          </w:rPr>
          <w:t>7</w:t>
        </w:r>
        <w:r w:rsidR="00666B31">
          <w:rPr>
            <w:noProof/>
            <w:webHidden/>
          </w:rPr>
          <w:fldChar w:fldCharType="end"/>
        </w:r>
      </w:hyperlink>
    </w:p>
    <w:p w14:paraId="374B9CBC" w14:textId="54C84F93" w:rsidR="00666B31" w:rsidRDefault="002D4454">
      <w:pPr>
        <w:pStyle w:val="Obsah2"/>
        <w:tabs>
          <w:tab w:val="left" w:pos="880"/>
        </w:tabs>
        <w:rPr>
          <w:noProof/>
          <w:color w:val="auto"/>
          <w:szCs w:val="22"/>
          <w:lang w:eastAsia="cs-CZ"/>
        </w:rPr>
      </w:pPr>
      <w:hyperlink w:anchor="_Toc180650318" w:history="1">
        <w:r w:rsidR="00666B31" w:rsidRPr="004A214E">
          <w:rPr>
            <w:rStyle w:val="Hypertextovodkaz"/>
            <w:noProof/>
          </w:rPr>
          <w:t>1.2</w:t>
        </w:r>
        <w:r w:rsidR="00666B31">
          <w:rPr>
            <w:noProof/>
            <w:color w:val="auto"/>
            <w:szCs w:val="22"/>
            <w:lang w:eastAsia="cs-CZ"/>
          </w:rPr>
          <w:tab/>
        </w:r>
        <w:r w:rsidR="00666B31" w:rsidRPr="004A214E">
          <w:rPr>
            <w:rStyle w:val="Hypertextovodkaz"/>
            <w:noProof/>
          </w:rPr>
          <w:t>Výdaje</w:t>
        </w:r>
        <w:r w:rsidR="00666B31">
          <w:rPr>
            <w:noProof/>
            <w:webHidden/>
          </w:rPr>
          <w:tab/>
        </w:r>
        <w:r w:rsidR="00666B31">
          <w:rPr>
            <w:noProof/>
            <w:webHidden/>
          </w:rPr>
          <w:fldChar w:fldCharType="begin"/>
        </w:r>
        <w:r w:rsidR="00666B31">
          <w:rPr>
            <w:noProof/>
            <w:webHidden/>
          </w:rPr>
          <w:instrText xml:space="preserve"> PAGEREF _Toc180650318 \h </w:instrText>
        </w:r>
        <w:r w:rsidR="00666B31">
          <w:rPr>
            <w:noProof/>
            <w:webHidden/>
          </w:rPr>
        </w:r>
        <w:r w:rsidR="00666B31">
          <w:rPr>
            <w:noProof/>
            <w:webHidden/>
          </w:rPr>
          <w:fldChar w:fldCharType="separate"/>
        </w:r>
        <w:r w:rsidR="00666B31">
          <w:rPr>
            <w:noProof/>
            <w:webHidden/>
          </w:rPr>
          <w:t>12</w:t>
        </w:r>
        <w:r w:rsidR="00666B31">
          <w:rPr>
            <w:noProof/>
            <w:webHidden/>
          </w:rPr>
          <w:fldChar w:fldCharType="end"/>
        </w:r>
      </w:hyperlink>
    </w:p>
    <w:p w14:paraId="6AC8B08F" w14:textId="23F65900" w:rsidR="00666B31" w:rsidRDefault="002D4454">
      <w:pPr>
        <w:pStyle w:val="Obsah2"/>
        <w:tabs>
          <w:tab w:val="left" w:pos="880"/>
        </w:tabs>
        <w:rPr>
          <w:noProof/>
          <w:color w:val="auto"/>
          <w:szCs w:val="22"/>
          <w:lang w:eastAsia="cs-CZ"/>
        </w:rPr>
      </w:pPr>
      <w:hyperlink w:anchor="_Toc180650319" w:history="1">
        <w:r w:rsidR="00666B31" w:rsidRPr="004A214E">
          <w:rPr>
            <w:rStyle w:val="Hypertextovodkaz"/>
            <w:noProof/>
          </w:rPr>
          <w:t>1.3</w:t>
        </w:r>
        <w:r w:rsidR="00666B31">
          <w:rPr>
            <w:noProof/>
            <w:color w:val="auto"/>
            <w:szCs w:val="22"/>
            <w:lang w:eastAsia="cs-CZ"/>
          </w:rPr>
          <w:tab/>
        </w:r>
        <w:r w:rsidR="00666B31" w:rsidRPr="004A214E">
          <w:rPr>
            <w:rStyle w:val="Hypertextovodkaz"/>
            <w:noProof/>
          </w:rPr>
          <w:t>Hospodaření</w:t>
        </w:r>
        <w:r w:rsidR="00666B31">
          <w:rPr>
            <w:noProof/>
            <w:webHidden/>
          </w:rPr>
          <w:tab/>
        </w:r>
        <w:r w:rsidR="00666B31">
          <w:rPr>
            <w:noProof/>
            <w:webHidden/>
          </w:rPr>
          <w:fldChar w:fldCharType="begin"/>
        </w:r>
        <w:r w:rsidR="00666B31">
          <w:rPr>
            <w:noProof/>
            <w:webHidden/>
          </w:rPr>
          <w:instrText xml:space="preserve"> PAGEREF _Toc180650319 \h </w:instrText>
        </w:r>
        <w:r w:rsidR="00666B31">
          <w:rPr>
            <w:noProof/>
            <w:webHidden/>
          </w:rPr>
        </w:r>
        <w:r w:rsidR="00666B31">
          <w:rPr>
            <w:noProof/>
            <w:webHidden/>
          </w:rPr>
          <w:fldChar w:fldCharType="separate"/>
        </w:r>
        <w:r w:rsidR="00666B31">
          <w:rPr>
            <w:noProof/>
            <w:webHidden/>
          </w:rPr>
          <w:t>15</w:t>
        </w:r>
        <w:r w:rsidR="00666B31">
          <w:rPr>
            <w:noProof/>
            <w:webHidden/>
          </w:rPr>
          <w:fldChar w:fldCharType="end"/>
        </w:r>
      </w:hyperlink>
    </w:p>
    <w:p w14:paraId="302A5D1B" w14:textId="7F951078" w:rsidR="00666B31" w:rsidRDefault="002D4454">
      <w:pPr>
        <w:pStyle w:val="Obsah2"/>
        <w:tabs>
          <w:tab w:val="left" w:pos="880"/>
        </w:tabs>
        <w:rPr>
          <w:noProof/>
          <w:color w:val="auto"/>
          <w:szCs w:val="22"/>
          <w:lang w:eastAsia="cs-CZ"/>
        </w:rPr>
      </w:pPr>
      <w:hyperlink w:anchor="_Toc180650320" w:history="1">
        <w:r w:rsidR="00666B31" w:rsidRPr="004A214E">
          <w:rPr>
            <w:rStyle w:val="Hypertextovodkaz"/>
            <w:noProof/>
          </w:rPr>
          <w:t>1.4</w:t>
        </w:r>
        <w:r w:rsidR="00666B31">
          <w:rPr>
            <w:noProof/>
            <w:color w:val="auto"/>
            <w:szCs w:val="22"/>
            <w:lang w:eastAsia="cs-CZ"/>
          </w:rPr>
          <w:tab/>
        </w:r>
        <w:r w:rsidR="00666B31" w:rsidRPr="004A214E">
          <w:rPr>
            <w:rStyle w:val="Hypertextovodkaz"/>
            <w:noProof/>
          </w:rPr>
          <w:t>Monitoring hospodaření</w:t>
        </w:r>
        <w:r w:rsidR="00666B31">
          <w:rPr>
            <w:noProof/>
            <w:webHidden/>
          </w:rPr>
          <w:tab/>
        </w:r>
        <w:r w:rsidR="00666B31">
          <w:rPr>
            <w:noProof/>
            <w:webHidden/>
          </w:rPr>
          <w:fldChar w:fldCharType="begin"/>
        </w:r>
        <w:r w:rsidR="00666B31">
          <w:rPr>
            <w:noProof/>
            <w:webHidden/>
          </w:rPr>
          <w:instrText xml:space="preserve"> PAGEREF _Toc180650320 \h </w:instrText>
        </w:r>
        <w:r w:rsidR="00666B31">
          <w:rPr>
            <w:noProof/>
            <w:webHidden/>
          </w:rPr>
        </w:r>
        <w:r w:rsidR="00666B31">
          <w:rPr>
            <w:noProof/>
            <w:webHidden/>
          </w:rPr>
          <w:fldChar w:fldCharType="separate"/>
        </w:r>
        <w:r w:rsidR="00666B31">
          <w:rPr>
            <w:noProof/>
            <w:webHidden/>
          </w:rPr>
          <w:t>20</w:t>
        </w:r>
        <w:r w:rsidR="00666B31">
          <w:rPr>
            <w:noProof/>
            <w:webHidden/>
          </w:rPr>
          <w:fldChar w:fldCharType="end"/>
        </w:r>
      </w:hyperlink>
    </w:p>
    <w:p w14:paraId="644291B9" w14:textId="7715E057" w:rsidR="00666B31" w:rsidRDefault="002D4454">
      <w:pPr>
        <w:pStyle w:val="Obsah2"/>
        <w:tabs>
          <w:tab w:val="left" w:pos="880"/>
        </w:tabs>
        <w:rPr>
          <w:noProof/>
          <w:color w:val="auto"/>
          <w:szCs w:val="22"/>
          <w:lang w:eastAsia="cs-CZ"/>
        </w:rPr>
      </w:pPr>
      <w:hyperlink w:anchor="_Toc180650321" w:history="1">
        <w:r w:rsidR="00666B31" w:rsidRPr="004A214E">
          <w:rPr>
            <w:rStyle w:val="Hypertextovodkaz"/>
            <w:noProof/>
          </w:rPr>
          <w:t>1.5</w:t>
        </w:r>
        <w:r w:rsidR="00666B31">
          <w:rPr>
            <w:noProof/>
            <w:color w:val="auto"/>
            <w:szCs w:val="22"/>
            <w:lang w:eastAsia="cs-CZ"/>
          </w:rPr>
          <w:tab/>
        </w:r>
        <w:r w:rsidR="00666B31" w:rsidRPr="004A214E">
          <w:rPr>
            <w:rStyle w:val="Hypertextovodkaz"/>
            <w:noProof/>
          </w:rPr>
          <w:t>Analýza cash flow</w:t>
        </w:r>
        <w:r w:rsidR="00666B31">
          <w:rPr>
            <w:noProof/>
            <w:webHidden/>
          </w:rPr>
          <w:tab/>
        </w:r>
        <w:r w:rsidR="00666B31">
          <w:rPr>
            <w:noProof/>
            <w:webHidden/>
          </w:rPr>
          <w:fldChar w:fldCharType="begin"/>
        </w:r>
        <w:r w:rsidR="00666B31">
          <w:rPr>
            <w:noProof/>
            <w:webHidden/>
          </w:rPr>
          <w:instrText xml:space="preserve"> PAGEREF _Toc180650321 \h </w:instrText>
        </w:r>
        <w:r w:rsidR="00666B31">
          <w:rPr>
            <w:noProof/>
            <w:webHidden/>
          </w:rPr>
        </w:r>
        <w:r w:rsidR="00666B31">
          <w:rPr>
            <w:noProof/>
            <w:webHidden/>
          </w:rPr>
          <w:fldChar w:fldCharType="separate"/>
        </w:r>
        <w:r w:rsidR="00666B31">
          <w:rPr>
            <w:noProof/>
            <w:webHidden/>
          </w:rPr>
          <w:t>21</w:t>
        </w:r>
        <w:r w:rsidR="00666B31">
          <w:rPr>
            <w:noProof/>
            <w:webHidden/>
          </w:rPr>
          <w:fldChar w:fldCharType="end"/>
        </w:r>
      </w:hyperlink>
    </w:p>
    <w:p w14:paraId="68DD59E5" w14:textId="1C7C24C4" w:rsidR="00666B31" w:rsidRDefault="002D4454">
      <w:pPr>
        <w:pStyle w:val="Obsah2"/>
        <w:tabs>
          <w:tab w:val="left" w:pos="880"/>
        </w:tabs>
        <w:rPr>
          <w:noProof/>
          <w:color w:val="auto"/>
          <w:szCs w:val="22"/>
          <w:lang w:eastAsia="cs-CZ"/>
        </w:rPr>
      </w:pPr>
      <w:hyperlink w:anchor="_Toc180650322" w:history="1">
        <w:r w:rsidR="00666B31" w:rsidRPr="004A214E">
          <w:rPr>
            <w:rStyle w:val="Hypertextovodkaz"/>
            <w:noProof/>
          </w:rPr>
          <w:t>1.6</w:t>
        </w:r>
        <w:r w:rsidR="00666B31">
          <w:rPr>
            <w:noProof/>
            <w:color w:val="auto"/>
            <w:szCs w:val="22"/>
            <w:lang w:eastAsia="cs-CZ"/>
          </w:rPr>
          <w:tab/>
        </w:r>
        <w:r w:rsidR="00666B31" w:rsidRPr="004A214E">
          <w:rPr>
            <w:rStyle w:val="Hypertextovodkaz"/>
            <w:noProof/>
          </w:rPr>
          <w:t>Závěry analýzy hospodaření</w:t>
        </w:r>
        <w:r w:rsidR="00666B31">
          <w:rPr>
            <w:noProof/>
            <w:webHidden/>
          </w:rPr>
          <w:tab/>
        </w:r>
        <w:r w:rsidR="00666B31">
          <w:rPr>
            <w:noProof/>
            <w:webHidden/>
          </w:rPr>
          <w:fldChar w:fldCharType="begin"/>
        </w:r>
        <w:r w:rsidR="00666B31">
          <w:rPr>
            <w:noProof/>
            <w:webHidden/>
          </w:rPr>
          <w:instrText xml:space="preserve"> PAGEREF _Toc180650322 \h </w:instrText>
        </w:r>
        <w:r w:rsidR="00666B31">
          <w:rPr>
            <w:noProof/>
            <w:webHidden/>
          </w:rPr>
        </w:r>
        <w:r w:rsidR="00666B31">
          <w:rPr>
            <w:noProof/>
            <w:webHidden/>
          </w:rPr>
          <w:fldChar w:fldCharType="separate"/>
        </w:r>
        <w:r w:rsidR="00666B31">
          <w:rPr>
            <w:noProof/>
            <w:webHidden/>
          </w:rPr>
          <w:t>23</w:t>
        </w:r>
        <w:r w:rsidR="00666B31">
          <w:rPr>
            <w:noProof/>
            <w:webHidden/>
          </w:rPr>
          <w:fldChar w:fldCharType="end"/>
        </w:r>
      </w:hyperlink>
    </w:p>
    <w:p w14:paraId="0ECE916B" w14:textId="461FC817" w:rsidR="00666B31" w:rsidRDefault="002D4454">
      <w:pPr>
        <w:pStyle w:val="Obsah1"/>
        <w:rPr>
          <w:color w:val="auto"/>
          <w:szCs w:val="22"/>
          <w:lang w:eastAsia="cs-CZ"/>
        </w:rPr>
      </w:pPr>
      <w:hyperlink w:anchor="_Toc180650323" w:history="1">
        <w:r w:rsidR="00666B31" w:rsidRPr="004A214E">
          <w:rPr>
            <w:rStyle w:val="Hypertextovodkaz"/>
          </w:rPr>
          <w:t>2</w:t>
        </w:r>
        <w:r w:rsidR="00666B31">
          <w:rPr>
            <w:color w:val="auto"/>
            <w:szCs w:val="22"/>
            <w:lang w:eastAsia="cs-CZ"/>
          </w:rPr>
          <w:tab/>
        </w:r>
        <w:r w:rsidR="00666B31" w:rsidRPr="004A214E">
          <w:rPr>
            <w:rStyle w:val="Hypertextovodkaz"/>
          </w:rPr>
          <w:t>Střednědobý výhled rozpočtu</w:t>
        </w:r>
        <w:r w:rsidR="00666B31">
          <w:rPr>
            <w:webHidden/>
          </w:rPr>
          <w:tab/>
        </w:r>
        <w:r w:rsidR="00666B31">
          <w:rPr>
            <w:webHidden/>
          </w:rPr>
          <w:fldChar w:fldCharType="begin"/>
        </w:r>
        <w:r w:rsidR="00666B31">
          <w:rPr>
            <w:webHidden/>
          </w:rPr>
          <w:instrText xml:space="preserve"> PAGEREF _Toc180650323 \h </w:instrText>
        </w:r>
        <w:r w:rsidR="00666B31">
          <w:rPr>
            <w:webHidden/>
          </w:rPr>
        </w:r>
        <w:r w:rsidR="00666B31">
          <w:rPr>
            <w:webHidden/>
          </w:rPr>
          <w:fldChar w:fldCharType="separate"/>
        </w:r>
        <w:r w:rsidR="00666B31">
          <w:rPr>
            <w:webHidden/>
          </w:rPr>
          <w:t>25</w:t>
        </w:r>
        <w:r w:rsidR="00666B31">
          <w:rPr>
            <w:webHidden/>
          </w:rPr>
          <w:fldChar w:fldCharType="end"/>
        </w:r>
      </w:hyperlink>
    </w:p>
    <w:p w14:paraId="25AD6694" w14:textId="07BCCD04" w:rsidR="00666B31" w:rsidRDefault="002D4454">
      <w:pPr>
        <w:pStyle w:val="Obsah2"/>
        <w:tabs>
          <w:tab w:val="left" w:pos="880"/>
        </w:tabs>
        <w:rPr>
          <w:noProof/>
          <w:color w:val="auto"/>
          <w:szCs w:val="22"/>
          <w:lang w:eastAsia="cs-CZ"/>
        </w:rPr>
      </w:pPr>
      <w:hyperlink w:anchor="_Toc180650324" w:history="1">
        <w:r w:rsidR="00666B31" w:rsidRPr="004A214E">
          <w:rPr>
            <w:rStyle w:val="Hypertextovodkaz"/>
            <w:noProof/>
          </w:rPr>
          <w:t>2.1</w:t>
        </w:r>
        <w:r w:rsidR="00666B31">
          <w:rPr>
            <w:noProof/>
            <w:color w:val="auto"/>
            <w:szCs w:val="22"/>
            <w:lang w:eastAsia="cs-CZ"/>
          </w:rPr>
          <w:tab/>
        </w:r>
        <w:r w:rsidR="00666B31" w:rsidRPr="004A214E">
          <w:rPr>
            <w:rStyle w:val="Hypertextovodkaz"/>
            <w:noProof/>
          </w:rPr>
          <w:t>Provozní hospodaření výhledového období</w:t>
        </w:r>
        <w:r w:rsidR="00666B31">
          <w:rPr>
            <w:noProof/>
            <w:webHidden/>
          </w:rPr>
          <w:tab/>
        </w:r>
        <w:r w:rsidR="00666B31">
          <w:rPr>
            <w:noProof/>
            <w:webHidden/>
          </w:rPr>
          <w:fldChar w:fldCharType="begin"/>
        </w:r>
        <w:r w:rsidR="00666B31">
          <w:rPr>
            <w:noProof/>
            <w:webHidden/>
          </w:rPr>
          <w:instrText xml:space="preserve"> PAGEREF _Toc180650324 \h </w:instrText>
        </w:r>
        <w:r w:rsidR="00666B31">
          <w:rPr>
            <w:noProof/>
            <w:webHidden/>
          </w:rPr>
        </w:r>
        <w:r w:rsidR="00666B31">
          <w:rPr>
            <w:noProof/>
            <w:webHidden/>
          </w:rPr>
          <w:fldChar w:fldCharType="separate"/>
        </w:r>
        <w:r w:rsidR="00666B31">
          <w:rPr>
            <w:noProof/>
            <w:webHidden/>
          </w:rPr>
          <w:t>25</w:t>
        </w:r>
        <w:r w:rsidR="00666B31">
          <w:rPr>
            <w:noProof/>
            <w:webHidden/>
          </w:rPr>
          <w:fldChar w:fldCharType="end"/>
        </w:r>
      </w:hyperlink>
    </w:p>
    <w:p w14:paraId="0844F1CB" w14:textId="7E597027" w:rsidR="00666B31" w:rsidRDefault="002D4454">
      <w:pPr>
        <w:pStyle w:val="Obsah2"/>
        <w:tabs>
          <w:tab w:val="left" w:pos="880"/>
        </w:tabs>
        <w:rPr>
          <w:noProof/>
          <w:color w:val="auto"/>
          <w:szCs w:val="22"/>
          <w:lang w:eastAsia="cs-CZ"/>
        </w:rPr>
      </w:pPr>
      <w:hyperlink w:anchor="_Toc180650325" w:history="1">
        <w:r w:rsidR="00666B31" w:rsidRPr="004A214E">
          <w:rPr>
            <w:rStyle w:val="Hypertextovodkaz"/>
            <w:noProof/>
          </w:rPr>
          <w:t>2.2</w:t>
        </w:r>
        <w:r w:rsidR="00666B31">
          <w:rPr>
            <w:noProof/>
            <w:color w:val="auto"/>
            <w:szCs w:val="22"/>
            <w:lang w:eastAsia="cs-CZ"/>
          </w:rPr>
          <w:tab/>
        </w:r>
        <w:r w:rsidR="00666B31" w:rsidRPr="004A214E">
          <w:rPr>
            <w:rStyle w:val="Hypertextovodkaz"/>
            <w:noProof/>
          </w:rPr>
          <w:t>Kapitálové hospodaření výhledového období</w:t>
        </w:r>
        <w:r w:rsidR="00666B31">
          <w:rPr>
            <w:noProof/>
            <w:webHidden/>
          </w:rPr>
          <w:tab/>
        </w:r>
        <w:r w:rsidR="00666B31">
          <w:rPr>
            <w:noProof/>
            <w:webHidden/>
          </w:rPr>
          <w:fldChar w:fldCharType="begin"/>
        </w:r>
        <w:r w:rsidR="00666B31">
          <w:rPr>
            <w:noProof/>
            <w:webHidden/>
          </w:rPr>
          <w:instrText xml:space="preserve"> PAGEREF _Toc180650325 \h </w:instrText>
        </w:r>
        <w:r w:rsidR="00666B31">
          <w:rPr>
            <w:noProof/>
            <w:webHidden/>
          </w:rPr>
        </w:r>
        <w:r w:rsidR="00666B31">
          <w:rPr>
            <w:noProof/>
            <w:webHidden/>
          </w:rPr>
          <w:fldChar w:fldCharType="separate"/>
        </w:r>
        <w:r w:rsidR="00666B31">
          <w:rPr>
            <w:noProof/>
            <w:webHidden/>
          </w:rPr>
          <w:t>27</w:t>
        </w:r>
        <w:r w:rsidR="00666B31">
          <w:rPr>
            <w:noProof/>
            <w:webHidden/>
          </w:rPr>
          <w:fldChar w:fldCharType="end"/>
        </w:r>
      </w:hyperlink>
    </w:p>
    <w:p w14:paraId="57FCAACC" w14:textId="256DC059" w:rsidR="00666B31" w:rsidRDefault="002D4454">
      <w:pPr>
        <w:pStyle w:val="Obsah2"/>
        <w:tabs>
          <w:tab w:val="left" w:pos="880"/>
        </w:tabs>
        <w:rPr>
          <w:noProof/>
          <w:color w:val="auto"/>
          <w:szCs w:val="22"/>
          <w:lang w:eastAsia="cs-CZ"/>
        </w:rPr>
      </w:pPr>
      <w:hyperlink w:anchor="_Toc180650326" w:history="1">
        <w:r w:rsidR="00666B31" w:rsidRPr="004A214E">
          <w:rPr>
            <w:rStyle w:val="Hypertextovodkaz"/>
            <w:noProof/>
          </w:rPr>
          <w:t>2.3</w:t>
        </w:r>
        <w:r w:rsidR="00666B31">
          <w:rPr>
            <w:noProof/>
            <w:color w:val="auto"/>
            <w:szCs w:val="22"/>
            <w:lang w:eastAsia="cs-CZ"/>
          </w:rPr>
          <w:tab/>
        </w:r>
        <w:r w:rsidR="00666B31" w:rsidRPr="004A214E">
          <w:rPr>
            <w:rStyle w:val="Hypertextovodkaz"/>
            <w:noProof/>
          </w:rPr>
          <w:t>Celkové hospodaření výhledového období</w:t>
        </w:r>
        <w:r w:rsidR="00666B31">
          <w:rPr>
            <w:noProof/>
            <w:webHidden/>
          </w:rPr>
          <w:tab/>
        </w:r>
        <w:r w:rsidR="00666B31">
          <w:rPr>
            <w:noProof/>
            <w:webHidden/>
          </w:rPr>
          <w:fldChar w:fldCharType="begin"/>
        </w:r>
        <w:r w:rsidR="00666B31">
          <w:rPr>
            <w:noProof/>
            <w:webHidden/>
          </w:rPr>
          <w:instrText xml:space="preserve"> PAGEREF _Toc180650326 \h </w:instrText>
        </w:r>
        <w:r w:rsidR="00666B31">
          <w:rPr>
            <w:noProof/>
            <w:webHidden/>
          </w:rPr>
        </w:r>
        <w:r w:rsidR="00666B31">
          <w:rPr>
            <w:noProof/>
            <w:webHidden/>
          </w:rPr>
          <w:fldChar w:fldCharType="separate"/>
        </w:r>
        <w:r w:rsidR="00666B31">
          <w:rPr>
            <w:noProof/>
            <w:webHidden/>
          </w:rPr>
          <w:t>28</w:t>
        </w:r>
        <w:r w:rsidR="00666B31">
          <w:rPr>
            <w:noProof/>
            <w:webHidden/>
          </w:rPr>
          <w:fldChar w:fldCharType="end"/>
        </w:r>
      </w:hyperlink>
    </w:p>
    <w:p w14:paraId="13313AD7" w14:textId="3A81FA24" w:rsidR="00666B31" w:rsidRDefault="002D4454">
      <w:pPr>
        <w:pStyle w:val="Obsah2"/>
        <w:tabs>
          <w:tab w:val="left" w:pos="880"/>
        </w:tabs>
        <w:rPr>
          <w:noProof/>
          <w:color w:val="auto"/>
          <w:szCs w:val="22"/>
          <w:lang w:eastAsia="cs-CZ"/>
        </w:rPr>
      </w:pPr>
      <w:hyperlink w:anchor="_Toc180650327" w:history="1">
        <w:r w:rsidR="00666B31" w:rsidRPr="004A214E">
          <w:rPr>
            <w:rStyle w:val="Hypertextovodkaz"/>
            <w:noProof/>
          </w:rPr>
          <w:t>2.4</w:t>
        </w:r>
        <w:r w:rsidR="00666B31">
          <w:rPr>
            <w:noProof/>
            <w:color w:val="auto"/>
            <w:szCs w:val="22"/>
            <w:lang w:eastAsia="cs-CZ"/>
          </w:rPr>
          <w:tab/>
        </w:r>
        <w:r w:rsidR="00666B31" w:rsidRPr="004A214E">
          <w:rPr>
            <w:rStyle w:val="Hypertextovodkaz"/>
            <w:noProof/>
          </w:rPr>
          <w:t>Dluhová služba</w:t>
        </w:r>
        <w:r w:rsidR="00666B31">
          <w:rPr>
            <w:noProof/>
            <w:webHidden/>
          </w:rPr>
          <w:tab/>
        </w:r>
        <w:r w:rsidR="00666B31">
          <w:rPr>
            <w:noProof/>
            <w:webHidden/>
          </w:rPr>
          <w:fldChar w:fldCharType="begin"/>
        </w:r>
        <w:r w:rsidR="00666B31">
          <w:rPr>
            <w:noProof/>
            <w:webHidden/>
          </w:rPr>
          <w:instrText xml:space="preserve"> PAGEREF _Toc180650327 \h </w:instrText>
        </w:r>
        <w:r w:rsidR="00666B31">
          <w:rPr>
            <w:noProof/>
            <w:webHidden/>
          </w:rPr>
        </w:r>
        <w:r w:rsidR="00666B31">
          <w:rPr>
            <w:noProof/>
            <w:webHidden/>
          </w:rPr>
          <w:fldChar w:fldCharType="separate"/>
        </w:r>
        <w:r w:rsidR="00666B31">
          <w:rPr>
            <w:noProof/>
            <w:webHidden/>
          </w:rPr>
          <w:t>29</w:t>
        </w:r>
        <w:r w:rsidR="00666B31">
          <w:rPr>
            <w:noProof/>
            <w:webHidden/>
          </w:rPr>
          <w:fldChar w:fldCharType="end"/>
        </w:r>
      </w:hyperlink>
    </w:p>
    <w:p w14:paraId="62AAFEB4" w14:textId="1E1BB7EB" w:rsidR="00666B31" w:rsidRDefault="002D4454">
      <w:pPr>
        <w:pStyle w:val="Obsah2"/>
        <w:tabs>
          <w:tab w:val="left" w:pos="880"/>
        </w:tabs>
        <w:rPr>
          <w:noProof/>
          <w:color w:val="auto"/>
          <w:szCs w:val="22"/>
          <w:lang w:eastAsia="cs-CZ"/>
        </w:rPr>
      </w:pPr>
      <w:hyperlink w:anchor="_Toc180650328" w:history="1">
        <w:r w:rsidR="00666B31" w:rsidRPr="004A214E">
          <w:rPr>
            <w:rStyle w:val="Hypertextovodkaz"/>
            <w:noProof/>
          </w:rPr>
          <w:t>2.5</w:t>
        </w:r>
        <w:r w:rsidR="00666B31">
          <w:rPr>
            <w:noProof/>
            <w:color w:val="auto"/>
            <w:szCs w:val="22"/>
            <w:lang w:eastAsia="cs-CZ"/>
          </w:rPr>
          <w:tab/>
        </w:r>
        <w:r w:rsidR="00666B31" w:rsidRPr="004A214E">
          <w:rPr>
            <w:rStyle w:val="Hypertextovodkaz"/>
            <w:noProof/>
          </w:rPr>
          <w:t>Analýza zadlužení</w:t>
        </w:r>
        <w:r w:rsidR="00666B31">
          <w:rPr>
            <w:noProof/>
            <w:webHidden/>
          </w:rPr>
          <w:tab/>
        </w:r>
        <w:r w:rsidR="00666B31">
          <w:rPr>
            <w:noProof/>
            <w:webHidden/>
          </w:rPr>
          <w:fldChar w:fldCharType="begin"/>
        </w:r>
        <w:r w:rsidR="00666B31">
          <w:rPr>
            <w:noProof/>
            <w:webHidden/>
          </w:rPr>
          <w:instrText xml:space="preserve"> PAGEREF _Toc180650328 \h </w:instrText>
        </w:r>
        <w:r w:rsidR="00666B31">
          <w:rPr>
            <w:noProof/>
            <w:webHidden/>
          </w:rPr>
        </w:r>
        <w:r w:rsidR="00666B31">
          <w:rPr>
            <w:noProof/>
            <w:webHidden/>
          </w:rPr>
          <w:fldChar w:fldCharType="separate"/>
        </w:r>
        <w:r w:rsidR="00666B31">
          <w:rPr>
            <w:noProof/>
            <w:webHidden/>
          </w:rPr>
          <w:t>30</w:t>
        </w:r>
        <w:r w:rsidR="00666B31">
          <w:rPr>
            <w:noProof/>
            <w:webHidden/>
          </w:rPr>
          <w:fldChar w:fldCharType="end"/>
        </w:r>
      </w:hyperlink>
    </w:p>
    <w:p w14:paraId="54FA2CDC" w14:textId="2A4C702A" w:rsidR="00666B31" w:rsidRDefault="002D4454">
      <w:pPr>
        <w:pStyle w:val="Obsah1"/>
        <w:rPr>
          <w:color w:val="auto"/>
          <w:szCs w:val="22"/>
          <w:lang w:eastAsia="cs-CZ"/>
        </w:rPr>
      </w:pPr>
      <w:hyperlink w:anchor="_Toc180650329" w:history="1">
        <w:r w:rsidR="00666B31" w:rsidRPr="004A214E">
          <w:rPr>
            <w:rStyle w:val="Hypertextovodkaz"/>
          </w:rPr>
          <w:t>3</w:t>
        </w:r>
        <w:r w:rsidR="00666B31">
          <w:rPr>
            <w:color w:val="auto"/>
            <w:szCs w:val="22"/>
            <w:lang w:eastAsia="cs-CZ"/>
          </w:rPr>
          <w:tab/>
        </w:r>
        <w:r w:rsidR="00666B31" w:rsidRPr="004A214E">
          <w:rPr>
            <w:rStyle w:val="Hypertextovodkaz"/>
          </w:rPr>
          <w:t>Ekonomické hodnocení</w:t>
        </w:r>
        <w:r w:rsidR="00666B31">
          <w:rPr>
            <w:webHidden/>
          </w:rPr>
          <w:tab/>
        </w:r>
        <w:r w:rsidR="00666B31">
          <w:rPr>
            <w:webHidden/>
          </w:rPr>
          <w:fldChar w:fldCharType="begin"/>
        </w:r>
        <w:r w:rsidR="00666B31">
          <w:rPr>
            <w:webHidden/>
          </w:rPr>
          <w:instrText xml:space="preserve"> PAGEREF _Toc180650329 \h </w:instrText>
        </w:r>
        <w:r w:rsidR="00666B31">
          <w:rPr>
            <w:webHidden/>
          </w:rPr>
        </w:r>
        <w:r w:rsidR="00666B31">
          <w:rPr>
            <w:webHidden/>
          </w:rPr>
          <w:fldChar w:fldCharType="separate"/>
        </w:r>
        <w:r w:rsidR="00666B31">
          <w:rPr>
            <w:webHidden/>
          </w:rPr>
          <w:t>32</w:t>
        </w:r>
        <w:r w:rsidR="00666B31">
          <w:rPr>
            <w:webHidden/>
          </w:rPr>
          <w:fldChar w:fldCharType="end"/>
        </w:r>
      </w:hyperlink>
    </w:p>
    <w:p w14:paraId="1C97DC39" w14:textId="6F14DC4D" w:rsidR="00666B31" w:rsidRDefault="002D4454">
      <w:pPr>
        <w:pStyle w:val="Obsah1"/>
        <w:rPr>
          <w:color w:val="auto"/>
          <w:szCs w:val="22"/>
          <w:lang w:eastAsia="cs-CZ"/>
        </w:rPr>
      </w:pPr>
      <w:hyperlink w:anchor="_Toc180650330" w:history="1">
        <w:r w:rsidR="00666B31" w:rsidRPr="004A214E">
          <w:rPr>
            <w:rStyle w:val="Hypertextovodkaz"/>
          </w:rPr>
          <w:t>Závěr</w:t>
        </w:r>
        <w:r w:rsidR="00666B31">
          <w:rPr>
            <w:webHidden/>
          </w:rPr>
          <w:tab/>
        </w:r>
        <w:r w:rsidR="00666B31">
          <w:rPr>
            <w:webHidden/>
          </w:rPr>
          <w:fldChar w:fldCharType="begin"/>
        </w:r>
        <w:r w:rsidR="00666B31">
          <w:rPr>
            <w:webHidden/>
          </w:rPr>
          <w:instrText xml:space="preserve"> PAGEREF _Toc180650330 \h </w:instrText>
        </w:r>
        <w:r w:rsidR="00666B31">
          <w:rPr>
            <w:webHidden/>
          </w:rPr>
        </w:r>
        <w:r w:rsidR="00666B31">
          <w:rPr>
            <w:webHidden/>
          </w:rPr>
          <w:fldChar w:fldCharType="separate"/>
        </w:r>
        <w:r w:rsidR="00666B31">
          <w:rPr>
            <w:webHidden/>
          </w:rPr>
          <w:t>34</w:t>
        </w:r>
        <w:r w:rsidR="00666B31">
          <w:rPr>
            <w:webHidden/>
          </w:rPr>
          <w:fldChar w:fldCharType="end"/>
        </w:r>
      </w:hyperlink>
    </w:p>
    <w:p w14:paraId="08E84A8E" w14:textId="16303AD2" w:rsidR="00666B31" w:rsidRDefault="002D4454">
      <w:pPr>
        <w:pStyle w:val="Obsah1"/>
        <w:rPr>
          <w:color w:val="auto"/>
          <w:szCs w:val="22"/>
          <w:lang w:eastAsia="cs-CZ"/>
        </w:rPr>
      </w:pPr>
      <w:hyperlink w:anchor="_Toc180650331" w:history="1">
        <w:r w:rsidR="00666B31" w:rsidRPr="004A214E">
          <w:rPr>
            <w:rStyle w:val="Hypertextovodkaz"/>
          </w:rPr>
          <w:t>Seznam tabulek a grafů</w:t>
        </w:r>
        <w:r w:rsidR="00666B31">
          <w:rPr>
            <w:webHidden/>
          </w:rPr>
          <w:tab/>
        </w:r>
        <w:r w:rsidR="00666B31">
          <w:rPr>
            <w:webHidden/>
          </w:rPr>
          <w:fldChar w:fldCharType="begin"/>
        </w:r>
        <w:r w:rsidR="00666B31">
          <w:rPr>
            <w:webHidden/>
          </w:rPr>
          <w:instrText xml:space="preserve"> PAGEREF _Toc180650331 \h </w:instrText>
        </w:r>
        <w:r w:rsidR="00666B31">
          <w:rPr>
            <w:webHidden/>
          </w:rPr>
        </w:r>
        <w:r w:rsidR="00666B31">
          <w:rPr>
            <w:webHidden/>
          </w:rPr>
          <w:fldChar w:fldCharType="separate"/>
        </w:r>
        <w:r w:rsidR="00666B31">
          <w:rPr>
            <w:webHidden/>
          </w:rPr>
          <w:t>37</w:t>
        </w:r>
        <w:r w:rsidR="00666B31">
          <w:rPr>
            <w:webHidden/>
          </w:rPr>
          <w:fldChar w:fldCharType="end"/>
        </w:r>
      </w:hyperlink>
    </w:p>
    <w:p w14:paraId="5280E6E0" w14:textId="3AC0D547" w:rsidR="00666B31" w:rsidRDefault="002D4454">
      <w:pPr>
        <w:pStyle w:val="Obsah1"/>
        <w:rPr>
          <w:color w:val="auto"/>
          <w:szCs w:val="22"/>
          <w:lang w:eastAsia="cs-CZ"/>
        </w:rPr>
      </w:pPr>
      <w:hyperlink w:anchor="_Toc180650332" w:history="1">
        <w:r w:rsidR="00666B31" w:rsidRPr="004A214E">
          <w:rPr>
            <w:rStyle w:val="Hypertextovodkaz"/>
          </w:rPr>
          <w:t>Seznam příloh</w:t>
        </w:r>
        <w:r w:rsidR="00666B31">
          <w:rPr>
            <w:webHidden/>
          </w:rPr>
          <w:tab/>
        </w:r>
        <w:r w:rsidR="00666B31">
          <w:rPr>
            <w:webHidden/>
          </w:rPr>
          <w:fldChar w:fldCharType="begin"/>
        </w:r>
        <w:r w:rsidR="00666B31">
          <w:rPr>
            <w:webHidden/>
          </w:rPr>
          <w:instrText xml:space="preserve"> PAGEREF _Toc180650332 \h </w:instrText>
        </w:r>
        <w:r w:rsidR="00666B31">
          <w:rPr>
            <w:webHidden/>
          </w:rPr>
        </w:r>
        <w:r w:rsidR="00666B31">
          <w:rPr>
            <w:webHidden/>
          </w:rPr>
          <w:fldChar w:fldCharType="separate"/>
        </w:r>
        <w:r w:rsidR="00666B31">
          <w:rPr>
            <w:webHidden/>
          </w:rPr>
          <w:t>38</w:t>
        </w:r>
        <w:r w:rsidR="00666B31">
          <w:rPr>
            <w:webHidden/>
          </w:rPr>
          <w:fldChar w:fldCharType="end"/>
        </w:r>
      </w:hyperlink>
    </w:p>
    <w:p w14:paraId="2DC9370D" w14:textId="36260F8B" w:rsidR="00066709" w:rsidRDefault="00DA3019" w:rsidP="00572F00">
      <w:pPr>
        <w:pStyle w:val="Obsah1"/>
        <w:rPr>
          <w:rStyle w:val="Hypertextovodkaz"/>
          <w:color w:val="2E3192"/>
        </w:rPr>
      </w:pPr>
      <w:r>
        <w:rPr>
          <w:rStyle w:val="Hypertextovodkaz"/>
          <w:color w:val="2E3192"/>
        </w:rPr>
        <w:fldChar w:fldCharType="end"/>
      </w:r>
      <w:r w:rsidR="00066709">
        <w:rPr>
          <w:rStyle w:val="Hypertextovodkaz"/>
          <w:color w:val="2E3192"/>
        </w:rPr>
        <w:br w:type="page"/>
      </w:r>
    </w:p>
    <w:p w14:paraId="1B51BB47" w14:textId="77777777" w:rsidR="00D26773" w:rsidRPr="00F15ADB" w:rsidRDefault="00D26773" w:rsidP="00D26773">
      <w:pPr>
        <w:pStyle w:val="Nadpis1"/>
        <w:numPr>
          <w:ilvl w:val="0"/>
          <w:numId w:val="0"/>
        </w:numPr>
      </w:pPr>
      <w:bookmarkStart w:id="0" w:name="_Toc180650313"/>
      <w:bookmarkStart w:id="1" w:name="_Toc355271388"/>
      <w:bookmarkStart w:id="2" w:name="_Toc62211713"/>
      <w:bookmarkStart w:id="3" w:name="_Toc62211714"/>
      <w:r w:rsidRPr="00F15ADB">
        <w:lastRenderedPageBreak/>
        <w:t>Definice základních pojmů</w:t>
      </w:r>
      <w:bookmarkEnd w:id="0"/>
    </w:p>
    <w:p w14:paraId="3EE2D9BA" w14:textId="77777777" w:rsidR="00680285" w:rsidRPr="00680285" w:rsidRDefault="00680285" w:rsidP="00680285">
      <w:pPr>
        <w:pStyle w:val="Kaskda0"/>
        <w:numPr>
          <w:ilvl w:val="0"/>
          <w:numId w:val="35"/>
        </w:numPr>
      </w:pPr>
      <w:r w:rsidRPr="00680285">
        <w:rPr>
          <w:b/>
          <w:bCs/>
        </w:rPr>
        <w:t>Příjmy</w:t>
      </w:r>
      <w:r w:rsidRPr="00680285">
        <w:t xml:space="preserve"> – jsou veškeré nenávratně inkasované prostředky, opětované i neopětované, včetně přijatých darů a dotací, a přijaté splátky půjček v rámci rozpočtové politiky. Příjmy jsou členěny na běžné a kapitálové. Běžné příjmy jsou tvořeny příjmy daňovými, nedaňovými a provozními dotacemi. Jedná se tedy o každoročně se opakující příjmy, které slouží k pokrytí běžných výdajů. Investiční příjmy, tj. příjmy z prodeje dlouhodobého a finančního majetku, a investiční dotace, mají charakter nahodilých příjmů a jsou určeny především k pokrytí investičních záměrů ÚSC. </w:t>
      </w:r>
    </w:p>
    <w:p w14:paraId="1FC7865B" w14:textId="77777777" w:rsidR="00680285" w:rsidRPr="00680285" w:rsidRDefault="00680285" w:rsidP="00680285">
      <w:pPr>
        <w:pStyle w:val="Kaskda0"/>
        <w:numPr>
          <w:ilvl w:val="0"/>
          <w:numId w:val="35"/>
        </w:numPr>
      </w:pPr>
      <w:r w:rsidRPr="00680285">
        <w:rPr>
          <w:b/>
          <w:bCs/>
        </w:rPr>
        <w:t>Výdaje</w:t>
      </w:r>
      <w:r w:rsidRPr="00680285">
        <w:t xml:space="preserve"> – jsou veškeré nenávratné platby na běžné (neinvestiční) i kapitálové (investiční) účely, opětované i neopětované, a poskytované návratné platby (půjčky) v rámci rozpočtové politiky. Běžné (nebo také provozní) výdaje musí ÚSC vynaložit ze zákona nebo těmito výdaji financovat provozní aktivity. Realizace záměrů a potřeb ÚSC včetně naplňování volebního programu se uskutečňuje prostřednictvím výdajů. ÚSC k těmto cílům používá veřejné prostředky, proto musí finanční prostředky před vynaložením důkladně analyzovat.</w:t>
      </w:r>
    </w:p>
    <w:p w14:paraId="298A4632" w14:textId="77777777" w:rsidR="00D26773" w:rsidRPr="00F15ADB" w:rsidRDefault="00D26773" w:rsidP="00DB64C2">
      <w:pPr>
        <w:pStyle w:val="Kaskda0"/>
        <w:numPr>
          <w:ilvl w:val="0"/>
          <w:numId w:val="35"/>
        </w:numPr>
      </w:pPr>
      <w:r w:rsidRPr="00F15ADB">
        <w:rPr>
          <w:b/>
        </w:rPr>
        <w:t>Běžné příjmy</w:t>
      </w:r>
      <w:r w:rsidRPr="00F15ADB">
        <w:t xml:space="preserve"> – daňové příjmy, nedaňové příjmy a provozní dotace (transfery)</w:t>
      </w:r>
      <w:r w:rsidR="005134D6">
        <w:t>.</w:t>
      </w:r>
    </w:p>
    <w:p w14:paraId="38B3B6DE" w14:textId="77777777" w:rsidR="00D26773" w:rsidRPr="00F15ADB" w:rsidRDefault="00D26773" w:rsidP="00DB64C2">
      <w:pPr>
        <w:pStyle w:val="Kaskda0"/>
        <w:numPr>
          <w:ilvl w:val="0"/>
          <w:numId w:val="35"/>
        </w:numPr>
      </w:pPr>
      <w:r w:rsidRPr="00F15ADB">
        <w:rPr>
          <w:b/>
        </w:rPr>
        <w:t xml:space="preserve">Kapitálové příjmy </w:t>
      </w:r>
      <w:r w:rsidRPr="00F15ADB">
        <w:t>– prodej pozemků, ostatních nemovitostí, akcií a majetkových práv</w:t>
      </w:r>
      <w:r w:rsidR="005134D6">
        <w:t>.</w:t>
      </w:r>
    </w:p>
    <w:p w14:paraId="617B4028" w14:textId="77777777" w:rsidR="00D26773" w:rsidRPr="00F15ADB" w:rsidRDefault="00D26773" w:rsidP="00DB64C2">
      <w:pPr>
        <w:pStyle w:val="Kaskda0"/>
        <w:numPr>
          <w:ilvl w:val="0"/>
          <w:numId w:val="35"/>
        </w:numPr>
      </w:pPr>
      <w:r w:rsidRPr="00F15ADB">
        <w:rPr>
          <w:b/>
        </w:rPr>
        <w:t xml:space="preserve">Investiční příjmy </w:t>
      </w:r>
      <w:r w:rsidRPr="00F15ADB">
        <w:t>– obsahují kapitálové příjmy a investiční dotace (transfery)</w:t>
      </w:r>
      <w:r w:rsidR="005134D6">
        <w:t>.</w:t>
      </w:r>
    </w:p>
    <w:p w14:paraId="505932BF" w14:textId="77777777" w:rsidR="00D26773" w:rsidRPr="00F15ADB" w:rsidRDefault="00D26773" w:rsidP="00DB64C2">
      <w:pPr>
        <w:pStyle w:val="Kaskda0"/>
        <w:numPr>
          <w:ilvl w:val="0"/>
          <w:numId w:val="35"/>
        </w:numPr>
      </w:pPr>
      <w:r w:rsidRPr="00F15ADB">
        <w:rPr>
          <w:b/>
        </w:rPr>
        <w:t xml:space="preserve">Provozní přebytek </w:t>
      </w:r>
      <w:r w:rsidRPr="00F15ADB">
        <w:t>(saldo</w:t>
      </w:r>
      <w:r w:rsidRPr="00F15ADB">
        <w:rPr>
          <w:b/>
        </w:rPr>
        <w:t xml:space="preserve"> </w:t>
      </w:r>
      <w:r w:rsidRPr="00F15ADB">
        <w:t xml:space="preserve">provozního rozpočtu) – rozdíl běžných příjmů a běžných výdajů. Výše provozního přebytku by měla </w:t>
      </w:r>
      <w:r w:rsidRPr="00F15ADB">
        <w:rPr>
          <w:b/>
        </w:rPr>
        <w:t>vždy</w:t>
      </w:r>
      <w:r w:rsidRPr="00F15ADB">
        <w:t xml:space="preserve"> nabývat kladných h</w:t>
      </w:r>
      <w:r w:rsidR="00881996">
        <w:t>odnot a neměla by v čase klesat.</w:t>
      </w:r>
    </w:p>
    <w:p w14:paraId="08FC98AA" w14:textId="77777777" w:rsidR="00D26773" w:rsidRPr="00F15ADB" w:rsidRDefault="00D26773" w:rsidP="00DB64C2">
      <w:pPr>
        <w:pStyle w:val="Kaskda0"/>
        <w:numPr>
          <w:ilvl w:val="0"/>
          <w:numId w:val="35"/>
        </w:numPr>
      </w:pPr>
      <w:r w:rsidRPr="00F15ADB">
        <w:rPr>
          <w:b/>
        </w:rPr>
        <w:t>Rozdíl provozního přebytku a splátek jistin</w:t>
      </w:r>
      <w:r w:rsidRPr="00F15ADB">
        <w:t xml:space="preserve"> – rozdíl provozního salda a splátek krátkodobých i dlouhodobých úvěrů. Také výše tohoto ukazatele by měla být </w:t>
      </w:r>
      <w:r w:rsidRPr="00F15ADB">
        <w:rPr>
          <w:b/>
        </w:rPr>
        <w:t xml:space="preserve">vždy </w:t>
      </w:r>
      <w:r w:rsidRPr="00F15ADB">
        <w:t>kladná</w:t>
      </w:r>
      <w:r w:rsidR="005134D6">
        <w:t>.</w:t>
      </w:r>
    </w:p>
    <w:p w14:paraId="5D796BFA" w14:textId="77777777" w:rsidR="00D26773" w:rsidRPr="00F15ADB" w:rsidRDefault="00D26773" w:rsidP="00DB64C2">
      <w:pPr>
        <w:pStyle w:val="Kaskda0"/>
        <w:numPr>
          <w:ilvl w:val="0"/>
          <w:numId w:val="35"/>
        </w:numPr>
      </w:pPr>
      <w:r w:rsidRPr="00F15ADB">
        <w:rPr>
          <w:b/>
        </w:rPr>
        <w:t>Saldo bez financování</w:t>
      </w:r>
      <w:r w:rsidRPr="00F15ADB">
        <w:t xml:space="preserve"> – rozdíl celkových příjmů a výdajů</w:t>
      </w:r>
      <w:r w:rsidR="005134D6">
        <w:t>.</w:t>
      </w:r>
    </w:p>
    <w:p w14:paraId="163034D5" w14:textId="77777777" w:rsidR="00D26773" w:rsidRPr="00F15ADB" w:rsidRDefault="00D26773" w:rsidP="00DB64C2">
      <w:pPr>
        <w:pStyle w:val="Kaskda0"/>
        <w:numPr>
          <w:ilvl w:val="0"/>
          <w:numId w:val="35"/>
        </w:numPr>
      </w:pPr>
      <w:r w:rsidRPr="00F15ADB">
        <w:rPr>
          <w:b/>
        </w:rPr>
        <w:t xml:space="preserve">Bilance hospodaření </w:t>
      </w:r>
      <w:r w:rsidRPr="00F15ADB">
        <w:t>(saldo rozpočtu)</w:t>
      </w:r>
      <w:r w:rsidRPr="00F15ADB">
        <w:rPr>
          <w:b/>
        </w:rPr>
        <w:t xml:space="preserve"> </w:t>
      </w:r>
      <w:r w:rsidRPr="00F15ADB">
        <w:t>– celkové příjmy a přijaté úvěry minus celkové výdaje a uhrazené splátky úvěrů</w:t>
      </w:r>
      <w:r w:rsidR="005134D6">
        <w:t>.</w:t>
      </w:r>
    </w:p>
    <w:p w14:paraId="52678F24" w14:textId="77777777" w:rsidR="00D26773" w:rsidRPr="00F15ADB" w:rsidRDefault="00D26773" w:rsidP="00DB64C2">
      <w:pPr>
        <w:pStyle w:val="Kaskda0"/>
        <w:numPr>
          <w:ilvl w:val="0"/>
          <w:numId w:val="35"/>
        </w:numPr>
      </w:pPr>
      <w:r w:rsidRPr="00F15ADB">
        <w:rPr>
          <w:b/>
        </w:rPr>
        <w:t xml:space="preserve">Saldo kapitálového rozpočtu – </w:t>
      </w:r>
      <w:r w:rsidRPr="00F15ADB">
        <w:t>rozdíl investičních příjmů a kapitálových výdajů</w:t>
      </w:r>
      <w:r w:rsidR="005134D6">
        <w:t>.</w:t>
      </w:r>
    </w:p>
    <w:p w14:paraId="69EB4805" w14:textId="77777777" w:rsidR="00D26773" w:rsidRPr="00F15ADB" w:rsidRDefault="00D26773" w:rsidP="00DB64C2">
      <w:pPr>
        <w:pStyle w:val="Kaskda0"/>
        <w:numPr>
          <w:ilvl w:val="0"/>
          <w:numId w:val="35"/>
        </w:numPr>
      </w:pPr>
      <w:r w:rsidRPr="00F15ADB">
        <w:rPr>
          <w:b/>
        </w:rPr>
        <w:t>Dluhová základna</w:t>
      </w:r>
      <w:r w:rsidRPr="00F15ADB">
        <w:t xml:space="preserve"> – celkové příjmy po konsolidaci</w:t>
      </w:r>
      <w:r w:rsidR="005134D6">
        <w:t>.</w:t>
      </w:r>
    </w:p>
    <w:p w14:paraId="0236CFE5" w14:textId="77777777" w:rsidR="00D26773" w:rsidRPr="00F15ADB" w:rsidRDefault="00D26773" w:rsidP="00DB64C2">
      <w:pPr>
        <w:pStyle w:val="Kaskda0"/>
        <w:numPr>
          <w:ilvl w:val="0"/>
          <w:numId w:val="35"/>
        </w:numPr>
      </w:pPr>
      <w:r w:rsidRPr="00F15ADB">
        <w:rPr>
          <w:b/>
        </w:rPr>
        <w:t>Dluhová služba</w:t>
      </w:r>
      <w:r w:rsidRPr="00F15ADB">
        <w:t xml:space="preserve"> – součet splátek úroků a splátek jistin</w:t>
      </w:r>
      <w:r w:rsidR="003432C8">
        <w:t>.</w:t>
      </w:r>
    </w:p>
    <w:p w14:paraId="0BD24322" w14:textId="77777777" w:rsidR="00C97377" w:rsidRPr="00C97377" w:rsidRDefault="00C97377" w:rsidP="00DB64C2">
      <w:pPr>
        <w:pStyle w:val="Kaskda0"/>
        <w:numPr>
          <w:ilvl w:val="0"/>
          <w:numId w:val="35"/>
        </w:numPr>
      </w:pPr>
      <w:r w:rsidRPr="0088212C">
        <w:rPr>
          <w:b/>
        </w:rPr>
        <w:t>Celková dluhová služba (dluh)</w:t>
      </w:r>
      <w:r w:rsidRPr="00C97377">
        <w:t xml:space="preserve"> - celková výše splátek jistin, dluhopisů apod. bez úroků.</w:t>
      </w:r>
    </w:p>
    <w:p w14:paraId="1C663903" w14:textId="77777777" w:rsidR="00D26773" w:rsidRPr="00F15ADB" w:rsidRDefault="00D26773" w:rsidP="00DB64C2">
      <w:pPr>
        <w:pStyle w:val="Kaskda0"/>
        <w:numPr>
          <w:ilvl w:val="0"/>
          <w:numId w:val="35"/>
        </w:numPr>
      </w:pPr>
      <w:r w:rsidRPr="00F15ADB">
        <w:rPr>
          <w:b/>
        </w:rPr>
        <w:t>Ukazatel dluhové služby</w:t>
      </w:r>
      <w:r w:rsidRPr="00F15ADB">
        <w:t xml:space="preserve"> vyjadřuje procentuální poměr </w:t>
      </w:r>
      <w:r w:rsidRPr="00F15ADB">
        <w:rPr>
          <w:b/>
        </w:rPr>
        <w:t>dluhové služby</w:t>
      </w:r>
      <w:r w:rsidRPr="00F15ADB">
        <w:t xml:space="preserve"> a </w:t>
      </w:r>
      <w:r w:rsidRPr="00F15ADB">
        <w:rPr>
          <w:b/>
        </w:rPr>
        <w:t>dluhové základny</w:t>
      </w:r>
      <w:r w:rsidRPr="00F15ADB">
        <w:t>. Neměl by pře</w:t>
      </w:r>
      <w:r>
        <w:t>sáhnout hodnotu 25 %.</w:t>
      </w:r>
    </w:p>
    <w:p w14:paraId="18A5E167" w14:textId="77777777" w:rsidR="00D26773" w:rsidRPr="00F15ADB" w:rsidRDefault="00D26773" w:rsidP="00DB64C2">
      <w:pPr>
        <w:pStyle w:val="Kaskda0"/>
        <w:numPr>
          <w:ilvl w:val="0"/>
          <w:numId w:val="35"/>
        </w:numPr>
      </w:pPr>
      <w:r w:rsidRPr="00F15ADB">
        <w:rPr>
          <w:b/>
        </w:rPr>
        <w:t xml:space="preserve">Ukazatel provozních úspor </w:t>
      </w:r>
      <w:proofErr w:type="gramStart"/>
      <w:r w:rsidRPr="00F15ADB">
        <w:t>-  vyjadřuje</w:t>
      </w:r>
      <w:proofErr w:type="gramEnd"/>
      <w:r w:rsidRPr="00F15ADB">
        <w:t xml:space="preserve"> využitelnost provozních prostředků, tj. jaká část provozních prostředků může být využita na krytí investičních záměrů m</w:t>
      </w:r>
      <w:r w:rsidR="006E30BF">
        <w:t>unicipality</w:t>
      </w:r>
      <w:r w:rsidRPr="00F15ADB">
        <w:t>. Optimální hodnota ukazatele se pohybuje okolo 2</w:t>
      </w:r>
      <w:r w:rsidR="00C97377">
        <w:t>5</w:t>
      </w:r>
      <w:r w:rsidRPr="00F15ADB">
        <w:t xml:space="preserve"> % a neměla by klesnout pod 10 %, která je považována za minimální hodnotu tohoto ukazatele.</w:t>
      </w:r>
    </w:p>
    <w:p w14:paraId="2EC4F54A" w14:textId="468BD4AD" w:rsidR="00D26773" w:rsidRPr="00F15ADB" w:rsidRDefault="00D26773" w:rsidP="00DB64C2">
      <w:pPr>
        <w:pStyle w:val="Kaskda0"/>
        <w:numPr>
          <w:ilvl w:val="0"/>
          <w:numId w:val="35"/>
        </w:numPr>
      </w:pPr>
      <w:r w:rsidRPr="00F15ADB">
        <w:rPr>
          <w:b/>
        </w:rPr>
        <w:t xml:space="preserve">Podíl cizích zdrojů k celkovým </w:t>
      </w:r>
      <w:proofErr w:type="gramStart"/>
      <w:r w:rsidRPr="00F15ADB">
        <w:rPr>
          <w:b/>
        </w:rPr>
        <w:t>aktivům</w:t>
      </w:r>
      <w:r w:rsidRPr="00F15ADB">
        <w:t xml:space="preserve"> - </w:t>
      </w:r>
      <w:r w:rsidR="00A10397">
        <w:t>u</w:t>
      </w:r>
      <w:r w:rsidRPr="00F15ADB">
        <w:t>kazatel</w:t>
      </w:r>
      <w:proofErr w:type="gramEnd"/>
      <w:r w:rsidRPr="00F15ADB">
        <w:t xml:space="preserve"> vyjadřuje poměr zadlužení k celkovému majetku ÚSC. Za rizikovou hodnotu je považován ukazatel vyšší než 25 %.</w:t>
      </w:r>
    </w:p>
    <w:p w14:paraId="5502D0F1" w14:textId="77777777" w:rsidR="00D26773" w:rsidRPr="00F15ADB" w:rsidRDefault="00D26773" w:rsidP="00DB64C2">
      <w:pPr>
        <w:pStyle w:val="Kaskda0"/>
        <w:numPr>
          <w:ilvl w:val="0"/>
          <w:numId w:val="35"/>
        </w:numPr>
      </w:pPr>
      <w:r w:rsidRPr="00F15ADB">
        <w:rPr>
          <w:b/>
        </w:rPr>
        <w:t xml:space="preserve">Celková </w:t>
      </w:r>
      <w:proofErr w:type="gramStart"/>
      <w:r w:rsidRPr="00F15ADB">
        <w:rPr>
          <w:b/>
        </w:rPr>
        <w:t xml:space="preserve">likvidita </w:t>
      </w:r>
      <w:r w:rsidRPr="00F15ADB">
        <w:t>- vyjadřuje</w:t>
      </w:r>
      <w:proofErr w:type="gramEnd"/>
      <w:r w:rsidRPr="00F15ADB">
        <w:t xml:space="preserve"> poměr, kterým je obec schopna krýt své krátkodobé závazky především prostředky na bankovních účtech a hotovostí. Za rizikovou hodnotu se považuje hodnota menší než 1.</w:t>
      </w:r>
    </w:p>
    <w:p w14:paraId="68168075" w14:textId="77777777" w:rsidR="00D26773" w:rsidRPr="00F15ADB" w:rsidRDefault="00D26773" w:rsidP="00DB64C2">
      <w:pPr>
        <w:pStyle w:val="Kaskda0"/>
        <w:numPr>
          <w:ilvl w:val="0"/>
          <w:numId w:val="35"/>
        </w:numPr>
      </w:pPr>
      <w:r w:rsidRPr="00F15ADB">
        <w:rPr>
          <w:b/>
        </w:rPr>
        <w:t xml:space="preserve">Platební schopnost I. </w:t>
      </w:r>
      <w:proofErr w:type="gramStart"/>
      <w:r w:rsidRPr="00F15ADB">
        <w:rPr>
          <w:b/>
        </w:rPr>
        <w:t>řádu</w:t>
      </w:r>
      <w:r w:rsidRPr="00F15ADB">
        <w:t xml:space="preserve"> - poměr</w:t>
      </w:r>
      <w:proofErr w:type="gramEnd"/>
      <w:r w:rsidRPr="00F15ADB">
        <w:t xml:space="preserve"> celkového dluhu k provoznímu přebytku vyjadřuje schopnost m</w:t>
      </w:r>
      <w:r w:rsidR="006E30BF">
        <w:t>unicipality</w:t>
      </w:r>
      <w:r w:rsidRPr="00F15ADB">
        <w:t xml:space="preserve"> splatit celkové závazky, pokud bude k jejich úhradě použito celé saldo provozního rozpočtu. Optimální hodnoty se pohybují pod hranicí 2, stabilní finanční zdraví ukazují ještě hodnoty do 6.</w:t>
      </w:r>
    </w:p>
    <w:p w14:paraId="424AF500" w14:textId="77777777" w:rsidR="00D26773" w:rsidRPr="00F15ADB" w:rsidRDefault="00D26773" w:rsidP="00DB64C2">
      <w:pPr>
        <w:pStyle w:val="Kaskda0"/>
        <w:numPr>
          <w:ilvl w:val="0"/>
          <w:numId w:val="35"/>
        </w:numPr>
      </w:pPr>
      <w:r w:rsidRPr="00F15ADB">
        <w:rPr>
          <w:b/>
        </w:rPr>
        <w:t xml:space="preserve">Platební schopnost II. </w:t>
      </w:r>
      <w:proofErr w:type="gramStart"/>
      <w:r w:rsidRPr="00F15ADB">
        <w:rPr>
          <w:b/>
        </w:rPr>
        <w:t>řádu</w:t>
      </w:r>
      <w:r w:rsidRPr="00F15ADB">
        <w:t xml:space="preserve"> - poměr</w:t>
      </w:r>
      <w:proofErr w:type="gramEnd"/>
      <w:r w:rsidRPr="00F15ADB">
        <w:t xml:space="preserve"> ročních splátek dluhu k provoznímu přebytku. Výsledné hodnoty ukazují schopnost uhradit roční splátky dluhu z provozního přebytku. Pod 20</w:t>
      </w:r>
      <w:r w:rsidR="00881996">
        <w:t xml:space="preserve"> </w:t>
      </w:r>
      <w:r w:rsidRPr="00F15ADB">
        <w:t>%, jedná se o optimální stav, do hranice 4</w:t>
      </w:r>
      <w:r w:rsidR="00881996">
        <w:t xml:space="preserve">0 </w:t>
      </w:r>
      <w:r w:rsidRPr="00F15ADB">
        <w:t>% hodnoty provozního přebytku je stav uspokojivý.</w:t>
      </w:r>
    </w:p>
    <w:p w14:paraId="50A5DB70" w14:textId="77777777" w:rsidR="00D26773" w:rsidRDefault="00D26773" w:rsidP="00DB64C2">
      <w:pPr>
        <w:pStyle w:val="Kaskda0"/>
        <w:numPr>
          <w:ilvl w:val="0"/>
          <w:numId w:val="35"/>
        </w:numPr>
      </w:pPr>
      <w:r w:rsidRPr="00F15ADB">
        <w:rPr>
          <w:b/>
        </w:rPr>
        <w:lastRenderedPageBreak/>
        <w:t xml:space="preserve">Finanční </w:t>
      </w:r>
      <w:proofErr w:type="gramStart"/>
      <w:r w:rsidRPr="00F15ADB">
        <w:rPr>
          <w:b/>
        </w:rPr>
        <w:t xml:space="preserve">zadluženost </w:t>
      </w:r>
      <w:r w:rsidRPr="00F15ADB">
        <w:t>- poměr</w:t>
      </w:r>
      <w:proofErr w:type="gramEnd"/>
      <w:r w:rsidRPr="00F15ADB">
        <w:t xml:space="preserve"> ročních splátek dluhu k běžným příjmům</w:t>
      </w:r>
      <w:r w:rsidR="006E30BF">
        <w:t>,</w:t>
      </w:r>
      <w:r w:rsidRPr="00F15ADB">
        <w:t xml:space="preserve"> vyjadřuje podíl běžných příjmů, které je potřeba vyčlenit na roční splátku dluhu. Hodnoty do 7</w:t>
      </w:r>
      <w:r w:rsidR="00973A21">
        <w:t xml:space="preserve"> </w:t>
      </w:r>
      <w:r w:rsidRPr="00F15ADB">
        <w:t>% svědčí o dobrém finančním zdraví municipality, hodnoty nad 18</w:t>
      </w:r>
      <w:r w:rsidR="00973A21">
        <w:t xml:space="preserve"> </w:t>
      </w:r>
      <w:r w:rsidRPr="00F15ADB">
        <w:t>% vyjadřují zvýšené riziko.</w:t>
      </w:r>
    </w:p>
    <w:p w14:paraId="05E03ABF" w14:textId="77777777" w:rsidR="00DB64C2" w:rsidRPr="00F15ADB" w:rsidRDefault="00DB64C2" w:rsidP="00DB64C2">
      <w:pPr>
        <w:pStyle w:val="Kaskda0"/>
        <w:numPr>
          <w:ilvl w:val="0"/>
          <w:numId w:val="35"/>
        </w:numPr>
      </w:pPr>
      <w:r w:rsidRPr="00DB64C2">
        <w:rPr>
          <w:b/>
        </w:rPr>
        <w:t xml:space="preserve">Miniaturní </w:t>
      </w:r>
      <w:proofErr w:type="gramStart"/>
      <w:r w:rsidRPr="00DB64C2">
        <w:rPr>
          <w:b/>
        </w:rPr>
        <w:t>grafy</w:t>
      </w:r>
      <w:r w:rsidRPr="00DB64C2">
        <w:t xml:space="preserve"> - znázorňují</w:t>
      </w:r>
      <w:proofErr w:type="gramEnd"/>
      <w:r w:rsidRPr="00DB64C2">
        <w:t xml:space="preserve"> relativní pohyb v jednotlivých letech minulého období. Neodpovídají absolutním hodnotám, tudíž je nelze brát jako ukazatel podílu na celkové </w:t>
      </w:r>
      <w:r w:rsidRPr="00C379AC">
        <w:t xml:space="preserve">výši zobrazovaných hodnot. Osy jsou nastavené na pevné rozpětí </w:t>
      </w:r>
      <w:proofErr w:type="gramStart"/>
      <w:r w:rsidRPr="00C379AC">
        <w:t>0 - 100</w:t>
      </w:r>
      <w:proofErr w:type="gramEnd"/>
      <w:r w:rsidRPr="00C379AC">
        <w:t xml:space="preserve"> % a </w:t>
      </w:r>
      <w:r w:rsidR="00C379AC" w:rsidRPr="00C379AC">
        <w:t>j</w:t>
      </w:r>
      <w:r w:rsidRPr="00C379AC">
        <w:t xml:space="preserve">ednotlivé roky </w:t>
      </w:r>
      <w:r w:rsidR="00C379AC" w:rsidRPr="00C379AC">
        <w:t>jsou převedeny</w:t>
      </w:r>
      <w:r w:rsidRPr="00C379AC">
        <w:t xml:space="preserve"> na</w:t>
      </w:r>
      <w:r w:rsidRPr="00DB64C2">
        <w:t xml:space="preserve"> procenta, kde nejvyšší částka zobrazuje 100 %. </w:t>
      </w:r>
    </w:p>
    <w:p w14:paraId="063A69D0" w14:textId="77777777" w:rsidR="00D26773" w:rsidRDefault="00D26773" w:rsidP="00D26773">
      <w:pPr>
        <w:spacing w:before="0" w:after="200"/>
        <w:jc w:val="left"/>
        <w:rPr>
          <w:rFonts w:eastAsiaTheme="majorEastAsia" w:cstheme="majorBidi"/>
          <w:b/>
          <w:bCs/>
          <w:color w:val="2E3192"/>
          <w:sz w:val="28"/>
          <w:szCs w:val="28"/>
        </w:rPr>
      </w:pPr>
      <w:r>
        <w:br w:type="page"/>
      </w:r>
    </w:p>
    <w:p w14:paraId="09F9FB6D" w14:textId="77777777" w:rsidR="00D26773" w:rsidRPr="00F15ADB" w:rsidRDefault="00D26773" w:rsidP="00D26773">
      <w:pPr>
        <w:pStyle w:val="Nadpis1"/>
        <w:pageBreakBefore w:val="0"/>
        <w:numPr>
          <w:ilvl w:val="0"/>
          <w:numId w:val="0"/>
        </w:numPr>
        <w:ind w:left="431" w:hanging="431"/>
      </w:pPr>
      <w:bookmarkStart w:id="4" w:name="_Toc180650314"/>
      <w:r w:rsidRPr="00F15ADB">
        <w:lastRenderedPageBreak/>
        <w:t>Použité zkratky</w:t>
      </w:r>
      <w:bookmarkEnd w:id="4"/>
    </w:p>
    <w:p w14:paraId="562F342D" w14:textId="77777777" w:rsidR="006E30BF" w:rsidRDefault="006E30BF" w:rsidP="006E30BF">
      <w:pPr>
        <w:pStyle w:val="Kaskda0"/>
        <w:numPr>
          <w:ilvl w:val="0"/>
          <w:numId w:val="34"/>
        </w:numPr>
      </w:pPr>
      <w:r>
        <w:t>CDS – celková dluhová služba</w:t>
      </w:r>
    </w:p>
    <w:p w14:paraId="6BF1894C" w14:textId="77777777" w:rsidR="006E30BF" w:rsidRPr="00F15ADB" w:rsidRDefault="006E30BF" w:rsidP="006E30BF">
      <w:pPr>
        <w:pStyle w:val="Kaskda0"/>
        <w:numPr>
          <w:ilvl w:val="0"/>
          <w:numId w:val="34"/>
        </w:numPr>
      </w:pPr>
      <w:r w:rsidRPr="00F15ADB">
        <w:t>DPFO – daň z příjmů fyzických osob</w:t>
      </w:r>
    </w:p>
    <w:p w14:paraId="2C2D187B" w14:textId="77777777" w:rsidR="006E30BF" w:rsidRPr="00F15ADB" w:rsidRDefault="006E30BF" w:rsidP="006E30BF">
      <w:pPr>
        <w:pStyle w:val="Kaskda0"/>
        <w:numPr>
          <w:ilvl w:val="0"/>
          <w:numId w:val="34"/>
        </w:numPr>
      </w:pPr>
      <w:r w:rsidRPr="00F15ADB">
        <w:t>DPH – daň z přidané hodnoty</w:t>
      </w:r>
    </w:p>
    <w:p w14:paraId="5910E180" w14:textId="77777777" w:rsidR="006E30BF" w:rsidRPr="00F15ADB" w:rsidRDefault="006E30BF" w:rsidP="006E30BF">
      <w:pPr>
        <w:pStyle w:val="Kaskda0"/>
        <w:numPr>
          <w:ilvl w:val="0"/>
          <w:numId w:val="34"/>
        </w:numPr>
      </w:pPr>
      <w:r w:rsidRPr="00F15ADB">
        <w:t>DPPO – daň z příjmů právnických osob</w:t>
      </w:r>
    </w:p>
    <w:p w14:paraId="77A7DBE4" w14:textId="77777777" w:rsidR="006E30BF" w:rsidRPr="00F15ADB" w:rsidRDefault="006E30BF" w:rsidP="006E30BF">
      <w:pPr>
        <w:pStyle w:val="Kaskda0"/>
        <w:numPr>
          <w:ilvl w:val="0"/>
          <w:numId w:val="34"/>
        </w:numPr>
      </w:pPr>
      <w:r w:rsidRPr="00F15ADB">
        <w:t>HČ – hospodářská (podnikatelská) činnost</w:t>
      </w:r>
    </w:p>
    <w:p w14:paraId="7DABA559" w14:textId="77777777" w:rsidR="006E30BF" w:rsidRPr="00F15ADB" w:rsidRDefault="006E30BF" w:rsidP="006E30BF">
      <w:pPr>
        <w:pStyle w:val="Kaskda0"/>
        <w:numPr>
          <w:ilvl w:val="0"/>
          <w:numId w:val="34"/>
        </w:numPr>
      </w:pPr>
      <w:r w:rsidRPr="00F15ADB">
        <w:t>KV – kapitálové výnosy</w:t>
      </w:r>
    </w:p>
    <w:p w14:paraId="3CF33A59" w14:textId="77777777" w:rsidR="006E30BF" w:rsidRDefault="006E30BF" w:rsidP="006E30BF">
      <w:pPr>
        <w:pStyle w:val="Kaskda0"/>
        <w:numPr>
          <w:ilvl w:val="0"/>
          <w:numId w:val="34"/>
        </w:numPr>
      </w:pPr>
      <w:r w:rsidRPr="00F15ADB">
        <w:t>MF – ministerstvo financí</w:t>
      </w:r>
    </w:p>
    <w:p w14:paraId="5A123B47" w14:textId="77777777" w:rsidR="006E30BF" w:rsidRPr="00F15ADB" w:rsidRDefault="006E30BF" w:rsidP="006E30BF">
      <w:pPr>
        <w:pStyle w:val="Kaskda0"/>
        <w:numPr>
          <w:ilvl w:val="0"/>
          <w:numId w:val="34"/>
        </w:numPr>
      </w:pPr>
      <w:r w:rsidRPr="00F15ADB">
        <w:t>OSVČ (SČ) – osoby samostatně výdělečně činné</w:t>
      </w:r>
    </w:p>
    <w:p w14:paraId="0878EF8F" w14:textId="77777777" w:rsidR="006E30BF" w:rsidRPr="00F15ADB" w:rsidRDefault="006E30BF" w:rsidP="006E30BF">
      <w:pPr>
        <w:pStyle w:val="Kaskda0"/>
        <w:numPr>
          <w:ilvl w:val="0"/>
          <w:numId w:val="34"/>
        </w:numPr>
      </w:pPr>
      <w:r w:rsidRPr="00F15ADB">
        <w:t>PO – příspěvková organizace</w:t>
      </w:r>
    </w:p>
    <w:p w14:paraId="228AEF7B" w14:textId="77777777" w:rsidR="006E30BF" w:rsidRPr="00F15ADB" w:rsidRDefault="006E30BF" w:rsidP="006E30BF">
      <w:pPr>
        <w:pStyle w:val="Kaskda0"/>
        <w:numPr>
          <w:ilvl w:val="0"/>
          <w:numId w:val="34"/>
        </w:numPr>
      </w:pPr>
      <w:r w:rsidRPr="00F15ADB">
        <w:t>PP – provozní přebytek</w:t>
      </w:r>
    </w:p>
    <w:p w14:paraId="471213CE" w14:textId="77777777" w:rsidR="006E30BF" w:rsidRPr="006E30BF" w:rsidRDefault="006E30BF" w:rsidP="006E30BF">
      <w:pPr>
        <w:pStyle w:val="Kaskda0"/>
        <w:numPr>
          <w:ilvl w:val="0"/>
          <w:numId w:val="34"/>
        </w:numPr>
      </w:pPr>
      <w:r w:rsidRPr="00F15ADB">
        <w:t xml:space="preserve">RS – schválený </w:t>
      </w:r>
      <w:r w:rsidRPr="006E30BF">
        <w:t>rozpočet</w:t>
      </w:r>
    </w:p>
    <w:p w14:paraId="1B8EA2AD" w14:textId="77777777" w:rsidR="006E30BF" w:rsidRPr="006E30BF" w:rsidRDefault="006E30BF" w:rsidP="006E30BF">
      <w:pPr>
        <w:pStyle w:val="Kaskda0"/>
        <w:numPr>
          <w:ilvl w:val="0"/>
          <w:numId w:val="34"/>
        </w:numPr>
      </w:pPr>
      <w:r w:rsidRPr="006E30BF">
        <w:t>RU – upravený rozpočet</w:t>
      </w:r>
    </w:p>
    <w:p w14:paraId="4A037C59" w14:textId="77777777" w:rsidR="006E30BF" w:rsidRPr="006E30BF" w:rsidRDefault="006E30BF" w:rsidP="006E30BF">
      <w:pPr>
        <w:pStyle w:val="Kaskda0"/>
        <w:numPr>
          <w:ilvl w:val="0"/>
          <w:numId w:val="34"/>
        </w:numPr>
      </w:pPr>
      <w:r w:rsidRPr="006E30BF">
        <w:t>RUD – rozpočtové určení daní</w:t>
      </w:r>
    </w:p>
    <w:p w14:paraId="02C63056" w14:textId="77777777" w:rsidR="006E30BF" w:rsidRPr="00F15ADB" w:rsidRDefault="006E30BF" w:rsidP="006E30BF">
      <w:pPr>
        <w:pStyle w:val="Kaskda0"/>
        <w:numPr>
          <w:ilvl w:val="0"/>
          <w:numId w:val="34"/>
        </w:numPr>
      </w:pPr>
      <w:r>
        <w:t>SR – státní rozpočet</w:t>
      </w:r>
    </w:p>
    <w:p w14:paraId="08390A18" w14:textId="77777777" w:rsidR="006E30BF" w:rsidRPr="00F15ADB" w:rsidRDefault="006E30BF" w:rsidP="006E30BF">
      <w:pPr>
        <w:pStyle w:val="Kaskda0"/>
        <w:numPr>
          <w:ilvl w:val="0"/>
          <w:numId w:val="34"/>
        </w:numPr>
      </w:pPr>
      <w:r w:rsidRPr="00F15ADB">
        <w:t>SVR – střednědobý výhled rozpočtu</w:t>
      </w:r>
    </w:p>
    <w:p w14:paraId="0F44ECB4" w14:textId="77777777" w:rsidR="006E30BF" w:rsidRPr="00F15ADB" w:rsidRDefault="006E30BF" w:rsidP="006E30BF">
      <w:pPr>
        <w:pStyle w:val="Kaskda0"/>
        <w:numPr>
          <w:ilvl w:val="0"/>
          <w:numId w:val="34"/>
        </w:numPr>
      </w:pPr>
      <w:r w:rsidRPr="00F15ADB">
        <w:t>UC – účetní skutečnost</w:t>
      </w:r>
    </w:p>
    <w:p w14:paraId="62395F6A" w14:textId="77777777" w:rsidR="006E30BF" w:rsidRDefault="006E30BF" w:rsidP="006E30BF">
      <w:pPr>
        <w:pStyle w:val="Kaskda0"/>
        <w:numPr>
          <w:ilvl w:val="0"/>
          <w:numId w:val="34"/>
        </w:numPr>
      </w:pPr>
      <w:r w:rsidRPr="00F15ADB">
        <w:t>ÚSC – územní samosprávný celek</w:t>
      </w:r>
    </w:p>
    <w:p w14:paraId="4E0E52A4" w14:textId="77777777" w:rsidR="006E30BF" w:rsidRDefault="006E30BF" w:rsidP="006E30BF">
      <w:pPr>
        <w:pStyle w:val="Kaskda0"/>
        <w:numPr>
          <w:ilvl w:val="0"/>
          <w:numId w:val="34"/>
        </w:numPr>
      </w:pPr>
      <w:r>
        <w:t>ZČ – závislá činnost</w:t>
      </w:r>
    </w:p>
    <w:p w14:paraId="168539BE" w14:textId="77777777" w:rsidR="00066709" w:rsidRDefault="00066709" w:rsidP="00066709">
      <w:pPr>
        <w:pStyle w:val="Kaskda0"/>
        <w:numPr>
          <w:ilvl w:val="0"/>
          <w:numId w:val="0"/>
        </w:numPr>
        <w:ind w:left="641" w:hanging="357"/>
      </w:pPr>
      <w:r>
        <w:br w:type="page"/>
      </w:r>
    </w:p>
    <w:p w14:paraId="1004F189" w14:textId="77777777" w:rsidR="002C36D0" w:rsidRPr="009318B4" w:rsidRDefault="002C36D0" w:rsidP="002C36D0">
      <w:pPr>
        <w:pStyle w:val="Nadpis1"/>
        <w:numPr>
          <w:ilvl w:val="0"/>
          <w:numId w:val="0"/>
        </w:numPr>
        <w:ind w:left="431" w:hanging="431"/>
      </w:pPr>
      <w:bookmarkStart w:id="5" w:name="_Toc180650315"/>
      <w:r w:rsidRPr="009318B4">
        <w:lastRenderedPageBreak/>
        <w:t>Úvod</w:t>
      </w:r>
      <w:bookmarkEnd w:id="1"/>
      <w:bookmarkEnd w:id="2"/>
      <w:bookmarkEnd w:id="5"/>
    </w:p>
    <w:p w14:paraId="046E7AD7" w14:textId="08E2343A" w:rsidR="00680285" w:rsidRPr="00680285" w:rsidRDefault="00680285" w:rsidP="00680285">
      <w:r w:rsidRPr="00680285">
        <w:t xml:space="preserve">Jednou z povinností vyplývajících ze zákona č. 250/2000 Sb., o rozpočtových pravidlech územních rozpočtů je sestavení střednědobého výhledu rozpočtu. Sestavuje se na základě uzavřených smluvních vztahů a přijatých závazků zpravidla na dobu 2 až 5 let následujících po roce, na který se sestavuje rozpočet. Podle § 3 zmíněného zákona musí minimálně obsahovat základní údaje o příjmech a výdajích, o dlouhodobých závazcích a pohledávkách, o finančních zdrojích a potřebách dlouhodobě realizovaných záměrů. Zpracovaný SVR je sestaven ve větší </w:t>
      </w:r>
      <w:proofErr w:type="gramStart"/>
      <w:r w:rsidRPr="00680285">
        <w:t>podrobnosti</w:t>
      </w:r>
      <w:proofErr w:type="gramEnd"/>
      <w:r w:rsidRPr="00680285">
        <w:t xml:space="preserve"> než stanovuje zákon. Je dokumentem, který modeluje vývoj příjmů i výdajů v budoucím období. Jeho obsahem jsou též plánované investiční akce a kompletní dluhová služba. Takto sestavený výhled, který reprezentuje proces střednědobého plánování, je podkladem pro řízení rozvoje a samozřejmě i udržitelnosti ekonomické stability ÚSC. Analyzuje hospodaření ÚSC v minulosti, zobrazuje přehled o možnostech hospodaření ÚSC v budoucím období a v neposlední řadě podává informace o využití návratného způsobu financování a dlouhodobý komplexní pohled na výsledek hospodaření a finanční situaci municipality. Při čerpání finančních prostředků z EU je přínos střednědobého výhledu rozpočtu ještě markantnější. Jeho přínosem je úspora času při sestavování rozpočtu. Přispívá k eliminaci rizik při rozhodování o nových úvěrech a usnadňuje tvorbu podkladů pro žádosti o úvěr nebo dotaci.</w:t>
      </w:r>
    </w:p>
    <w:p w14:paraId="1D6B4527" w14:textId="6EDB4ED5" w:rsidR="00680285" w:rsidRPr="006A76E3" w:rsidRDefault="00680285" w:rsidP="00680285">
      <w:r w:rsidRPr="00680285">
        <w:t>Celou analýzu hospodaření minulých pěti let významně ovlivňují covidové roky 2020 a 2021. Také následující roky 2022 a 2023 jsou silně poznamenány válkou na Ukrajině a z toho plynoucí energetickou krizí a zejména bezprecedentní výší inflace. To znamená, že čtyři z pěti posledních let byly zasaženy krizovým vývojem ekonomiky. Na toto období navazuje v letošním roce snaha vlády o konsolidaci veřejných financí. Ke škodě nás všech však snaha pětikoalice a její kompromisní návrhy zapracované v konsolidačním balíčku působí spíše nekoncepčně až chaoticky. S největší pravděpodobností tyto změny budou mít negativní dopad na hospodaření USC</w:t>
      </w:r>
      <w:r w:rsidRPr="006A76E3">
        <w:t>.</w:t>
      </w:r>
      <w:r w:rsidR="001952DA" w:rsidRPr="006A76E3">
        <w:t xml:space="preserve"> </w:t>
      </w:r>
      <w:bookmarkStart w:id="6" w:name="_Hlk179539771"/>
      <w:r w:rsidR="001952DA" w:rsidRPr="006A76E3">
        <w:t>Práce na SVR neusnadňuje vláda i na konci roku, kdy předložila k projednání nerealistický návrh státního rozpočtu, vycházející z doposud neexistující legislativy. Pokud všechny vládní záměry budou realizovány, budou mít značný dopad na hospodaření USC (výpočet sdílených daní založený na hodnotách počtu obyvatel z registru obyvatel /doposud z evidence ČSÚ/ nebo povinnost financování platů nepedagogických pracovníků zřizovatelem</w:t>
      </w:r>
      <w:r w:rsidR="00261E04" w:rsidRPr="006A76E3">
        <w:t>,</w:t>
      </w:r>
      <w:r w:rsidR="001952DA" w:rsidRPr="006A76E3">
        <w:t xml:space="preserve"> a to vše při poklesu</w:t>
      </w:r>
      <w:r w:rsidR="00261E04" w:rsidRPr="006A76E3">
        <w:t xml:space="preserve"> podílu ÚSC u položek sdílených daní hodnot SR z 24,92 % v roce 2024 na 24,16 % od roku 2025</w:t>
      </w:r>
      <w:r w:rsidR="001952DA" w:rsidRPr="006A76E3">
        <w:t>).</w:t>
      </w:r>
      <w:bookmarkEnd w:id="6"/>
    </w:p>
    <w:p w14:paraId="71819EF9" w14:textId="6766384F" w:rsidR="002C36D0" w:rsidRPr="004E0624" w:rsidRDefault="00680285" w:rsidP="00680285">
      <w:r w:rsidRPr="00680285">
        <w:t xml:space="preserve">Proto bude třeba provádět průběžnou kontrolu a monitoring naplňování v rozpočtu obsažených ukazatelů. Ze všech těchto důvodů je nezbytné přistupovat k vyhodnocování plnění SVR alespoň jednou ročně. Pro zachování jeho efektivnosti, by měl být každoročně aktualizován a jeho platnost prodloužena o další rok se znalostí aktuálního stavu a vývoje hospodaření. Při dodržení těchto pravidel má samospráva možnost operativně reagovat a svými rozhodnutími korigovat hospodaření </w:t>
      </w:r>
      <w:r w:rsidRPr="004E0624">
        <w:t>ÚSC. Podkladem pro tvorbu tohoto dokumentu jsou následující zdroje:</w:t>
      </w:r>
    </w:p>
    <w:p w14:paraId="14BCAE7F" w14:textId="165808D1" w:rsidR="002C36D0" w:rsidRPr="004E0624" w:rsidRDefault="002C36D0" w:rsidP="00DB64C2">
      <w:pPr>
        <w:pStyle w:val="Kaskda0"/>
        <w:numPr>
          <w:ilvl w:val="0"/>
          <w:numId w:val="33"/>
        </w:numPr>
      </w:pPr>
      <w:r w:rsidRPr="004E0624">
        <w:t xml:space="preserve">Účetnictví a rozpočty let </w:t>
      </w:r>
      <w:proofErr w:type="gramStart"/>
      <w:r w:rsidR="00E77FC3" w:rsidRPr="004E0624">
        <w:t>2019 - 2023</w:t>
      </w:r>
      <w:proofErr w:type="gramEnd"/>
    </w:p>
    <w:p w14:paraId="257EF151" w14:textId="4A1B8EA8" w:rsidR="002C36D0" w:rsidRPr="004E0624" w:rsidRDefault="002C36D0" w:rsidP="00DB64C2">
      <w:pPr>
        <w:pStyle w:val="Kaskda0"/>
        <w:numPr>
          <w:ilvl w:val="0"/>
          <w:numId w:val="33"/>
        </w:numPr>
      </w:pPr>
      <w:r w:rsidRPr="004E0624">
        <w:t xml:space="preserve">Platný rozpočet </w:t>
      </w:r>
      <w:r w:rsidR="00727DDC" w:rsidRPr="004E0624">
        <w:t xml:space="preserve">statutárního </w:t>
      </w:r>
      <w:r w:rsidRPr="004E0624">
        <w:t xml:space="preserve">města </w:t>
      </w:r>
      <w:r w:rsidR="00727DDC" w:rsidRPr="004E0624">
        <w:t xml:space="preserve">(dále jen města) </w:t>
      </w:r>
      <w:r w:rsidRPr="004E0624">
        <w:t xml:space="preserve">na rok </w:t>
      </w:r>
      <w:r w:rsidR="00E77FC3" w:rsidRPr="004E0624">
        <w:t>2024</w:t>
      </w:r>
      <w:r w:rsidRPr="004E0624">
        <w:t xml:space="preserve"> </w:t>
      </w:r>
      <w:r w:rsidR="00564E09" w:rsidRPr="004E0624">
        <w:t>(</w:t>
      </w:r>
      <w:r w:rsidR="00E77FC3" w:rsidRPr="004E0624">
        <w:t>červen</w:t>
      </w:r>
      <w:r w:rsidR="00564E09" w:rsidRPr="004E0624">
        <w:t>)</w:t>
      </w:r>
      <w:r w:rsidRPr="004E0624">
        <w:t xml:space="preserve"> - výchozí dokument střednědobého výhledu</w:t>
      </w:r>
    </w:p>
    <w:p w14:paraId="11FC663A" w14:textId="77777777" w:rsidR="002C36D0" w:rsidRPr="004E0624" w:rsidRDefault="002C36D0" w:rsidP="00DB64C2">
      <w:pPr>
        <w:pStyle w:val="Kaskda0"/>
        <w:numPr>
          <w:ilvl w:val="0"/>
          <w:numId w:val="33"/>
        </w:numPr>
      </w:pPr>
      <w:r w:rsidRPr="004E0624">
        <w:t>Provedená analýza hospodaření města</w:t>
      </w:r>
    </w:p>
    <w:p w14:paraId="1AEA8295" w14:textId="77777777" w:rsidR="002C36D0" w:rsidRPr="004E0624" w:rsidRDefault="002C36D0" w:rsidP="00DB64C2">
      <w:pPr>
        <w:pStyle w:val="Kaskda0"/>
        <w:numPr>
          <w:ilvl w:val="0"/>
          <w:numId w:val="33"/>
        </w:numPr>
      </w:pPr>
      <w:r w:rsidRPr="004E0624">
        <w:t xml:space="preserve">Dluhová </w:t>
      </w:r>
      <w:proofErr w:type="gramStart"/>
      <w:r w:rsidRPr="004E0624">
        <w:t>služba - splátkové</w:t>
      </w:r>
      <w:proofErr w:type="gramEnd"/>
      <w:r w:rsidRPr="004E0624">
        <w:t xml:space="preserve"> kalendáře stávajících nebo budoucích závazků (jistin a úroků)</w:t>
      </w:r>
    </w:p>
    <w:p w14:paraId="31A05ADB" w14:textId="3FBFB24E" w:rsidR="00107A6B" w:rsidRPr="004E0624" w:rsidRDefault="002C36D0" w:rsidP="00DB64C2">
      <w:pPr>
        <w:pStyle w:val="Kaskda0"/>
        <w:numPr>
          <w:ilvl w:val="0"/>
          <w:numId w:val="33"/>
        </w:numPr>
      </w:pPr>
      <w:r w:rsidRPr="004E0624">
        <w:t xml:space="preserve">Predikce sdílených daní na rok </w:t>
      </w:r>
      <w:r w:rsidR="00E77FC3" w:rsidRPr="004E0624">
        <w:t>2024</w:t>
      </w:r>
      <w:r w:rsidRPr="004E0624">
        <w:t xml:space="preserve"> ze </w:t>
      </w:r>
      <w:r w:rsidR="00080619" w:rsidRPr="004E0624">
        <w:t xml:space="preserve">schváleného </w:t>
      </w:r>
      <w:r w:rsidR="00107A6B" w:rsidRPr="004E0624">
        <w:t>státního rozpočtu</w:t>
      </w:r>
    </w:p>
    <w:p w14:paraId="6FCA5D65" w14:textId="04930427" w:rsidR="002C36D0" w:rsidRPr="00796EE1" w:rsidRDefault="00107A6B" w:rsidP="00DB64C2">
      <w:pPr>
        <w:pStyle w:val="Kaskda0"/>
        <w:numPr>
          <w:ilvl w:val="0"/>
          <w:numId w:val="33"/>
        </w:numPr>
      </w:pPr>
      <w:r w:rsidRPr="009318B4">
        <w:t xml:space="preserve">Predikce sdílených daní na roky </w:t>
      </w:r>
      <w:proofErr w:type="gramStart"/>
      <w:r w:rsidR="00E77FC3">
        <w:t>202</w:t>
      </w:r>
      <w:r w:rsidR="004E0624">
        <w:t>5</w:t>
      </w:r>
      <w:r w:rsidR="00E77FC3">
        <w:t xml:space="preserve"> - 2027</w:t>
      </w:r>
      <w:proofErr w:type="gramEnd"/>
      <w:r w:rsidR="00C85777">
        <w:t xml:space="preserve"> </w:t>
      </w:r>
      <w:r w:rsidRPr="00B44E53">
        <w:t xml:space="preserve">z návrhu státního rozpočtu </w:t>
      </w:r>
      <w:r w:rsidR="00C85777" w:rsidRPr="00B44E53">
        <w:t>a</w:t>
      </w:r>
      <w:r w:rsidR="00C85777">
        <w:t xml:space="preserve"> </w:t>
      </w:r>
      <w:r w:rsidR="002C36D0" w:rsidRPr="00796EE1">
        <w:t xml:space="preserve">střednědobého </w:t>
      </w:r>
      <w:r w:rsidR="0088212C" w:rsidRPr="00796EE1">
        <w:t xml:space="preserve">výhledu </w:t>
      </w:r>
      <w:r w:rsidR="002C36D0" w:rsidRPr="00796EE1">
        <w:t>rozpočtu stát</w:t>
      </w:r>
      <w:r w:rsidR="00F03C3A">
        <w:t>u</w:t>
      </w:r>
    </w:p>
    <w:p w14:paraId="416DE3BA" w14:textId="77777777" w:rsidR="002C36D0" w:rsidRPr="00796EE1" w:rsidRDefault="002C36D0" w:rsidP="00DB64C2">
      <w:pPr>
        <w:pStyle w:val="Kaskda0"/>
        <w:numPr>
          <w:ilvl w:val="0"/>
          <w:numId w:val="33"/>
        </w:numPr>
      </w:pPr>
      <w:r w:rsidRPr="00796EE1">
        <w:t>Koeficienty odpovídající potřebám, povinnostem a ekonomickému hospodaření města dle předpokládaného vývoje ekonomiky státu</w:t>
      </w:r>
    </w:p>
    <w:p w14:paraId="2FC6301C" w14:textId="77777777" w:rsidR="002C36D0" w:rsidRPr="004E0624" w:rsidRDefault="002C36D0" w:rsidP="00DB64C2">
      <w:pPr>
        <w:pStyle w:val="Kaskda0"/>
        <w:numPr>
          <w:ilvl w:val="0"/>
          <w:numId w:val="33"/>
        </w:numPr>
      </w:pPr>
      <w:r w:rsidRPr="00796EE1">
        <w:t xml:space="preserve">Předpokládané nahodilé příjmy </w:t>
      </w:r>
      <w:r w:rsidRPr="004E0624">
        <w:t>a výdaje</w:t>
      </w:r>
    </w:p>
    <w:p w14:paraId="1C6B6CC1" w14:textId="1025FB3D" w:rsidR="002C36D0" w:rsidRPr="004E0624" w:rsidRDefault="002C36D0" w:rsidP="00DB64C2">
      <w:pPr>
        <w:pStyle w:val="Kaskda0"/>
        <w:numPr>
          <w:ilvl w:val="0"/>
          <w:numId w:val="33"/>
        </w:numPr>
      </w:pPr>
      <w:r w:rsidRPr="004E0624">
        <w:t xml:space="preserve">Konzultace s odpovědnými pracovníky </w:t>
      </w:r>
      <w:r w:rsidR="00727DDC" w:rsidRPr="004E0624">
        <w:t>magistrátu</w:t>
      </w:r>
      <w:r w:rsidRPr="004E0624">
        <w:t>, zejména odboru ekonomiky</w:t>
      </w:r>
    </w:p>
    <w:p w14:paraId="6037F4D7" w14:textId="77777777" w:rsidR="00D07CE6" w:rsidRDefault="00D07CE6" w:rsidP="002C36D0">
      <w:pPr>
        <w:rPr>
          <w:highlight w:val="yellow"/>
        </w:rPr>
      </w:pPr>
    </w:p>
    <w:p w14:paraId="5DB8B5F1" w14:textId="77777777" w:rsidR="00D07CE6" w:rsidRDefault="00D07CE6" w:rsidP="002C36D0">
      <w:pPr>
        <w:rPr>
          <w:highlight w:val="yellow"/>
        </w:rPr>
        <w:sectPr w:rsidR="00D07CE6" w:rsidSect="00216871">
          <w:footerReference w:type="default" r:id="rId9"/>
          <w:headerReference w:type="first" r:id="rId10"/>
          <w:footerReference w:type="first" r:id="rId11"/>
          <w:pgSz w:w="11906" w:h="16838"/>
          <w:pgMar w:top="1417" w:right="849" w:bottom="1236" w:left="851" w:header="709" w:footer="280" w:gutter="0"/>
          <w:cols w:space="708"/>
          <w:titlePg/>
          <w:docGrid w:linePitch="360"/>
        </w:sectPr>
      </w:pPr>
    </w:p>
    <w:p w14:paraId="1228D697" w14:textId="77777777" w:rsidR="002C36D0" w:rsidRPr="009318B4" w:rsidRDefault="002C36D0" w:rsidP="002C36D0">
      <w:pPr>
        <w:pStyle w:val="Nadpis1"/>
      </w:pPr>
      <w:bookmarkStart w:id="7" w:name="_Toc180650316"/>
      <w:bookmarkStart w:id="8" w:name="_Toc62211716"/>
      <w:bookmarkEnd w:id="3"/>
      <w:r w:rsidRPr="009318B4">
        <w:lastRenderedPageBreak/>
        <w:t>Analýza hospodaření uplynulého období</w:t>
      </w:r>
      <w:bookmarkEnd w:id="7"/>
    </w:p>
    <w:p w14:paraId="43BD11E2" w14:textId="77777777" w:rsidR="00080619" w:rsidRDefault="00080619" w:rsidP="00080619">
      <w:r w:rsidRPr="00080619">
        <w:t>Analýza se zaměřuje na zhodnocení hospodaření v předcházejícím pětiletém období a na základě takto získaných poznatků je důležitým nástrojem modelování a tvorby střednědobého výhledu rozpočtu. Přínosem k reálnému sestavení SVR je analýza vývoje důl</w:t>
      </w:r>
      <w:r>
        <w:t>ežitých ekonomických ukazatelů</w:t>
      </w:r>
      <w:r w:rsidR="00E9609E">
        <w:t>:</w:t>
      </w:r>
    </w:p>
    <w:p w14:paraId="4763D954" w14:textId="5CE7A77C" w:rsidR="00080619" w:rsidRPr="00C379AC" w:rsidRDefault="00080619" w:rsidP="00080619">
      <w:pPr>
        <w:pStyle w:val="Odstavecseseznamem"/>
        <w:numPr>
          <w:ilvl w:val="0"/>
          <w:numId w:val="38"/>
        </w:numPr>
        <w:rPr>
          <w:rFonts w:asciiTheme="minorHAnsi" w:hAnsiTheme="minorHAnsi" w:cstheme="minorHAnsi"/>
          <w:sz w:val="22"/>
          <w:szCs w:val="22"/>
        </w:rPr>
      </w:pPr>
      <w:r w:rsidRPr="00C379AC">
        <w:rPr>
          <w:rFonts w:asciiTheme="minorHAnsi" w:hAnsiTheme="minorHAnsi" w:cstheme="minorHAnsi"/>
          <w:sz w:val="22"/>
          <w:szCs w:val="22"/>
        </w:rPr>
        <w:t>Bilance hospodaření (Saldo úplné)</w:t>
      </w:r>
    </w:p>
    <w:p w14:paraId="5C953744" w14:textId="340089C6" w:rsidR="00080619" w:rsidRPr="00C379AC" w:rsidRDefault="00080619" w:rsidP="00080619">
      <w:pPr>
        <w:pStyle w:val="Odstavecseseznamem"/>
        <w:numPr>
          <w:ilvl w:val="0"/>
          <w:numId w:val="38"/>
        </w:numPr>
        <w:rPr>
          <w:rFonts w:asciiTheme="minorHAnsi" w:hAnsiTheme="minorHAnsi" w:cstheme="minorHAnsi"/>
          <w:sz w:val="22"/>
          <w:szCs w:val="22"/>
        </w:rPr>
      </w:pPr>
      <w:r w:rsidRPr="00C379AC">
        <w:rPr>
          <w:rFonts w:asciiTheme="minorHAnsi" w:hAnsiTheme="minorHAnsi" w:cstheme="minorHAnsi"/>
          <w:sz w:val="22"/>
          <w:szCs w:val="22"/>
        </w:rPr>
        <w:t>Saldo (bez financování)</w:t>
      </w:r>
    </w:p>
    <w:p w14:paraId="63761E0B" w14:textId="35BDE959" w:rsidR="00080619" w:rsidRPr="00C379AC" w:rsidRDefault="00080619" w:rsidP="00080619">
      <w:pPr>
        <w:pStyle w:val="Odstavecseseznamem"/>
        <w:numPr>
          <w:ilvl w:val="0"/>
          <w:numId w:val="38"/>
        </w:numPr>
        <w:rPr>
          <w:rFonts w:asciiTheme="minorHAnsi" w:hAnsiTheme="minorHAnsi" w:cstheme="minorHAnsi"/>
          <w:sz w:val="22"/>
          <w:szCs w:val="22"/>
        </w:rPr>
      </w:pPr>
      <w:r w:rsidRPr="00C379AC">
        <w:rPr>
          <w:rFonts w:asciiTheme="minorHAnsi" w:hAnsiTheme="minorHAnsi" w:cstheme="minorHAnsi"/>
          <w:sz w:val="22"/>
          <w:szCs w:val="22"/>
        </w:rPr>
        <w:t>Provozní přebytek</w:t>
      </w:r>
    </w:p>
    <w:p w14:paraId="456B6CE1" w14:textId="148D0E06" w:rsidR="00080619" w:rsidRPr="00C379AC" w:rsidRDefault="00080619" w:rsidP="00080619">
      <w:pPr>
        <w:pStyle w:val="Odstavecseseznamem"/>
        <w:numPr>
          <w:ilvl w:val="0"/>
          <w:numId w:val="38"/>
        </w:numPr>
        <w:rPr>
          <w:rFonts w:asciiTheme="minorHAnsi" w:hAnsiTheme="minorHAnsi" w:cstheme="minorHAnsi"/>
          <w:sz w:val="22"/>
          <w:szCs w:val="22"/>
        </w:rPr>
      </w:pPr>
      <w:r w:rsidRPr="00C379AC">
        <w:rPr>
          <w:rFonts w:asciiTheme="minorHAnsi" w:hAnsiTheme="minorHAnsi" w:cstheme="minorHAnsi"/>
          <w:sz w:val="22"/>
          <w:szCs w:val="22"/>
        </w:rPr>
        <w:t>Ukazatel provozních úspor</w:t>
      </w:r>
    </w:p>
    <w:p w14:paraId="453CC842" w14:textId="025FA744" w:rsidR="00080619" w:rsidRPr="00C379AC" w:rsidRDefault="00080619" w:rsidP="00080619">
      <w:pPr>
        <w:pStyle w:val="Odstavecseseznamem"/>
        <w:numPr>
          <w:ilvl w:val="0"/>
          <w:numId w:val="38"/>
        </w:numPr>
        <w:rPr>
          <w:rFonts w:asciiTheme="minorHAnsi" w:hAnsiTheme="minorHAnsi" w:cstheme="minorHAnsi"/>
          <w:sz w:val="22"/>
          <w:szCs w:val="22"/>
        </w:rPr>
      </w:pPr>
      <w:r w:rsidRPr="00C379AC">
        <w:rPr>
          <w:rFonts w:asciiTheme="minorHAnsi" w:hAnsiTheme="minorHAnsi" w:cstheme="minorHAnsi"/>
          <w:sz w:val="22"/>
          <w:szCs w:val="22"/>
        </w:rPr>
        <w:t>Ukazatel dluhové sl</w:t>
      </w:r>
      <w:r w:rsidR="00E9609E" w:rsidRPr="00C379AC">
        <w:rPr>
          <w:rFonts w:asciiTheme="minorHAnsi" w:hAnsiTheme="minorHAnsi" w:cstheme="minorHAnsi"/>
          <w:sz w:val="22"/>
          <w:szCs w:val="22"/>
        </w:rPr>
        <w:t>užby</w:t>
      </w:r>
    </w:p>
    <w:p w14:paraId="47DB619F" w14:textId="77777777" w:rsidR="002C36D0" w:rsidRPr="009318B4" w:rsidRDefault="00E6424A" w:rsidP="002C36D0">
      <w:r>
        <w:t>Tyto ukazatele</w:t>
      </w:r>
      <w:r w:rsidR="004E314F">
        <w:t xml:space="preserve"> jsou závislé</w:t>
      </w:r>
      <w:r w:rsidR="002C36D0" w:rsidRPr="009318B4">
        <w:t xml:space="preserve"> na vývoji dvou základních hodnot rozpočtu – </w:t>
      </w:r>
      <w:r w:rsidR="002C36D0" w:rsidRPr="00C379AC">
        <w:t xml:space="preserve">příjmů a výdajů. Pro sestavení střednědobého výhledu je pak důležitý i </w:t>
      </w:r>
      <w:r w:rsidR="00C379AC" w:rsidRPr="00C379AC">
        <w:t>průběh</w:t>
      </w:r>
      <w:r w:rsidR="002C36D0" w:rsidRPr="00C379AC">
        <w:t xml:space="preserve"> minulosti</w:t>
      </w:r>
      <w:r w:rsidR="002C36D0" w:rsidRPr="009318B4">
        <w:t xml:space="preserve"> a predikce </w:t>
      </w:r>
      <w:r w:rsidR="00871150" w:rsidRPr="00871150">
        <w:t>budoucích hodnot nejdůležitější příjmové skupiny municipalit, a to sdílených daní (daně fyzických, právnických osob a DPH)</w:t>
      </w:r>
      <w:r w:rsidR="00871150">
        <w:t>.</w:t>
      </w:r>
    </w:p>
    <w:p w14:paraId="463CDBD7" w14:textId="77777777" w:rsidR="002C36D0" w:rsidRPr="009318B4" w:rsidRDefault="002C36D0" w:rsidP="002C36D0">
      <w:pPr>
        <w:pStyle w:val="Nadpis2"/>
      </w:pPr>
      <w:bookmarkStart w:id="9" w:name="_Toc62211715"/>
      <w:bookmarkStart w:id="10" w:name="_Toc180650317"/>
      <w:r w:rsidRPr="009318B4">
        <w:t>Příjmy</w:t>
      </w:r>
      <w:bookmarkEnd w:id="9"/>
      <w:bookmarkEnd w:id="10"/>
    </w:p>
    <w:p w14:paraId="27CAA119" w14:textId="72F4A137" w:rsidR="002C36D0" w:rsidRDefault="00947AE7" w:rsidP="002C36D0">
      <w:r w:rsidRPr="001B58F3">
        <w:rPr>
          <w:rFonts w:ascii="Verdana" w:hAnsi="Verdana"/>
          <w:noProof/>
          <w:sz w:val="19"/>
          <w:highlight w:val="cyan"/>
          <w:lang w:eastAsia="cs-CZ"/>
        </w:rPr>
        <mc:AlternateContent>
          <mc:Choice Requires="wps">
            <w:drawing>
              <wp:anchor distT="0" distB="0" distL="114300" distR="114300" simplePos="0" relativeHeight="251642368" behindDoc="0" locked="0" layoutInCell="1" allowOverlap="1" wp14:anchorId="737F051C" wp14:editId="09FBF658">
                <wp:simplePos x="0" y="0"/>
                <wp:positionH relativeFrom="page">
                  <wp:posOffset>539126</wp:posOffset>
                </wp:positionH>
                <wp:positionV relativeFrom="paragraph">
                  <wp:posOffset>1376464</wp:posOffset>
                </wp:positionV>
                <wp:extent cx="1403985" cy="866830"/>
                <wp:effectExtent l="0" t="0" r="5715" b="9525"/>
                <wp:wrapNone/>
                <wp:docPr id="675"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3985" cy="86683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295111BE" w14:textId="442466FF" w:rsidR="0031735E" w:rsidRPr="004E0624" w:rsidRDefault="0031735E" w:rsidP="0005697C">
                            <w:pPr>
                              <w:spacing w:after="0"/>
                              <w:jc w:val="left"/>
                              <w:rPr>
                                <w:rStyle w:val="Odkaznakoment"/>
                                <w:rFonts w:cstheme="minorHAnsi"/>
                                <w:i/>
                                <w:sz w:val="20"/>
                                <w:szCs w:val="20"/>
                              </w:rPr>
                            </w:pPr>
                            <w:r w:rsidRPr="00005E0E">
                              <w:rPr>
                                <w:rStyle w:val="Odkaznakoment"/>
                                <w:rFonts w:cstheme="minorHAnsi"/>
                                <w:i/>
                                <w:sz w:val="20"/>
                                <w:szCs w:val="20"/>
                              </w:rPr>
                              <w:t>Příjmy v roce 20</w:t>
                            </w:r>
                            <w:r w:rsidR="004E0624">
                              <w:rPr>
                                <w:rStyle w:val="Odkaznakoment"/>
                                <w:rFonts w:cstheme="minorHAnsi"/>
                                <w:i/>
                                <w:sz w:val="20"/>
                                <w:szCs w:val="20"/>
                              </w:rPr>
                              <w:t>19</w:t>
                            </w:r>
                            <w:r w:rsidRPr="00005E0E">
                              <w:rPr>
                                <w:rStyle w:val="Odkaznakoment"/>
                                <w:rFonts w:cstheme="minorHAnsi"/>
                                <w:i/>
                                <w:sz w:val="20"/>
                                <w:szCs w:val="20"/>
                              </w:rPr>
                              <w:t xml:space="preserve"> ovlivněny vysokou hodnotou investičních </w:t>
                            </w:r>
                            <w:r w:rsidRPr="004E0624">
                              <w:rPr>
                                <w:rStyle w:val="Odkaznakoment"/>
                                <w:rFonts w:cstheme="minorHAnsi"/>
                                <w:i/>
                                <w:sz w:val="20"/>
                                <w:szCs w:val="20"/>
                              </w:rPr>
                              <w:t>transferů</w:t>
                            </w:r>
                          </w:p>
                          <w:p w14:paraId="26227FB7" w14:textId="613F1855" w:rsidR="0031735E" w:rsidRPr="00566FE3" w:rsidRDefault="0031735E" w:rsidP="00947AE7">
                            <w:pPr>
                              <w:spacing w:before="0" w:after="0"/>
                              <w:jc w:val="left"/>
                              <w:rPr>
                                <w:rFonts w:cstheme="minorHAnsi"/>
                                <w:b/>
                                <w:i/>
                                <w:color w:val="548DD4" w:themeColor="text2" w:themeTint="99"/>
                                <w:sz w:val="28"/>
                                <w:szCs w:val="28"/>
                              </w:rPr>
                            </w:pPr>
                            <w:r w:rsidRPr="004E0624">
                              <w:rPr>
                                <w:rFonts w:cstheme="minorHAnsi"/>
                                <w:b/>
                                <w:i/>
                                <w:color w:val="548DD4" w:themeColor="text2" w:themeTint="99"/>
                                <w:sz w:val="28"/>
                                <w:szCs w:val="28"/>
                              </w:rPr>
                              <w:t>1</w:t>
                            </w:r>
                            <w:r w:rsidR="004E0624" w:rsidRPr="004E0624">
                              <w:rPr>
                                <w:rFonts w:cstheme="minorHAnsi"/>
                                <w:b/>
                                <w:i/>
                                <w:color w:val="548DD4" w:themeColor="text2" w:themeTint="99"/>
                                <w:sz w:val="28"/>
                                <w:szCs w:val="28"/>
                              </w:rPr>
                              <w:t>03,3</w:t>
                            </w:r>
                            <w:r w:rsidRPr="004E0624">
                              <w:rPr>
                                <w:rFonts w:cstheme="minorHAnsi"/>
                                <w:b/>
                                <w:i/>
                                <w:color w:val="548DD4" w:themeColor="text2" w:themeTint="99"/>
                                <w:sz w:val="28"/>
                                <w:szCs w:val="28"/>
                              </w:rPr>
                              <w:t xml:space="preserve"> mil. Kč</w:t>
                            </w:r>
                          </w:p>
                          <w:p w14:paraId="148A5338" w14:textId="77777777" w:rsidR="0031735E" w:rsidRPr="001B58F3" w:rsidRDefault="0031735E" w:rsidP="00E03088">
                            <w:pPr>
                              <w:spacing w:after="0"/>
                              <w:jc w:val="left"/>
                              <w:rPr>
                                <w:rFonts w:cstheme="minorHAnsi"/>
                                <w:i/>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type w14:anchorId="737F051C" id="_x0000_t202" coordsize="21600,21600" o:spt="202" path="m,l,21600r21600,l21600,xe">
                <v:stroke joinstyle="miter"/>
                <v:path gradientshapeok="t" o:connecttype="rect"/>
              </v:shapetype>
              <v:shape id="Textové pole 47" o:spid="_x0000_s1026" type="#_x0000_t202" style="position:absolute;left:0;text-align:left;margin-left:42.45pt;margin-top:108.4pt;width:110.55pt;height:68.25pt;z-index:251642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" fillcolor="white [3201]" stroked="f" strokeweight=".5pt">
                <v:path arrowok="t"/>
                <v:textbox inset="0,0,0,0">
                  <w:txbxContent>
                    <w:p w14:paraId="295111BE" w14:textId="442466FF" w:rsidR="0031735E" w:rsidRPr="004E0624" w:rsidRDefault="0031735E" w:rsidP="0005697C">
                      <w:pPr>
                        <w:spacing w:after="0"/>
                        <w:jc w:val="left"/>
                        <w:rPr>
                          <w:rStyle w:val="Odkaznakoment"/>
                          <w:rFonts w:cstheme="minorHAnsi"/>
                          <w:i/>
                          <w:sz w:val="20"/>
                          <w:szCs w:val="20"/>
                        </w:rPr>
                      </w:pPr>
                      <w:r w:rsidRPr="00005E0E">
                        <w:rPr>
                          <w:rStyle w:val="Odkaznakoment"/>
                          <w:rFonts w:cstheme="minorHAnsi"/>
                          <w:i/>
                          <w:sz w:val="20"/>
                          <w:szCs w:val="20"/>
                        </w:rPr>
                        <w:t>Příjmy v roce 20</w:t>
                      </w:r>
                      <w:r w:rsidR="004E0624">
                        <w:rPr>
                          <w:rStyle w:val="Odkaznakoment"/>
                          <w:rFonts w:cstheme="minorHAnsi"/>
                          <w:i/>
                          <w:sz w:val="20"/>
                          <w:szCs w:val="20"/>
                        </w:rPr>
                        <w:t>19</w:t>
                      </w:r>
                      <w:r w:rsidRPr="00005E0E">
                        <w:rPr>
                          <w:rStyle w:val="Odkaznakoment"/>
                          <w:rFonts w:cstheme="minorHAnsi"/>
                          <w:i/>
                          <w:sz w:val="20"/>
                          <w:szCs w:val="20"/>
                        </w:rPr>
                        <w:t xml:space="preserve"> ovlivněny vysokou hodnotou investičních </w:t>
                      </w:r>
                      <w:r w:rsidRPr="004E0624">
                        <w:rPr>
                          <w:rStyle w:val="Odkaznakoment"/>
                          <w:rFonts w:cstheme="minorHAnsi"/>
                          <w:i/>
                          <w:sz w:val="20"/>
                          <w:szCs w:val="20"/>
                        </w:rPr>
                        <w:t>transferů</w:t>
                      </w:r>
                    </w:p>
                    <w:p w14:paraId="26227FB7" w14:textId="613F1855" w:rsidR="0031735E" w:rsidRPr="00566FE3" w:rsidRDefault="0031735E" w:rsidP="00947AE7">
                      <w:pPr>
                        <w:spacing w:before="0" w:after="0"/>
                        <w:jc w:val="left"/>
                        <w:rPr>
                          <w:rFonts w:cstheme="minorHAnsi"/>
                          <w:b/>
                          <w:i/>
                          <w:color w:val="548DD4" w:themeColor="text2" w:themeTint="99"/>
                          <w:sz w:val="28"/>
                          <w:szCs w:val="28"/>
                        </w:rPr>
                      </w:pPr>
                      <w:r w:rsidRPr="004E0624">
                        <w:rPr>
                          <w:rFonts w:cstheme="minorHAnsi"/>
                          <w:b/>
                          <w:i/>
                          <w:color w:val="548DD4" w:themeColor="text2" w:themeTint="99"/>
                          <w:sz w:val="28"/>
                          <w:szCs w:val="28"/>
                        </w:rPr>
                        <w:t>1</w:t>
                      </w:r>
                      <w:r w:rsidR="004E0624" w:rsidRPr="004E0624">
                        <w:rPr>
                          <w:rFonts w:cstheme="minorHAnsi"/>
                          <w:b/>
                          <w:i/>
                          <w:color w:val="548DD4" w:themeColor="text2" w:themeTint="99"/>
                          <w:sz w:val="28"/>
                          <w:szCs w:val="28"/>
                        </w:rPr>
                        <w:t>03,3</w:t>
                      </w:r>
                      <w:r w:rsidRPr="004E0624">
                        <w:rPr>
                          <w:rFonts w:cstheme="minorHAnsi"/>
                          <w:b/>
                          <w:i/>
                          <w:color w:val="548DD4" w:themeColor="text2" w:themeTint="99"/>
                          <w:sz w:val="28"/>
                          <w:szCs w:val="28"/>
                        </w:rPr>
                        <w:t xml:space="preserve"> mil. Kč</w:t>
                      </w:r>
                    </w:p>
                    <w:p w14:paraId="148A5338" w14:textId="77777777" w:rsidR="0031735E" w:rsidRPr="001B58F3" w:rsidRDefault="0031735E" w:rsidP="00E03088">
                      <w:pPr>
                        <w:spacing w:after="0"/>
                        <w:jc w:val="left"/>
                        <w:rPr>
                          <w:rFonts w:cstheme="minorHAnsi"/>
                          <w:i/>
                          <w:sz w:val="20"/>
                          <w:szCs w:val="20"/>
                        </w:rPr>
                      </w:pPr>
                    </w:p>
                  </w:txbxContent>
                </v:textbox>
                <w10:wrap anchorx="page"/>
              </v:shape>
            </w:pict>
          </mc:Fallback>
        </mc:AlternateContent>
      </w:r>
      <w:r w:rsidR="004E0624">
        <w:t>Celkové p</w:t>
      </w:r>
      <w:r w:rsidR="00680285" w:rsidRPr="00E8018F">
        <w:t xml:space="preserve">říjmy za celé sledované období vykazují stoupající tendenci. </w:t>
      </w:r>
      <w:r w:rsidR="00680285">
        <w:t>Jejich m</w:t>
      </w:r>
      <w:r w:rsidR="00680285" w:rsidRPr="00E8018F">
        <w:t>eziroční růst je ovlivněn zejména vývojem běžných</w:t>
      </w:r>
      <w:r w:rsidR="00B44E53" w:rsidRPr="00B44E53">
        <w:t xml:space="preserve"> </w:t>
      </w:r>
      <w:r w:rsidR="00B44E53" w:rsidRPr="00E8018F">
        <w:t>příjmů</w:t>
      </w:r>
      <w:r w:rsidR="000773FF">
        <w:t xml:space="preserve">, které </w:t>
      </w:r>
      <w:r w:rsidR="000773FF" w:rsidRPr="000773FF">
        <w:t>až na výjimku v roce 2020</w:t>
      </w:r>
      <w:r w:rsidR="00680285" w:rsidRPr="000773FF">
        <w:t xml:space="preserve"> meziročně rostly v celém sledovaném období</w:t>
      </w:r>
      <w:r w:rsidR="00715F0B" w:rsidRPr="000773FF">
        <w:t xml:space="preserve">. </w:t>
      </w:r>
      <w:r w:rsidR="000773FF" w:rsidRPr="000773FF">
        <w:t xml:space="preserve">Právě v roce </w:t>
      </w:r>
      <w:r w:rsidR="00680285" w:rsidRPr="000773FF">
        <w:t xml:space="preserve">2020 došlo k relativně významnému poklesu </w:t>
      </w:r>
      <w:r w:rsidR="000773FF" w:rsidRPr="000773FF">
        <w:t xml:space="preserve">celkových příjmů (o </w:t>
      </w:r>
      <w:r w:rsidR="004E0624" w:rsidRPr="000773FF">
        <w:t>87,2</w:t>
      </w:r>
      <w:r w:rsidR="00680285" w:rsidRPr="000773FF">
        <w:t xml:space="preserve"> mil. Kč</w:t>
      </w:r>
      <w:r w:rsidR="000773FF" w:rsidRPr="000773FF">
        <w:t>)</w:t>
      </w:r>
      <w:r w:rsidR="00680285" w:rsidRPr="000773FF">
        <w:t xml:space="preserve">. Tento pokles byl zapříčiněn zejména nižšími přijatými investičními transfery (o </w:t>
      </w:r>
      <w:r w:rsidR="004E0624" w:rsidRPr="000773FF">
        <w:t>73,7</w:t>
      </w:r>
      <w:r w:rsidR="00680285" w:rsidRPr="000773FF">
        <w:t xml:space="preserve"> mil. Kč). </w:t>
      </w:r>
      <w:r w:rsidR="000773FF" w:rsidRPr="000773FF">
        <w:t xml:space="preserve">V </w:t>
      </w:r>
      <w:r w:rsidR="00680285" w:rsidRPr="000773FF">
        <w:t xml:space="preserve">rámci provozní části příjmů </w:t>
      </w:r>
      <w:r w:rsidR="004E0624" w:rsidRPr="000773FF">
        <w:t>pak</w:t>
      </w:r>
      <w:r w:rsidR="00680285" w:rsidRPr="000773FF">
        <w:t xml:space="preserve"> v roce 2020 dochází ke změnám v relativním zastoupení jednotlivých tříd</w:t>
      </w:r>
      <w:r w:rsidR="00A10397" w:rsidRPr="000773FF">
        <w:t>.</w:t>
      </w:r>
    </w:p>
    <w:p w14:paraId="2392F554" w14:textId="77777777" w:rsidR="002C36D0" w:rsidRPr="007F7EE4" w:rsidRDefault="002C36D0" w:rsidP="009A770A">
      <w:pPr>
        <w:pStyle w:val="Tabulka"/>
      </w:pPr>
      <w:bookmarkStart w:id="11" w:name="_Toc180650260"/>
      <w:r w:rsidRPr="007F7EE4">
        <w:t>Přehled vývoje příjmů</w:t>
      </w:r>
      <w:bookmarkEnd w:id="11"/>
    </w:p>
    <w:p w14:paraId="57DA68A9" w14:textId="4696A71E" w:rsidR="002C36D0" w:rsidRPr="009318B4" w:rsidRDefault="002259E5" w:rsidP="00724EBF">
      <w:pPr>
        <w:pStyle w:val="Objekt"/>
      </w:pPr>
      <w:r w:rsidRPr="002259E5">
        <w:rPr>
          <w:noProof/>
        </w:rPr>
        <w:drawing>
          <wp:inline distT="0" distB="0" distL="0" distR="0" wp14:anchorId="62976754" wp14:editId="4D4519FA">
            <wp:extent cx="4860925" cy="1487170"/>
            <wp:effectExtent l="0" t="0" r="0" b="0"/>
            <wp:docPr id="1903521695" name="Obráze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60925" cy="1487170"/>
                    </a:xfrm>
                    <a:prstGeom prst="rect">
                      <a:avLst/>
                    </a:prstGeom>
                    <a:noFill/>
                    <a:ln>
                      <a:noFill/>
                    </a:ln>
                  </pic:spPr>
                </pic:pic>
              </a:graphicData>
            </a:graphic>
          </wp:inline>
        </w:drawing>
      </w:r>
    </w:p>
    <w:p w14:paraId="70EE10BB" w14:textId="0F8ECFEB" w:rsidR="00DB0412" w:rsidRPr="00480DB9" w:rsidRDefault="000773FF" w:rsidP="00DB0412">
      <w:r w:rsidRPr="001F64E1">
        <w:t>Poklesly</w:t>
      </w:r>
      <w:r w:rsidRPr="001F64E1">
        <w:rPr>
          <w:rFonts w:ascii="Verdana" w:hAnsi="Verdana"/>
          <w:noProof/>
          <w:sz w:val="19"/>
          <w:lang w:eastAsia="cs-CZ"/>
        </w:rPr>
        <w:t xml:space="preserve"> </w:t>
      </w:r>
      <w:r w:rsidR="00680285" w:rsidRPr="001F64E1">
        <w:rPr>
          <w:rFonts w:ascii="Verdana" w:hAnsi="Verdana"/>
          <w:noProof/>
          <w:sz w:val="19"/>
          <w:lang w:eastAsia="cs-CZ"/>
        </w:rPr>
        <mc:AlternateContent>
          <mc:Choice Requires="wps">
            <w:drawing>
              <wp:anchor distT="0" distB="0" distL="114300" distR="114300" simplePos="0" relativeHeight="251676160" behindDoc="0" locked="0" layoutInCell="1" allowOverlap="1" wp14:anchorId="72F63DD2" wp14:editId="45F111F3">
                <wp:simplePos x="0" y="0"/>
                <wp:positionH relativeFrom="page">
                  <wp:posOffset>542772</wp:posOffset>
                </wp:positionH>
                <wp:positionV relativeFrom="paragraph">
                  <wp:posOffset>706</wp:posOffset>
                </wp:positionV>
                <wp:extent cx="1404000" cy="1506071"/>
                <wp:effectExtent l="0" t="0" r="5715" b="0"/>
                <wp:wrapNone/>
                <wp:docPr id="676"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1506071"/>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1E47C921" w14:textId="3F49A154" w:rsidR="00680285" w:rsidRPr="00360F2F" w:rsidRDefault="00680285" w:rsidP="00680285">
                            <w:pPr>
                              <w:spacing w:after="0"/>
                              <w:jc w:val="left"/>
                              <w:rPr>
                                <w:rStyle w:val="Odkaznakoment"/>
                                <w:rFonts w:cstheme="minorHAnsi"/>
                                <w:i/>
                                <w:sz w:val="20"/>
                                <w:szCs w:val="20"/>
                              </w:rPr>
                            </w:pPr>
                            <w:r w:rsidRPr="0012215D">
                              <w:rPr>
                                <w:rStyle w:val="Odkaznakoment"/>
                                <w:rFonts w:cstheme="minorHAnsi"/>
                                <w:i/>
                                <w:sz w:val="20"/>
                                <w:szCs w:val="20"/>
                              </w:rPr>
                              <w:t xml:space="preserve">Oživení ekonomiky </w:t>
                            </w:r>
                            <w:r>
                              <w:rPr>
                                <w:rStyle w:val="Odkaznakoment"/>
                                <w:rFonts w:cstheme="minorHAnsi"/>
                                <w:i/>
                                <w:sz w:val="20"/>
                                <w:szCs w:val="20"/>
                              </w:rPr>
                              <w:t xml:space="preserve">a následná vysoká inflace </w:t>
                            </w:r>
                            <w:r w:rsidRPr="0012215D">
                              <w:rPr>
                                <w:rStyle w:val="Odkaznakoment"/>
                                <w:rFonts w:cstheme="minorHAnsi"/>
                                <w:i/>
                                <w:sz w:val="20"/>
                                <w:szCs w:val="20"/>
                              </w:rPr>
                              <w:t>zapříčini</w:t>
                            </w:r>
                            <w:r>
                              <w:rPr>
                                <w:rStyle w:val="Odkaznakoment"/>
                                <w:rFonts w:cstheme="minorHAnsi"/>
                                <w:i/>
                                <w:sz w:val="20"/>
                                <w:szCs w:val="20"/>
                              </w:rPr>
                              <w:t>ly</w:t>
                            </w:r>
                            <w:r w:rsidRPr="0012215D">
                              <w:rPr>
                                <w:rStyle w:val="Odkaznakoment"/>
                                <w:rFonts w:cstheme="minorHAnsi"/>
                                <w:i/>
                                <w:sz w:val="20"/>
                                <w:szCs w:val="20"/>
                              </w:rPr>
                              <w:t xml:space="preserve"> </w:t>
                            </w:r>
                            <w:r>
                              <w:rPr>
                                <w:rStyle w:val="Odkaznakoment"/>
                                <w:rFonts w:cstheme="minorHAnsi"/>
                                <w:i/>
                                <w:sz w:val="20"/>
                                <w:szCs w:val="20"/>
                              </w:rPr>
                              <w:t>v roce 202</w:t>
                            </w:r>
                            <w:r w:rsidR="001F64E1">
                              <w:rPr>
                                <w:rStyle w:val="Odkaznakoment"/>
                                <w:rFonts w:cstheme="minorHAnsi"/>
                                <w:i/>
                                <w:sz w:val="20"/>
                                <w:szCs w:val="20"/>
                              </w:rPr>
                              <w:t>2</w:t>
                            </w:r>
                            <w:r>
                              <w:rPr>
                                <w:rStyle w:val="Odkaznakoment"/>
                                <w:rFonts w:cstheme="minorHAnsi"/>
                                <w:i/>
                                <w:sz w:val="20"/>
                                <w:szCs w:val="20"/>
                              </w:rPr>
                              <w:t>, resp. 202</w:t>
                            </w:r>
                            <w:r w:rsidR="001F64E1">
                              <w:rPr>
                                <w:rStyle w:val="Odkaznakoment"/>
                                <w:rFonts w:cstheme="minorHAnsi"/>
                                <w:i/>
                                <w:sz w:val="20"/>
                                <w:szCs w:val="20"/>
                              </w:rPr>
                              <w:t>3</w:t>
                            </w:r>
                            <w:r>
                              <w:rPr>
                                <w:rStyle w:val="Odkaznakoment"/>
                                <w:rFonts w:cstheme="minorHAnsi"/>
                                <w:i/>
                                <w:sz w:val="20"/>
                                <w:szCs w:val="20"/>
                              </w:rPr>
                              <w:t xml:space="preserve"> </w:t>
                            </w:r>
                            <w:r w:rsidRPr="0012215D">
                              <w:rPr>
                                <w:rStyle w:val="Odkaznakoment"/>
                                <w:rFonts w:cstheme="minorHAnsi"/>
                                <w:i/>
                                <w:sz w:val="20"/>
                                <w:szCs w:val="20"/>
                              </w:rPr>
                              <w:t xml:space="preserve">nárůst </w:t>
                            </w:r>
                            <w:r>
                              <w:rPr>
                                <w:rStyle w:val="Odkaznakoment"/>
                                <w:rFonts w:cstheme="minorHAnsi"/>
                                <w:i/>
                                <w:sz w:val="20"/>
                                <w:szCs w:val="20"/>
                              </w:rPr>
                              <w:t>sdílených daní</w:t>
                            </w:r>
                            <w:r w:rsidRPr="0012215D">
                              <w:rPr>
                                <w:rStyle w:val="Odkaznakoment"/>
                                <w:rFonts w:cstheme="minorHAnsi"/>
                                <w:i/>
                                <w:sz w:val="20"/>
                                <w:szCs w:val="20"/>
                              </w:rPr>
                              <w:t xml:space="preserve"> </w:t>
                            </w:r>
                            <w:r w:rsidRPr="00360F2F">
                              <w:rPr>
                                <w:rStyle w:val="Odkaznakoment"/>
                                <w:rFonts w:cstheme="minorHAnsi"/>
                                <w:i/>
                                <w:sz w:val="20"/>
                                <w:szCs w:val="20"/>
                              </w:rPr>
                              <w:t>o</w:t>
                            </w:r>
                          </w:p>
                          <w:p w14:paraId="42FBAA3E" w14:textId="63219A56" w:rsidR="00680285" w:rsidRPr="00680CCC" w:rsidRDefault="00E77FC3" w:rsidP="00680285">
                            <w:pPr>
                              <w:spacing w:before="0" w:after="0"/>
                              <w:jc w:val="left"/>
                              <w:rPr>
                                <w:rFonts w:cstheme="minorHAnsi"/>
                                <w:b/>
                                <w:i/>
                                <w:color w:val="548DD4"/>
                                <w:sz w:val="28"/>
                                <w:szCs w:val="28"/>
                              </w:rPr>
                            </w:pPr>
                            <w:r w:rsidRPr="00E77FC3">
                              <w:rPr>
                                <w:b/>
                                <w:i/>
                                <w:color w:val="548DD4"/>
                                <w:sz w:val="28"/>
                                <w:szCs w:val="28"/>
                              </w:rPr>
                              <w:t>92,8</w:t>
                            </w:r>
                            <w:r w:rsidR="00680285" w:rsidRPr="00680CCC">
                              <w:rPr>
                                <w:rFonts w:cstheme="minorHAnsi"/>
                                <w:b/>
                                <w:i/>
                                <w:color w:val="548DD4"/>
                                <w:sz w:val="28"/>
                                <w:szCs w:val="28"/>
                              </w:rPr>
                              <w:t xml:space="preserve">, resp. </w:t>
                            </w:r>
                            <w:r w:rsidRPr="00E77FC3">
                              <w:rPr>
                                <w:b/>
                                <w:i/>
                                <w:color w:val="548DD4"/>
                                <w:sz w:val="28"/>
                                <w:szCs w:val="28"/>
                              </w:rPr>
                              <w:t>118,5</w:t>
                            </w:r>
                            <w:r w:rsidR="00680285" w:rsidRPr="00680CCC">
                              <w:rPr>
                                <w:rFonts w:cstheme="minorHAnsi"/>
                                <w:b/>
                                <w:i/>
                                <w:color w:val="548DD4"/>
                                <w:sz w:val="28"/>
                                <w:szCs w:val="28"/>
                              </w:rPr>
                              <w:t xml:space="preserve"> mil Kč</w:t>
                            </w: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72F63DD2" id="_x0000_s1027" type="#_x0000_t202" style="position:absolute;left:0;text-align:left;margin-left:42.75pt;margin-top:.05pt;width:110.55pt;height:118.6pt;z-index:2516761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" fillcolor="white [3201]" stroked="f" strokeweight=".5pt">
                <v:path arrowok="t"/>
                <v:textbox inset="0,0,0,0">
                  <w:txbxContent>
                    <w:p w14:paraId="1E47C921" w14:textId="3F49A154" w:rsidR="00680285" w:rsidRPr="00360F2F" w:rsidRDefault="00680285" w:rsidP="00680285">
                      <w:pPr>
                        <w:spacing w:after="0"/>
                        <w:jc w:val="left"/>
                        <w:rPr>
                          <w:rStyle w:val="Odkaznakoment"/>
                          <w:rFonts w:cstheme="minorHAnsi"/>
                          <w:i/>
                          <w:sz w:val="20"/>
                          <w:szCs w:val="20"/>
                        </w:rPr>
                      </w:pPr>
                      <w:r w:rsidRPr="0012215D">
                        <w:rPr>
                          <w:rStyle w:val="Odkaznakoment"/>
                          <w:rFonts w:cstheme="minorHAnsi"/>
                          <w:i/>
                          <w:sz w:val="20"/>
                          <w:szCs w:val="20"/>
                        </w:rPr>
                        <w:t xml:space="preserve">Oživení ekonomiky </w:t>
                      </w:r>
                      <w:r>
                        <w:rPr>
                          <w:rStyle w:val="Odkaznakoment"/>
                          <w:rFonts w:cstheme="minorHAnsi"/>
                          <w:i/>
                          <w:sz w:val="20"/>
                          <w:szCs w:val="20"/>
                        </w:rPr>
                        <w:t xml:space="preserve">a následná vysoká inflace </w:t>
                      </w:r>
                      <w:r w:rsidRPr="0012215D">
                        <w:rPr>
                          <w:rStyle w:val="Odkaznakoment"/>
                          <w:rFonts w:cstheme="minorHAnsi"/>
                          <w:i/>
                          <w:sz w:val="20"/>
                          <w:szCs w:val="20"/>
                        </w:rPr>
                        <w:t>zapříčini</w:t>
                      </w:r>
                      <w:r>
                        <w:rPr>
                          <w:rStyle w:val="Odkaznakoment"/>
                          <w:rFonts w:cstheme="minorHAnsi"/>
                          <w:i/>
                          <w:sz w:val="20"/>
                          <w:szCs w:val="20"/>
                        </w:rPr>
                        <w:t>ly</w:t>
                      </w:r>
                      <w:r w:rsidRPr="0012215D">
                        <w:rPr>
                          <w:rStyle w:val="Odkaznakoment"/>
                          <w:rFonts w:cstheme="minorHAnsi"/>
                          <w:i/>
                          <w:sz w:val="20"/>
                          <w:szCs w:val="20"/>
                        </w:rPr>
                        <w:t xml:space="preserve"> </w:t>
                      </w:r>
                      <w:r>
                        <w:rPr>
                          <w:rStyle w:val="Odkaznakoment"/>
                          <w:rFonts w:cstheme="minorHAnsi"/>
                          <w:i/>
                          <w:sz w:val="20"/>
                          <w:szCs w:val="20"/>
                        </w:rPr>
                        <w:t>v roce 202</w:t>
                      </w:r>
                      <w:r w:rsidR="001F64E1">
                        <w:rPr>
                          <w:rStyle w:val="Odkaznakoment"/>
                          <w:rFonts w:cstheme="minorHAnsi"/>
                          <w:i/>
                          <w:sz w:val="20"/>
                          <w:szCs w:val="20"/>
                        </w:rPr>
                        <w:t>2</w:t>
                      </w:r>
                      <w:r>
                        <w:rPr>
                          <w:rStyle w:val="Odkaznakoment"/>
                          <w:rFonts w:cstheme="minorHAnsi"/>
                          <w:i/>
                          <w:sz w:val="20"/>
                          <w:szCs w:val="20"/>
                        </w:rPr>
                        <w:t>, resp. 202</w:t>
                      </w:r>
                      <w:r w:rsidR="001F64E1">
                        <w:rPr>
                          <w:rStyle w:val="Odkaznakoment"/>
                          <w:rFonts w:cstheme="minorHAnsi"/>
                          <w:i/>
                          <w:sz w:val="20"/>
                          <w:szCs w:val="20"/>
                        </w:rPr>
                        <w:t>3</w:t>
                      </w:r>
                      <w:r>
                        <w:rPr>
                          <w:rStyle w:val="Odkaznakoment"/>
                          <w:rFonts w:cstheme="minorHAnsi"/>
                          <w:i/>
                          <w:sz w:val="20"/>
                          <w:szCs w:val="20"/>
                        </w:rPr>
                        <w:t xml:space="preserve"> </w:t>
                      </w:r>
                      <w:r w:rsidRPr="0012215D">
                        <w:rPr>
                          <w:rStyle w:val="Odkaznakoment"/>
                          <w:rFonts w:cstheme="minorHAnsi"/>
                          <w:i/>
                          <w:sz w:val="20"/>
                          <w:szCs w:val="20"/>
                        </w:rPr>
                        <w:t xml:space="preserve">nárůst </w:t>
                      </w:r>
                      <w:r>
                        <w:rPr>
                          <w:rStyle w:val="Odkaznakoment"/>
                          <w:rFonts w:cstheme="minorHAnsi"/>
                          <w:i/>
                          <w:sz w:val="20"/>
                          <w:szCs w:val="20"/>
                        </w:rPr>
                        <w:t>sdílených daní</w:t>
                      </w:r>
                      <w:r w:rsidRPr="0012215D">
                        <w:rPr>
                          <w:rStyle w:val="Odkaznakoment"/>
                          <w:rFonts w:cstheme="minorHAnsi"/>
                          <w:i/>
                          <w:sz w:val="20"/>
                          <w:szCs w:val="20"/>
                        </w:rPr>
                        <w:t xml:space="preserve"> </w:t>
                      </w:r>
                      <w:r w:rsidRPr="00360F2F">
                        <w:rPr>
                          <w:rStyle w:val="Odkaznakoment"/>
                          <w:rFonts w:cstheme="minorHAnsi"/>
                          <w:i/>
                          <w:sz w:val="20"/>
                          <w:szCs w:val="20"/>
                        </w:rPr>
                        <w:t>o</w:t>
                      </w:r>
                    </w:p>
                    <w:p w14:paraId="42FBAA3E" w14:textId="63219A56" w:rsidR="00680285" w:rsidRPr="00680CCC" w:rsidRDefault="00E77FC3" w:rsidP="00680285">
                      <w:pPr>
                        <w:spacing w:before="0" w:after="0"/>
                        <w:jc w:val="left"/>
                        <w:rPr>
                          <w:rFonts w:cstheme="minorHAnsi"/>
                          <w:b/>
                          <w:i/>
                          <w:color w:val="548DD4"/>
                          <w:sz w:val="28"/>
                          <w:szCs w:val="28"/>
                        </w:rPr>
                      </w:pPr>
                      <w:r w:rsidRPr="00E77FC3">
                        <w:rPr>
                          <w:b/>
                          <w:i/>
                          <w:color w:val="548DD4"/>
                          <w:sz w:val="28"/>
                          <w:szCs w:val="28"/>
                        </w:rPr>
                        <w:t>92,8</w:t>
                      </w:r>
                      <w:r w:rsidR="00680285" w:rsidRPr="00680CCC">
                        <w:rPr>
                          <w:rFonts w:cstheme="minorHAnsi"/>
                          <w:b/>
                          <w:i/>
                          <w:color w:val="548DD4"/>
                          <w:sz w:val="28"/>
                          <w:szCs w:val="28"/>
                        </w:rPr>
                        <w:t xml:space="preserve">, resp. </w:t>
                      </w:r>
                      <w:r w:rsidRPr="00E77FC3">
                        <w:rPr>
                          <w:b/>
                          <w:i/>
                          <w:color w:val="548DD4"/>
                          <w:sz w:val="28"/>
                          <w:szCs w:val="28"/>
                        </w:rPr>
                        <w:t>118,5</w:t>
                      </w:r>
                      <w:r w:rsidR="00680285" w:rsidRPr="00680CCC">
                        <w:rPr>
                          <w:rFonts w:cstheme="minorHAnsi"/>
                          <w:b/>
                          <w:i/>
                          <w:color w:val="548DD4"/>
                          <w:sz w:val="28"/>
                          <w:szCs w:val="28"/>
                        </w:rPr>
                        <w:t xml:space="preserve"> mil Kč</w:t>
                      </w:r>
                    </w:p>
                  </w:txbxContent>
                </v:textbox>
                <w10:wrap anchorx="page"/>
              </v:shape>
            </w:pict>
          </mc:Fallback>
        </mc:AlternateContent>
      </w:r>
      <w:r w:rsidRPr="001F64E1">
        <w:rPr>
          <w:rFonts w:ascii="Verdana" w:hAnsi="Verdana"/>
          <w:noProof/>
          <w:sz w:val="19"/>
          <w:lang w:eastAsia="cs-CZ"/>
        </w:rPr>
        <w:t xml:space="preserve">třídy příjmů </w:t>
      </w:r>
      <w:r w:rsidR="00D16F9F" w:rsidRPr="001F64E1">
        <w:t>daňov</w:t>
      </w:r>
      <w:r w:rsidRPr="001F64E1">
        <w:t>ých i nedaňových</w:t>
      </w:r>
      <w:r w:rsidR="00D16F9F" w:rsidRPr="001F64E1">
        <w:t xml:space="preserve"> </w:t>
      </w:r>
      <w:r w:rsidR="008816E0" w:rsidRPr="001F64E1">
        <w:t xml:space="preserve">(o </w:t>
      </w:r>
      <w:r w:rsidRPr="001F64E1">
        <w:t>46,4, resp. 30,1 mil. Kč</w:t>
      </w:r>
      <w:r w:rsidR="008816E0" w:rsidRPr="001F64E1">
        <w:t>), naopak výrazně posílily neinvestiční transfery (</w:t>
      </w:r>
      <w:r w:rsidR="00DB0412" w:rsidRPr="001F64E1">
        <w:t xml:space="preserve">o </w:t>
      </w:r>
      <w:r w:rsidRPr="001F64E1">
        <w:t>59,0</w:t>
      </w:r>
      <w:r w:rsidR="008816E0" w:rsidRPr="001F64E1">
        <w:t xml:space="preserve"> mil. Kč), kde</w:t>
      </w:r>
      <w:r w:rsidR="002C36D0" w:rsidRPr="001F64E1">
        <w:t xml:space="preserve"> na položce 4111 město evidovalo příjem kompenzačního bonusu (</w:t>
      </w:r>
      <w:r w:rsidR="00E77FC3" w:rsidRPr="001F64E1">
        <w:t>60,8</w:t>
      </w:r>
      <w:r w:rsidR="00C313CF" w:rsidRPr="001F64E1">
        <w:t xml:space="preserve"> mil. Kč</w:t>
      </w:r>
      <w:r w:rsidR="002C36D0" w:rsidRPr="001F64E1">
        <w:t xml:space="preserve">) </w:t>
      </w:r>
      <w:r w:rsidR="007D24FE" w:rsidRPr="001F64E1">
        <w:t>v souvislosti s restriktivními epidemiologickými opatřeními</w:t>
      </w:r>
      <w:r w:rsidR="00DB0412" w:rsidRPr="001F64E1">
        <w:t>.</w:t>
      </w:r>
      <w:r w:rsidR="007D24FE" w:rsidRPr="001F64E1">
        <w:t xml:space="preserve"> </w:t>
      </w:r>
      <w:r w:rsidR="00B70470" w:rsidRPr="001F64E1">
        <w:t>(</w:t>
      </w:r>
      <w:r w:rsidR="002C36D0" w:rsidRPr="001F64E1">
        <w:t>za propad položky 1111 – DPFO</w:t>
      </w:r>
      <w:r w:rsidR="002C36D0" w:rsidRPr="001F64E1">
        <w:rPr>
          <w:vertAlign w:val="subscript"/>
        </w:rPr>
        <w:t>ZČ</w:t>
      </w:r>
      <w:r w:rsidR="002C36D0" w:rsidRPr="001F64E1">
        <w:t xml:space="preserve"> placená plátci).</w:t>
      </w:r>
      <w:r w:rsidR="00B70470" w:rsidRPr="001F64E1">
        <w:t xml:space="preserve"> </w:t>
      </w:r>
      <w:r w:rsidR="00DB0412" w:rsidRPr="001F64E1">
        <w:t xml:space="preserve">Tyto mimořádné transfery </w:t>
      </w:r>
      <w:r w:rsidRPr="001F64E1">
        <w:t>od roku</w:t>
      </w:r>
      <w:r w:rsidR="00DB0412" w:rsidRPr="001F64E1">
        <w:t xml:space="preserve"> 2022 nebyly opakovány a struktura provozní části příjmů se přiblížila období před pandemií. Dominantní postaven</w:t>
      </w:r>
      <w:r w:rsidR="007B08F0">
        <w:t>í</w:t>
      </w:r>
      <w:r w:rsidR="00DB0412" w:rsidRPr="001F64E1">
        <w:t xml:space="preserve"> daňových příjmů v roce 202</w:t>
      </w:r>
      <w:r w:rsidR="001F64E1" w:rsidRPr="001F64E1">
        <w:t>3</w:t>
      </w:r>
      <w:r w:rsidR="00DB0412" w:rsidRPr="001F64E1">
        <w:t xml:space="preserve"> umocnil meziroční růst nejvýznamnější kategorie sdílených daní (růst o </w:t>
      </w:r>
      <w:r w:rsidR="00E77FC3" w:rsidRPr="001F64E1">
        <w:t>118,5</w:t>
      </w:r>
      <w:r w:rsidR="00DB0412" w:rsidRPr="001F64E1">
        <w:t xml:space="preserve"> mil. Kč, tj. </w:t>
      </w:r>
      <w:r w:rsidR="00E77FC3" w:rsidRPr="001F64E1">
        <w:t>13,9</w:t>
      </w:r>
      <w:r w:rsidR="001F64E1" w:rsidRPr="001F64E1">
        <w:t xml:space="preserve"> %).</w:t>
      </w:r>
      <w:r w:rsidR="00DB0412" w:rsidRPr="001F64E1">
        <w:t xml:space="preserve"> Oproti příjmům běžným se investiční příjmy ve sledovaném období vyvíjí nerovnoměrně. Významný nárůst lze sledovat zejména v roce 202</w:t>
      </w:r>
      <w:r w:rsidR="001F64E1" w:rsidRPr="001F64E1">
        <w:t>3</w:t>
      </w:r>
      <w:r w:rsidR="00DB0412" w:rsidRPr="001F64E1">
        <w:t xml:space="preserve">, kdy kapitálové příjmy dosáhly meziročního růstu o </w:t>
      </w:r>
      <w:r w:rsidR="001F64E1" w:rsidRPr="001F64E1">
        <w:t>54,4</w:t>
      </w:r>
      <w:r w:rsidR="00DB0412" w:rsidRPr="001F64E1">
        <w:t xml:space="preserve"> mil. Kč.</w:t>
      </w:r>
    </w:p>
    <w:p w14:paraId="7804C101" w14:textId="74CB1F7E" w:rsidR="005C27B0" w:rsidRPr="008D732D" w:rsidRDefault="00715F0B" w:rsidP="002C36D0">
      <w:r w:rsidRPr="00680CCC">
        <w:lastRenderedPageBreak/>
        <w:t xml:space="preserve">Roky 2020 a 2021 se do podvědomí zapsaly jako roky pandemie koronaviru, kdy se na vývoji ekonomiky nejdříve negativně podepsaly restriktivní opatření a následné narušení dodavatelsko-odběratelských vztahů spolu s rostoucí inflací. Rok 2022 tyto inflační tlaky v důsledku východoevropského válečného konfliktu prohloubil a strmý nárůst cen energií i vysoká inflace významným způsobem ovlivňovaly hospodaření municipalit. </w:t>
      </w:r>
      <w:r w:rsidR="00B97929" w:rsidRPr="00B97929">
        <w:t xml:space="preserve">Výkonnost ekonomiky měřená změnou HDP v roce 2020 výrazně oslabila (pokles o 5,8 %), aby v roce následujícím meziročně vzrostla o 3,3 % a v roce 2022 pak o dalších 2,4 %. Rok 2023 ovšem nenaplnil </w:t>
      </w:r>
      <w:r w:rsidR="00B97929" w:rsidRPr="001F64E1">
        <w:t xml:space="preserve">očekávání (HDP pokleslo o 0,4 %) a teprve v roce 2024 je s predikovaným růstem o </w:t>
      </w:r>
      <w:r w:rsidR="001F64E1" w:rsidRPr="001F64E1">
        <w:t>1,1</w:t>
      </w:r>
      <w:r w:rsidR="00B97929" w:rsidRPr="001F64E1">
        <w:t xml:space="preserve"> % zajištěna návaznost na výkonnost před rokem 2020. </w:t>
      </w:r>
      <w:r w:rsidR="005C27B0" w:rsidRPr="001F64E1">
        <w:t xml:space="preserve">Pro město </w:t>
      </w:r>
      <w:r w:rsidR="00E77FC3" w:rsidRPr="001F64E1">
        <w:t>Chomutov</w:t>
      </w:r>
      <w:r w:rsidR="005C27B0" w:rsidRPr="001F64E1">
        <w:t xml:space="preserve"> došlo v letech 202</w:t>
      </w:r>
      <w:r w:rsidR="001F64E1" w:rsidRPr="001F64E1">
        <w:t>2</w:t>
      </w:r>
      <w:r w:rsidR="005C27B0" w:rsidRPr="001F64E1">
        <w:t xml:space="preserve"> a 202</w:t>
      </w:r>
      <w:r w:rsidR="001F64E1" w:rsidRPr="001F64E1">
        <w:t>3</w:t>
      </w:r>
      <w:r w:rsidR="005C27B0" w:rsidRPr="001F64E1">
        <w:t xml:space="preserve"> k meziročnímu nárůstu daňových příjmů o </w:t>
      </w:r>
      <w:r w:rsidR="00E77FC3" w:rsidRPr="001F64E1">
        <w:t>102,6</w:t>
      </w:r>
      <w:r w:rsidR="005C27B0" w:rsidRPr="001F64E1">
        <w:t xml:space="preserve">, resp. </w:t>
      </w:r>
      <w:r w:rsidR="00E77FC3" w:rsidRPr="001F64E1">
        <w:t>119,8</w:t>
      </w:r>
      <w:r w:rsidR="005C27B0" w:rsidRPr="001F64E1">
        <w:t xml:space="preserve"> mil. Kč.</w:t>
      </w:r>
    </w:p>
    <w:p w14:paraId="696D32EE" w14:textId="67DDE604" w:rsidR="00680CCC" w:rsidRDefault="00680CCC" w:rsidP="00666B31">
      <w:r w:rsidRPr="00A527FA">
        <w:t>Z uvedeného plyne, že největší vliv na meziroční vývoj celkových příjmů mají daňové příjmy reprezentované zejména sdílenými daněmi, u kterých docházelo v minulém období k neustálému růstu</w:t>
      </w:r>
      <w:r>
        <w:t xml:space="preserve"> (po započtení kompenzačních bonusů)</w:t>
      </w:r>
      <w:r w:rsidRPr="00A527FA">
        <w:t>. Investiční transfery, které jsou odvislé především od vypisovaných dotačních titulů a jsou</w:t>
      </w:r>
      <w:r w:rsidRPr="00003DDD">
        <w:t xml:space="preserve"> pro město přínosem, </w:t>
      </w:r>
      <w:r>
        <w:t>případně</w:t>
      </w:r>
      <w:r w:rsidRPr="00003DDD">
        <w:t xml:space="preserve"> kapitálové příjmy závislé na rozhodnutích zastupitelů, jsou příčinou nerovnoměrného vývoje celkových příjmů</w:t>
      </w:r>
      <w:r w:rsidR="003D3636">
        <w:t>.</w:t>
      </w:r>
    </w:p>
    <w:p w14:paraId="1D47C023" w14:textId="77777777" w:rsidR="002C36D0" w:rsidRPr="007F7EE4" w:rsidRDefault="002C36D0" w:rsidP="007F7EE4">
      <w:pPr>
        <w:pStyle w:val="Graf0"/>
      </w:pPr>
      <w:bookmarkStart w:id="12" w:name="_Toc428351151"/>
      <w:bookmarkStart w:id="13" w:name="_Toc428357446"/>
      <w:bookmarkStart w:id="14" w:name="_Toc55981682"/>
      <w:bookmarkStart w:id="15" w:name="_Toc180650278"/>
      <w:r w:rsidRPr="007F7EE4">
        <w:t>Vývoj příjmů</w:t>
      </w:r>
      <w:bookmarkEnd w:id="12"/>
      <w:bookmarkEnd w:id="13"/>
      <w:bookmarkEnd w:id="14"/>
      <w:bookmarkEnd w:id="15"/>
    </w:p>
    <w:p w14:paraId="64A2B2DD" w14:textId="07357531" w:rsidR="002C36D0" w:rsidRPr="0030771F" w:rsidRDefault="0009335F" w:rsidP="002C36D0">
      <w:pPr>
        <w:pStyle w:val="Objekt"/>
      </w:pPr>
      <w:r w:rsidRPr="003A26A9">
        <w:rPr>
          <w:noProof/>
          <w:highlight w:val="cyan"/>
        </w:rPr>
        <mc:AlternateContent>
          <mc:Choice Requires="wps">
            <w:drawing>
              <wp:anchor distT="0" distB="0" distL="114300" distR="114300" simplePos="0" relativeHeight="251643392" behindDoc="0" locked="0" layoutInCell="1" allowOverlap="1" wp14:anchorId="12D75B07" wp14:editId="53B646B3">
                <wp:simplePos x="0" y="0"/>
                <wp:positionH relativeFrom="page">
                  <wp:posOffset>575310</wp:posOffset>
                </wp:positionH>
                <wp:positionV relativeFrom="paragraph">
                  <wp:posOffset>1614018</wp:posOffset>
                </wp:positionV>
                <wp:extent cx="1403985" cy="905933"/>
                <wp:effectExtent l="0" t="0" r="5715" b="8890"/>
                <wp:wrapNone/>
                <wp:docPr id="678"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3985" cy="905933"/>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0BBDBAB1" w14:textId="3851256F" w:rsidR="0031735E" w:rsidRPr="001B58F3" w:rsidRDefault="0031735E" w:rsidP="00A1183E">
                            <w:pPr>
                              <w:spacing w:before="0" w:after="0" w:line="240" w:lineRule="auto"/>
                              <w:jc w:val="left"/>
                              <w:rPr>
                                <w:rFonts w:cstheme="minorHAnsi"/>
                                <w:i/>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12D75B07" id="_x0000_s1028" type="#_x0000_t202" style="position:absolute;margin-left:45.3pt;margin-top:127.1pt;width:110.55pt;height:71.35pt;z-index:251643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" fillcolor="white [3201]" stroked="f" strokeweight=".5pt">
                <v:path arrowok="t"/>
                <v:textbox inset="0,0,0,0">
                  <w:txbxContent>
                    <w:p w14:paraId="0BBDBAB1" w14:textId="3851256F" w:rsidR="0031735E" w:rsidRPr="001B58F3" w:rsidRDefault="0031735E" w:rsidP="00A1183E">
                      <w:pPr>
                        <w:spacing w:before="0" w:after="0" w:line="240" w:lineRule="auto"/>
                        <w:jc w:val="left"/>
                        <w:rPr>
                          <w:rFonts w:cstheme="minorHAnsi"/>
                          <w:i/>
                          <w:sz w:val="20"/>
                          <w:szCs w:val="20"/>
                        </w:rPr>
                      </w:pPr>
                    </w:p>
                  </w:txbxContent>
                </v:textbox>
                <w10:wrap anchorx="page"/>
              </v:shape>
            </w:pict>
          </mc:Fallback>
        </mc:AlternateContent>
      </w:r>
      <w:r w:rsidR="002259E5" w:rsidRPr="002259E5">
        <w:rPr>
          <w:noProof/>
        </w:rPr>
        <w:drawing>
          <wp:inline distT="0" distB="0" distL="0" distR="0" wp14:anchorId="47AA667D" wp14:editId="56629357">
            <wp:extent cx="4860925" cy="1576705"/>
            <wp:effectExtent l="0" t="0" r="0" b="0"/>
            <wp:docPr id="358982490" name="Obráze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60925" cy="1576705"/>
                    </a:xfrm>
                    <a:prstGeom prst="rect">
                      <a:avLst/>
                    </a:prstGeom>
                    <a:noFill/>
                    <a:ln>
                      <a:noFill/>
                    </a:ln>
                  </pic:spPr>
                </pic:pic>
              </a:graphicData>
            </a:graphic>
          </wp:inline>
        </w:drawing>
      </w:r>
    </w:p>
    <w:p w14:paraId="1695E390" w14:textId="27E7EB2A" w:rsidR="003A26A9" w:rsidRPr="0009335F" w:rsidRDefault="0009335F" w:rsidP="0009335F">
      <w:pPr>
        <w:rPr>
          <w:rFonts w:eastAsia="Times New Roman"/>
          <w:lang w:eastAsia="cs-CZ"/>
        </w:rPr>
      </w:pPr>
      <w:r w:rsidRPr="003A26A9">
        <w:rPr>
          <w:noProof/>
          <w:highlight w:val="cyan"/>
        </w:rPr>
        <mc:AlternateContent>
          <mc:Choice Requires="wps">
            <w:drawing>
              <wp:anchor distT="0" distB="0" distL="114300" distR="114300" simplePos="0" relativeHeight="251680256" behindDoc="0" locked="0" layoutInCell="1" allowOverlap="1" wp14:anchorId="61451889" wp14:editId="6CCD7EEF">
                <wp:simplePos x="0" y="0"/>
                <wp:positionH relativeFrom="page">
                  <wp:posOffset>540385</wp:posOffset>
                </wp:positionH>
                <wp:positionV relativeFrom="paragraph">
                  <wp:posOffset>2014703</wp:posOffset>
                </wp:positionV>
                <wp:extent cx="1404000" cy="907200"/>
                <wp:effectExtent l="0" t="0" r="5715" b="7620"/>
                <wp:wrapNone/>
                <wp:docPr id="955466774"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90720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7FF1790A" w14:textId="77777777" w:rsidR="0009335F" w:rsidRDefault="0009335F" w:rsidP="0009335F">
                            <w:pPr>
                              <w:spacing w:after="0"/>
                              <w:jc w:val="left"/>
                              <w:rPr>
                                <w:rStyle w:val="Odkaznakoment"/>
                                <w:rFonts w:cstheme="minorHAnsi"/>
                                <w:i/>
                                <w:sz w:val="20"/>
                                <w:szCs w:val="20"/>
                              </w:rPr>
                            </w:pPr>
                            <w:r>
                              <w:rPr>
                                <w:rStyle w:val="Odkaznakoment"/>
                                <w:rFonts w:cstheme="minorHAnsi"/>
                                <w:i/>
                                <w:sz w:val="20"/>
                                <w:szCs w:val="20"/>
                              </w:rPr>
                              <w:t xml:space="preserve">Zásadní skupinou příjmů jsou příjmy daňové, tvoří </w:t>
                            </w:r>
                          </w:p>
                          <w:p w14:paraId="6DBD6BEB" w14:textId="77777777" w:rsidR="0009335F" w:rsidRPr="00480BCC" w:rsidRDefault="0009335F" w:rsidP="0009335F">
                            <w:pPr>
                              <w:spacing w:before="0" w:after="0" w:line="240" w:lineRule="auto"/>
                              <w:jc w:val="left"/>
                              <w:rPr>
                                <w:rFonts w:cstheme="minorHAnsi"/>
                                <w:b/>
                                <w:i/>
                                <w:color w:val="548DD4" w:themeColor="text2" w:themeTint="99"/>
                                <w:sz w:val="28"/>
                                <w:szCs w:val="28"/>
                              </w:rPr>
                            </w:pPr>
                            <w:r w:rsidRPr="00E77FC3">
                              <w:rPr>
                                <w:b/>
                                <w:i/>
                                <w:color w:val="548DD4" w:themeColor="text2" w:themeTint="99"/>
                                <w:sz w:val="28"/>
                                <w:szCs w:val="28"/>
                              </w:rPr>
                              <w:t>72,8 %</w:t>
                            </w:r>
                            <w:r w:rsidRPr="00480BCC">
                              <w:rPr>
                                <w:rFonts w:cstheme="minorHAnsi"/>
                                <w:b/>
                                <w:i/>
                                <w:color w:val="548DD4" w:themeColor="text2" w:themeTint="99"/>
                                <w:sz w:val="28"/>
                                <w:szCs w:val="28"/>
                              </w:rPr>
                              <w:t xml:space="preserve"> </w:t>
                            </w:r>
                            <w:r>
                              <w:rPr>
                                <w:rStyle w:val="Odkaznakoment"/>
                                <w:rFonts w:cstheme="minorHAnsi"/>
                                <w:i/>
                                <w:sz w:val="20"/>
                                <w:szCs w:val="20"/>
                              </w:rPr>
                              <w:t>běžných příjmů</w:t>
                            </w:r>
                            <w:r w:rsidRPr="00480BCC">
                              <w:rPr>
                                <w:rFonts w:cstheme="minorHAnsi"/>
                                <w:b/>
                                <w:i/>
                                <w:color w:val="548DD4" w:themeColor="text2" w:themeTint="99"/>
                                <w:sz w:val="28"/>
                                <w:szCs w:val="28"/>
                              </w:rPr>
                              <w:t xml:space="preserve"> </w:t>
                            </w:r>
                          </w:p>
                          <w:p w14:paraId="16E1F6CF" w14:textId="77777777" w:rsidR="0009335F" w:rsidRPr="001B58F3" w:rsidRDefault="0009335F" w:rsidP="0009335F">
                            <w:pPr>
                              <w:spacing w:before="0" w:after="0" w:line="240" w:lineRule="auto"/>
                              <w:jc w:val="left"/>
                              <w:rPr>
                                <w:rFonts w:cstheme="minorHAnsi"/>
                                <w:i/>
                                <w:sz w:val="20"/>
                                <w:szCs w:val="20"/>
                              </w:rPr>
                            </w:pPr>
                            <w:r w:rsidRPr="00E77FC3">
                              <w:rPr>
                                <w:b/>
                                <w:i/>
                                <w:color w:val="548DD4" w:themeColor="text2" w:themeTint="99"/>
                                <w:sz w:val="28"/>
                                <w:szCs w:val="28"/>
                              </w:rPr>
                              <w:t>69,2 %</w:t>
                            </w:r>
                            <w:r w:rsidRPr="00480BCC">
                              <w:rPr>
                                <w:rFonts w:cstheme="minorHAnsi"/>
                                <w:b/>
                                <w:i/>
                                <w:color w:val="548DD4" w:themeColor="text2" w:themeTint="99"/>
                                <w:sz w:val="28"/>
                                <w:szCs w:val="28"/>
                              </w:rPr>
                              <w:t xml:space="preserve"> </w:t>
                            </w:r>
                            <w:r>
                              <w:rPr>
                                <w:rStyle w:val="Odkaznakoment"/>
                                <w:rFonts w:cstheme="minorHAnsi"/>
                                <w:i/>
                                <w:sz w:val="20"/>
                                <w:szCs w:val="20"/>
                              </w:rPr>
                              <w:t>celkových příjmů</w:t>
                            </w: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61451889" id="_x0000_s1029" type="#_x0000_t202" style="position:absolute;left:0;text-align:left;margin-left:42.55pt;margin-top:158.65pt;width:110.55pt;height:71.45pt;z-index:251680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" fillcolor="white [3201]" stroked="f" strokeweight=".5pt">
                <v:path arrowok="t"/>
                <v:textbox inset="0,0,0,0">
                  <w:txbxContent>
                    <w:p w14:paraId="7FF1790A" w14:textId="77777777" w:rsidR="0009335F" w:rsidRDefault="0009335F" w:rsidP="0009335F">
                      <w:pPr>
                        <w:spacing w:after="0"/>
                        <w:jc w:val="left"/>
                        <w:rPr>
                          <w:rStyle w:val="Odkaznakoment"/>
                          <w:rFonts w:cstheme="minorHAnsi"/>
                          <w:i/>
                          <w:sz w:val="20"/>
                          <w:szCs w:val="20"/>
                        </w:rPr>
                      </w:pPr>
                      <w:r>
                        <w:rPr>
                          <w:rStyle w:val="Odkaznakoment"/>
                          <w:rFonts w:cstheme="minorHAnsi"/>
                          <w:i/>
                          <w:sz w:val="20"/>
                          <w:szCs w:val="20"/>
                        </w:rPr>
                        <w:t xml:space="preserve">Zásadní skupinou příjmů jsou příjmy daňové, tvoří </w:t>
                      </w:r>
                    </w:p>
                    <w:p w14:paraId="6DBD6BEB" w14:textId="77777777" w:rsidR="0009335F" w:rsidRPr="00480BCC" w:rsidRDefault="0009335F" w:rsidP="0009335F">
                      <w:pPr>
                        <w:spacing w:before="0" w:after="0" w:line="240" w:lineRule="auto"/>
                        <w:jc w:val="left"/>
                        <w:rPr>
                          <w:rFonts w:cstheme="minorHAnsi"/>
                          <w:b/>
                          <w:i/>
                          <w:color w:val="548DD4" w:themeColor="text2" w:themeTint="99"/>
                          <w:sz w:val="28"/>
                          <w:szCs w:val="28"/>
                        </w:rPr>
                      </w:pPr>
                      <w:r w:rsidRPr="00E77FC3">
                        <w:rPr>
                          <w:b/>
                          <w:i/>
                          <w:color w:val="548DD4" w:themeColor="text2" w:themeTint="99"/>
                          <w:sz w:val="28"/>
                          <w:szCs w:val="28"/>
                        </w:rPr>
                        <w:t>72,8 %</w:t>
                      </w:r>
                      <w:r w:rsidRPr="00480BCC">
                        <w:rPr>
                          <w:rFonts w:cstheme="minorHAnsi"/>
                          <w:b/>
                          <w:i/>
                          <w:color w:val="548DD4" w:themeColor="text2" w:themeTint="99"/>
                          <w:sz w:val="28"/>
                          <w:szCs w:val="28"/>
                        </w:rPr>
                        <w:t xml:space="preserve"> </w:t>
                      </w:r>
                      <w:r>
                        <w:rPr>
                          <w:rStyle w:val="Odkaznakoment"/>
                          <w:rFonts w:cstheme="minorHAnsi"/>
                          <w:i/>
                          <w:sz w:val="20"/>
                          <w:szCs w:val="20"/>
                        </w:rPr>
                        <w:t>běžných příjmů</w:t>
                      </w:r>
                      <w:r w:rsidRPr="00480BCC">
                        <w:rPr>
                          <w:rFonts w:cstheme="minorHAnsi"/>
                          <w:b/>
                          <w:i/>
                          <w:color w:val="548DD4" w:themeColor="text2" w:themeTint="99"/>
                          <w:sz w:val="28"/>
                          <w:szCs w:val="28"/>
                        </w:rPr>
                        <w:t xml:space="preserve"> </w:t>
                      </w:r>
                    </w:p>
                    <w:p w14:paraId="16E1F6CF" w14:textId="77777777" w:rsidR="0009335F" w:rsidRPr="001B58F3" w:rsidRDefault="0009335F" w:rsidP="0009335F">
                      <w:pPr>
                        <w:spacing w:before="0" w:after="0" w:line="240" w:lineRule="auto"/>
                        <w:jc w:val="left"/>
                        <w:rPr>
                          <w:rFonts w:cstheme="minorHAnsi"/>
                          <w:i/>
                          <w:sz w:val="20"/>
                          <w:szCs w:val="20"/>
                        </w:rPr>
                      </w:pPr>
                      <w:r w:rsidRPr="00E77FC3">
                        <w:rPr>
                          <w:b/>
                          <w:i/>
                          <w:color w:val="548DD4" w:themeColor="text2" w:themeTint="99"/>
                          <w:sz w:val="28"/>
                          <w:szCs w:val="28"/>
                        </w:rPr>
                        <w:t>69,2 %</w:t>
                      </w:r>
                      <w:r w:rsidRPr="00480BCC">
                        <w:rPr>
                          <w:rFonts w:cstheme="minorHAnsi"/>
                          <w:b/>
                          <w:i/>
                          <w:color w:val="548DD4" w:themeColor="text2" w:themeTint="99"/>
                          <w:sz w:val="28"/>
                          <w:szCs w:val="28"/>
                        </w:rPr>
                        <w:t xml:space="preserve"> </w:t>
                      </w:r>
                      <w:r>
                        <w:rPr>
                          <w:rStyle w:val="Odkaznakoment"/>
                          <w:rFonts w:cstheme="minorHAnsi"/>
                          <w:i/>
                          <w:sz w:val="20"/>
                          <w:szCs w:val="20"/>
                        </w:rPr>
                        <w:t>celkových příjmů</w:t>
                      </w:r>
                    </w:p>
                  </w:txbxContent>
                </v:textbox>
                <w10:wrap anchorx="page"/>
              </v:shape>
            </w:pict>
          </mc:Fallback>
        </mc:AlternateContent>
      </w:r>
      <w:r w:rsidR="002C36D0" w:rsidRPr="002741E9">
        <w:rPr>
          <w:rFonts w:eastAsia="Times New Roman"/>
          <w:lang w:eastAsia="cs-CZ"/>
        </w:rPr>
        <w:t xml:space="preserve">Hodnota celkových příjmů je v rámci běžných příjmů závislá zejména na vývoji ekonomiky státu a tím na inkasu sdílených daní. Podstatně menší vliv mají nedaňové příjmy a neinvestiční transfery. Meziroční vývoj příjmů je ovšem nezanedbatelně ovlivněn také </w:t>
      </w:r>
      <w:r w:rsidR="004A4E5C" w:rsidRPr="002741E9">
        <w:rPr>
          <w:rFonts w:eastAsia="Times New Roman"/>
          <w:lang w:eastAsia="cs-CZ"/>
        </w:rPr>
        <w:t>realizací</w:t>
      </w:r>
      <w:r w:rsidR="002C36D0" w:rsidRPr="002741E9">
        <w:rPr>
          <w:rFonts w:eastAsia="Times New Roman"/>
          <w:lang w:eastAsia="cs-CZ"/>
        </w:rPr>
        <w:t xml:space="preserve"> investičních záměrů a s tím souvisejícími obdrženými investičními dotacemi. Toto lze dokumentovat nárůstem celkových příjmů v roce 202</w:t>
      </w:r>
      <w:r w:rsidR="00CC5EA4" w:rsidRPr="002741E9">
        <w:rPr>
          <w:rFonts w:eastAsia="Times New Roman"/>
          <w:lang w:eastAsia="cs-CZ"/>
        </w:rPr>
        <w:t>0</w:t>
      </w:r>
      <w:r w:rsidR="002C36D0" w:rsidRPr="002741E9">
        <w:rPr>
          <w:rFonts w:eastAsia="Times New Roman"/>
          <w:lang w:eastAsia="cs-CZ"/>
        </w:rPr>
        <w:t xml:space="preserve">, kdy město obdrželo dotace </w:t>
      </w:r>
      <w:r w:rsidR="00CC5EA4" w:rsidRPr="002741E9">
        <w:rPr>
          <w:rFonts w:eastAsia="Times New Roman"/>
          <w:lang w:eastAsia="cs-CZ"/>
        </w:rPr>
        <w:t>na projekt Kompetence v oborech na ZŠ ve výši 79,4 mil. Kč. V roce 2023</w:t>
      </w:r>
      <w:r w:rsidR="002741E9" w:rsidRPr="002741E9">
        <w:rPr>
          <w:rFonts w:eastAsia="Times New Roman"/>
          <w:lang w:eastAsia="cs-CZ"/>
        </w:rPr>
        <w:t xml:space="preserve"> pak</w:t>
      </w:r>
      <w:r w:rsidR="00CC5EA4" w:rsidRPr="002741E9">
        <w:rPr>
          <w:rFonts w:eastAsia="Times New Roman"/>
          <w:lang w:eastAsia="cs-CZ"/>
        </w:rPr>
        <w:t xml:space="preserve"> město obdrželo dotace na projekt </w:t>
      </w:r>
      <w:proofErr w:type="gramStart"/>
      <w:r w:rsidR="00CC5EA4" w:rsidRPr="002741E9">
        <w:rPr>
          <w:rFonts w:eastAsia="Times New Roman"/>
          <w:lang w:eastAsia="cs-CZ"/>
        </w:rPr>
        <w:t>IROP - Infrastruktura</w:t>
      </w:r>
      <w:proofErr w:type="gramEnd"/>
      <w:r w:rsidR="00CC5EA4" w:rsidRPr="002741E9">
        <w:rPr>
          <w:rFonts w:eastAsia="Times New Roman"/>
          <w:lang w:eastAsia="cs-CZ"/>
        </w:rPr>
        <w:t xml:space="preserve"> ZŠ II (odborná učiliště - přírodovědné, technické, zemědělské) </w:t>
      </w:r>
      <w:r w:rsidR="002C36D0" w:rsidRPr="002741E9">
        <w:rPr>
          <w:rFonts w:eastAsia="Times New Roman"/>
          <w:lang w:eastAsia="cs-CZ"/>
        </w:rPr>
        <w:t>(</w:t>
      </w:r>
      <w:r w:rsidR="00CC5EA4" w:rsidRPr="002741E9">
        <w:rPr>
          <w:rFonts w:eastAsia="Times New Roman"/>
          <w:lang w:eastAsia="cs-CZ"/>
        </w:rPr>
        <w:t>26,4</w:t>
      </w:r>
      <w:r w:rsidR="002C36D0" w:rsidRPr="002741E9">
        <w:rPr>
          <w:rFonts w:eastAsia="Times New Roman"/>
          <w:lang w:eastAsia="cs-CZ"/>
        </w:rPr>
        <w:t xml:space="preserve"> mil. Kč)</w:t>
      </w:r>
      <w:r w:rsidR="0074015B" w:rsidRPr="002741E9">
        <w:rPr>
          <w:rFonts w:eastAsia="Times New Roman"/>
          <w:lang w:eastAsia="cs-CZ"/>
        </w:rPr>
        <w:t xml:space="preserve">, </w:t>
      </w:r>
      <w:r w:rsidR="00CC5EA4" w:rsidRPr="002741E9">
        <w:rPr>
          <w:rFonts w:eastAsia="Times New Roman"/>
          <w:lang w:eastAsia="cs-CZ"/>
        </w:rPr>
        <w:t>Infrastruktura ZŠ II – odborné učebny cizích jazyků a IT</w:t>
      </w:r>
      <w:r w:rsidR="0074015B" w:rsidRPr="002741E9">
        <w:rPr>
          <w:rFonts w:eastAsia="Times New Roman"/>
          <w:lang w:eastAsia="cs-CZ"/>
        </w:rPr>
        <w:t xml:space="preserve"> (</w:t>
      </w:r>
      <w:r w:rsidR="00CC5EA4" w:rsidRPr="002741E9">
        <w:rPr>
          <w:rFonts w:eastAsia="Times New Roman"/>
          <w:lang w:eastAsia="cs-CZ"/>
        </w:rPr>
        <w:t>13,</w:t>
      </w:r>
      <w:r w:rsidR="00053556" w:rsidRPr="002741E9">
        <w:rPr>
          <w:rFonts w:eastAsia="Times New Roman"/>
          <w:lang w:eastAsia="cs-CZ"/>
        </w:rPr>
        <w:t>2</w:t>
      </w:r>
      <w:r w:rsidR="0074015B" w:rsidRPr="002741E9">
        <w:rPr>
          <w:rFonts w:eastAsia="Times New Roman"/>
          <w:lang w:eastAsia="cs-CZ"/>
        </w:rPr>
        <w:t xml:space="preserve"> mil. Kč)</w:t>
      </w:r>
      <w:r w:rsidR="00CC5EA4" w:rsidRPr="002741E9">
        <w:rPr>
          <w:rFonts w:eastAsia="Times New Roman"/>
          <w:lang w:eastAsia="cs-CZ"/>
        </w:rPr>
        <w:t xml:space="preserve"> nebo</w:t>
      </w:r>
      <w:r w:rsidR="0074015B" w:rsidRPr="002741E9">
        <w:rPr>
          <w:rFonts w:eastAsia="Times New Roman"/>
          <w:lang w:eastAsia="cs-CZ"/>
        </w:rPr>
        <w:t xml:space="preserve"> </w:t>
      </w:r>
      <w:r w:rsidR="00CC5EA4" w:rsidRPr="002741E9">
        <w:rPr>
          <w:rFonts w:eastAsia="Times New Roman"/>
          <w:lang w:eastAsia="cs-CZ"/>
        </w:rPr>
        <w:t>dotaci OPŽP na snížení energetické</w:t>
      </w:r>
      <w:r w:rsidR="002741E9" w:rsidRPr="002741E9">
        <w:rPr>
          <w:rFonts w:eastAsia="Times New Roman"/>
          <w:lang w:eastAsia="cs-CZ"/>
        </w:rPr>
        <w:t xml:space="preserve"> </w:t>
      </w:r>
      <w:r w:rsidR="00CC5EA4" w:rsidRPr="002741E9">
        <w:rPr>
          <w:rFonts w:eastAsia="Times New Roman"/>
          <w:lang w:eastAsia="cs-CZ"/>
        </w:rPr>
        <w:t xml:space="preserve">náročnosti budov - MŠ Zahradní </w:t>
      </w:r>
      <w:r w:rsidR="0074015B" w:rsidRPr="002741E9">
        <w:rPr>
          <w:rFonts w:eastAsia="Times New Roman"/>
          <w:lang w:eastAsia="cs-CZ"/>
        </w:rPr>
        <w:t>(</w:t>
      </w:r>
      <w:r w:rsidR="00CC5EA4" w:rsidRPr="002741E9">
        <w:rPr>
          <w:rFonts w:eastAsia="Times New Roman"/>
          <w:lang w:eastAsia="cs-CZ"/>
        </w:rPr>
        <w:t>12,4</w:t>
      </w:r>
      <w:r w:rsidR="0074015B" w:rsidRPr="002741E9">
        <w:rPr>
          <w:rFonts w:eastAsia="Times New Roman"/>
          <w:lang w:eastAsia="cs-CZ"/>
        </w:rPr>
        <w:t xml:space="preserve"> mil. Kč)</w:t>
      </w:r>
      <w:r w:rsidR="00CC5EA4" w:rsidRPr="002741E9">
        <w:rPr>
          <w:rFonts w:eastAsia="Times New Roman"/>
          <w:lang w:eastAsia="cs-CZ"/>
        </w:rPr>
        <w:t>.</w:t>
      </w:r>
    </w:p>
    <w:p w14:paraId="3F295B5D" w14:textId="1473CCD4" w:rsidR="002C36D0" w:rsidRPr="003A26A9" w:rsidRDefault="003A26A9" w:rsidP="003A26A9">
      <w:pPr>
        <w:pStyle w:val="Nadpis3"/>
      </w:pPr>
      <w:r>
        <w:t>D</w:t>
      </w:r>
      <w:r w:rsidRPr="004D0FAA">
        <w:t>aňové příjmy</w:t>
      </w:r>
    </w:p>
    <w:p w14:paraId="30A2D062" w14:textId="5826EB8F" w:rsidR="002C36D0" w:rsidRPr="00421C0A" w:rsidRDefault="002C36D0" w:rsidP="00666B31">
      <w:r w:rsidRPr="00421C0A">
        <w:t xml:space="preserve">Z následujících grafů, které porovnávají podíly jednotlivých příjmových skupin na běžných a celkových příjmech (vyjádření v procentech), je zřejmé, že nejdůležitější příjmovou skupinou jsou příjmy daňové. Daňové příjmy tvořily za posledních pět let v průměru </w:t>
      </w:r>
      <w:r w:rsidR="00E77FC3">
        <w:t>72,8 %</w:t>
      </w:r>
      <w:r w:rsidRPr="00421C0A">
        <w:t xml:space="preserve"> příjmů běžných a </w:t>
      </w:r>
      <w:r w:rsidR="00E77FC3">
        <w:t>69,2 %</w:t>
      </w:r>
      <w:r w:rsidR="006B22B3">
        <w:t xml:space="preserve"> </w:t>
      </w:r>
      <w:r w:rsidRPr="00421C0A">
        <w:t>příjmů celkových.</w:t>
      </w:r>
    </w:p>
    <w:p w14:paraId="71211205" w14:textId="77777777" w:rsidR="002C36D0" w:rsidRPr="00104086" w:rsidRDefault="00104086" w:rsidP="007F7EE4">
      <w:pPr>
        <w:pStyle w:val="Graf0"/>
      </w:pPr>
      <w:bookmarkStart w:id="16" w:name="_Toc180650279"/>
      <w:r w:rsidRPr="00104086">
        <w:rPr>
          <w:noProof/>
          <w:lang w:eastAsia="cs-CZ"/>
        </w:rPr>
        <w:lastRenderedPageBreak/>
        <w:t xml:space="preserve">Meziroční podíl a </w:t>
      </w:r>
      <w:r>
        <w:rPr>
          <w:noProof/>
          <w:lang w:eastAsia="cs-CZ"/>
        </w:rPr>
        <w:t>pěti</w:t>
      </w:r>
      <w:r w:rsidRPr="00104086">
        <w:rPr>
          <w:noProof/>
          <w:lang w:eastAsia="cs-CZ"/>
        </w:rPr>
        <w:t>letý průměr daňových příjmů</w:t>
      </w:r>
      <w:bookmarkEnd w:id="16"/>
    </w:p>
    <w:p w14:paraId="1CBD4287" w14:textId="24106A30" w:rsidR="002C36D0" w:rsidRPr="0030771F" w:rsidRDefault="002259E5" w:rsidP="002C36D0">
      <w:pPr>
        <w:pStyle w:val="Objekt"/>
      </w:pPr>
      <w:r w:rsidRPr="002259E5">
        <w:rPr>
          <w:noProof/>
        </w:rPr>
        <w:drawing>
          <wp:inline distT="0" distB="0" distL="0" distR="0" wp14:anchorId="45C0B731" wp14:editId="6DBC2771">
            <wp:extent cx="4860925" cy="1602105"/>
            <wp:effectExtent l="0" t="0" r="0" b="0"/>
            <wp:docPr id="677254232" name="Obráze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60925" cy="1602105"/>
                    </a:xfrm>
                    <a:prstGeom prst="rect">
                      <a:avLst/>
                    </a:prstGeom>
                    <a:noFill/>
                    <a:ln>
                      <a:noFill/>
                    </a:ln>
                  </pic:spPr>
                </pic:pic>
              </a:graphicData>
            </a:graphic>
          </wp:inline>
        </w:drawing>
      </w:r>
    </w:p>
    <w:p w14:paraId="23AE007F" w14:textId="7D921D78" w:rsidR="002C36D0" w:rsidRPr="003D2538" w:rsidRDefault="002C36D0" w:rsidP="002C36D0">
      <w:r w:rsidRPr="003D2538">
        <w:t>Z předcházejícího grafu je patrná dominance daňových příjmů nad ostatními příjmovými skupinami. Nedaňové</w:t>
      </w:r>
      <w:r w:rsidR="006B22B3">
        <w:t xml:space="preserve">, </w:t>
      </w:r>
      <w:r w:rsidRPr="003D2538">
        <w:t xml:space="preserve">kapitálové příjmy a přijaté transfery se v průměru podílejí na běžných příjmech </w:t>
      </w:r>
      <w:r w:rsidR="00E77FC3">
        <w:t>27,2 %</w:t>
      </w:r>
      <w:r w:rsidRPr="003D2538">
        <w:t xml:space="preserve"> a na celkových příjmech </w:t>
      </w:r>
      <w:r w:rsidR="00E77FC3">
        <w:t>30,8 %</w:t>
      </w:r>
      <w:r w:rsidRPr="003D2538">
        <w:t>.</w:t>
      </w:r>
    </w:p>
    <w:p w14:paraId="6555DE9A" w14:textId="03962980" w:rsidR="002C36D0" w:rsidRPr="003D2538" w:rsidRDefault="002C36D0" w:rsidP="002C36D0">
      <w:r w:rsidRPr="003D2538">
        <w:t xml:space="preserve">Základ příjmové části rozpočtu města tvoří sdílené daně, které spadají do třídy daňových příjmů. Plnění rozpočtovaných příjmů v této oblasti je nutné věnovat náležitou pozornost. </w:t>
      </w:r>
      <w:r w:rsidR="008D732D" w:rsidRPr="008D732D">
        <w:t>Historický vývoj sdílených daní je popsán v příloze č. 1.</w:t>
      </w:r>
    </w:p>
    <w:bookmarkStart w:id="17" w:name="_Toc428351150"/>
    <w:bookmarkStart w:id="18" w:name="_Toc428357445"/>
    <w:bookmarkStart w:id="19" w:name="_Toc55981680"/>
    <w:bookmarkStart w:id="20" w:name="_Toc180650280"/>
    <w:p w14:paraId="2A49AB50" w14:textId="77777777" w:rsidR="002C36D0" w:rsidRPr="007F7EE4" w:rsidRDefault="008C27FC" w:rsidP="007F7EE4">
      <w:pPr>
        <w:pStyle w:val="Graf0"/>
      </w:pPr>
      <w:r w:rsidRPr="001B58F3">
        <w:rPr>
          <w:rFonts w:ascii="Verdana" w:hAnsi="Verdana"/>
          <w:noProof/>
          <w:sz w:val="19"/>
          <w:highlight w:val="cyan"/>
          <w:lang w:eastAsia="cs-CZ"/>
        </w:rPr>
        <mc:AlternateContent>
          <mc:Choice Requires="wps">
            <w:drawing>
              <wp:anchor distT="0" distB="0" distL="114300" distR="114300" simplePos="0" relativeHeight="251645952" behindDoc="0" locked="0" layoutInCell="1" allowOverlap="1" wp14:anchorId="2E8938FC" wp14:editId="2F3994A4">
                <wp:simplePos x="0" y="0"/>
                <wp:positionH relativeFrom="page">
                  <wp:posOffset>541867</wp:posOffset>
                </wp:positionH>
                <wp:positionV relativeFrom="paragraph">
                  <wp:posOffset>-70062</wp:posOffset>
                </wp:positionV>
                <wp:extent cx="1404000" cy="668867"/>
                <wp:effectExtent l="0" t="0" r="5715" b="0"/>
                <wp:wrapNone/>
                <wp:docPr id="682"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668867"/>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5CFDEDE2" w14:textId="77777777" w:rsidR="0031735E" w:rsidRDefault="0031735E" w:rsidP="00E03088">
                            <w:pPr>
                              <w:spacing w:after="0"/>
                              <w:jc w:val="left"/>
                              <w:rPr>
                                <w:rStyle w:val="Odkaznakoment"/>
                                <w:rFonts w:cstheme="minorHAnsi"/>
                                <w:i/>
                                <w:sz w:val="20"/>
                                <w:szCs w:val="20"/>
                              </w:rPr>
                            </w:pPr>
                            <w:r>
                              <w:rPr>
                                <w:rStyle w:val="Odkaznakoment"/>
                                <w:rFonts w:cstheme="minorHAnsi"/>
                                <w:i/>
                                <w:sz w:val="20"/>
                                <w:szCs w:val="20"/>
                              </w:rPr>
                              <w:t xml:space="preserve">Podíl sdílených daní na daňových příjmech </w:t>
                            </w:r>
                          </w:p>
                          <w:p w14:paraId="149BE34D" w14:textId="5C78E56D" w:rsidR="0031735E" w:rsidRPr="008C27FC" w:rsidRDefault="00E77FC3" w:rsidP="008C27FC">
                            <w:pPr>
                              <w:spacing w:before="0" w:after="0"/>
                              <w:jc w:val="left"/>
                              <w:rPr>
                                <w:rFonts w:cstheme="minorHAnsi"/>
                                <w:b/>
                                <w:i/>
                                <w:color w:val="548DD4" w:themeColor="text2" w:themeTint="99"/>
                                <w:sz w:val="28"/>
                                <w:szCs w:val="28"/>
                              </w:rPr>
                            </w:pPr>
                            <w:r w:rsidRPr="00E77FC3">
                              <w:rPr>
                                <w:b/>
                                <w:i/>
                                <w:color w:val="548DD4" w:themeColor="text2" w:themeTint="99"/>
                                <w:sz w:val="28"/>
                                <w:szCs w:val="28"/>
                              </w:rPr>
                              <w:t>85,6 %</w:t>
                            </w: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2E8938FC" id="_x0000_s1030" type="#_x0000_t202" style="position:absolute;left:0;text-align:left;margin-left:42.65pt;margin-top:-5.5pt;width:110.55pt;height:52.6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" fillcolor="white [3201]" stroked="f" strokeweight=".5pt">
                <v:path arrowok="t"/>
                <v:textbox inset="0,0,0,0">
                  <w:txbxContent>
                    <w:p w14:paraId="5CFDEDE2" w14:textId="77777777" w:rsidR="0031735E" w:rsidRDefault="0031735E" w:rsidP="00E03088">
                      <w:pPr>
                        <w:spacing w:after="0"/>
                        <w:jc w:val="left"/>
                        <w:rPr>
                          <w:rStyle w:val="Odkaznakoment"/>
                          <w:rFonts w:cstheme="minorHAnsi"/>
                          <w:i/>
                          <w:sz w:val="20"/>
                          <w:szCs w:val="20"/>
                        </w:rPr>
                      </w:pPr>
                      <w:r>
                        <w:rPr>
                          <w:rStyle w:val="Odkaznakoment"/>
                          <w:rFonts w:cstheme="minorHAnsi"/>
                          <w:i/>
                          <w:sz w:val="20"/>
                          <w:szCs w:val="20"/>
                        </w:rPr>
                        <w:t xml:space="preserve">Podíl sdílených daní na daňových příjmech </w:t>
                      </w:r>
                    </w:p>
                    <w:p w14:paraId="149BE34D" w14:textId="5C78E56D" w:rsidR="0031735E" w:rsidRPr="008C27FC" w:rsidRDefault="00E77FC3" w:rsidP="008C27FC">
                      <w:pPr>
                        <w:spacing w:before="0" w:after="0"/>
                        <w:jc w:val="left"/>
                        <w:rPr>
                          <w:rFonts w:cstheme="minorHAnsi"/>
                          <w:b/>
                          <w:i/>
                          <w:color w:val="548DD4" w:themeColor="text2" w:themeTint="99"/>
                          <w:sz w:val="28"/>
                          <w:szCs w:val="28"/>
                        </w:rPr>
                      </w:pPr>
                      <w:r w:rsidRPr="00E77FC3">
                        <w:rPr>
                          <w:b/>
                          <w:i/>
                          <w:color w:val="548DD4" w:themeColor="text2" w:themeTint="99"/>
                          <w:sz w:val="28"/>
                          <w:szCs w:val="28"/>
                        </w:rPr>
                        <w:t>85,6 %</w:t>
                      </w:r>
                    </w:p>
                  </w:txbxContent>
                </v:textbox>
                <w10:wrap anchorx="page"/>
              </v:shape>
            </w:pict>
          </mc:Fallback>
        </mc:AlternateContent>
      </w:r>
      <w:r w:rsidR="002C36D0" w:rsidRPr="007F7EE4">
        <w:t>Vývoj sdílených daní</w:t>
      </w:r>
      <w:bookmarkEnd w:id="17"/>
      <w:bookmarkEnd w:id="18"/>
      <w:bookmarkEnd w:id="19"/>
      <w:bookmarkEnd w:id="20"/>
    </w:p>
    <w:p w14:paraId="673DEF15" w14:textId="4F90AAB5" w:rsidR="002C36D0" w:rsidRPr="0030771F" w:rsidRDefault="002259E5" w:rsidP="002C36D0">
      <w:pPr>
        <w:pStyle w:val="Objekt"/>
      </w:pPr>
      <w:r w:rsidRPr="002259E5">
        <w:rPr>
          <w:noProof/>
        </w:rPr>
        <w:drawing>
          <wp:inline distT="0" distB="0" distL="0" distR="0" wp14:anchorId="760EFFF2" wp14:editId="717910AA">
            <wp:extent cx="4860925" cy="2009775"/>
            <wp:effectExtent l="0" t="0" r="0" b="0"/>
            <wp:docPr id="1896798117" name="Obráze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60925" cy="2009775"/>
                    </a:xfrm>
                    <a:prstGeom prst="rect">
                      <a:avLst/>
                    </a:prstGeom>
                    <a:noFill/>
                    <a:ln>
                      <a:noFill/>
                    </a:ln>
                  </pic:spPr>
                </pic:pic>
              </a:graphicData>
            </a:graphic>
          </wp:inline>
        </w:drawing>
      </w:r>
    </w:p>
    <w:p w14:paraId="4E09DC5C" w14:textId="77777777" w:rsidR="002C36D0" w:rsidRPr="0030771F" w:rsidRDefault="002C36D0" w:rsidP="001E66E6">
      <w:pPr>
        <w:pStyle w:val="Poznmka"/>
        <w:spacing w:line="240" w:lineRule="auto"/>
      </w:pPr>
      <w:r w:rsidRPr="0030771F">
        <w:t xml:space="preserve">Poznámka: z důvodu přehlednosti a názvosloví z minulých let jsou </w:t>
      </w:r>
      <w:r w:rsidR="001E66E6">
        <w:t xml:space="preserve">dále </w:t>
      </w:r>
      <w:r w:rsidRPr="0030771F">
        <w:t>v textu použity zkratky pro položku</w:t>
      </w:r>
    </w:p>
    <w:p w14:paraId="6B578631" w14:textId="77777777" w:rsidR="002C36D0" w:rsidRPr="0030771F" w:rsidRDefault="002C36D0" w:rsidP="001E66E6">
      <w:pPr>
        <w:spacing w:before="0" w:after="0" w:line="240" w:lineRule="auto"/>
        <w:rPr>
          <w:i/>
          <w:vertAlign w:val="subscript"/>
        </w:rPr>
      </w:pPr>
      <w:r w:rsidRPr="0030771F">
        <w:rPr>
          <w:i/>
          <w:sz w:val="18"/>
          <w:szCs w:val="18"/>
        </w:rPr>
        <w:t>1111 (současný název DPFO placená plátci) 1111</w:t>
      </w:r>
      <w:r w:rsidRPr="0030771F">
        <w:rPr>
          <w:i/>
          <w:vertAlign w:val="subscript"/>
        </w:rPr>
        <w:t>ZČ (ze závislé činnosti)</w:t>
      </w:r>
    </w:p>
    <w:p w14:paraId="17C3FEAA" w14:textId="77777777" w:rsidR="002C36D0" w:rsidRPr="0030771F" w:rsidRDefault="002C36D0" w:rsidP="001E66E6">
      <w:pPr>
        <w:spacing w:before="0" w:after="240" w:line="240" w:lineRule="auto"/>
        <w:rPr>
          <w:i/>
          <w:vertAlign w:val="subscript"/>
        </w:rPr>
      </w:pPr>
      <w:r w:rsidRPr="0030771F">
        <w:rPr>
          <w:i/>
          <w:sz w:val="18"/>
          <w:szCs w:val="18"/>
        </w:rPr>
        <w:t>1112 (současný název DPFO placená poplatníky) 1112</w:t>
      </w:r>
      <w:r w:rsidRPr="0030771F">
        <w:rPr>
          <w:i/>
          <w:vertAlign w:val="subscript"/>
        </w:rPr>
        <w:t>OSVČ (osob samostatně výdělečně činných)</w:t>
      </w:r>
    </w:p>
    <w:p w14:paraId="776A5A56" w14:textId="4DB30CDF" w:rsidR="002C36D0" w:rsidRPr="007D3888" w:rsidRDefault="002C36D0" w:rsidP="002C36D0">
      <w:r w:rsidRPr="007D3888">
        <w:t xml:space="preserve">Sdílené daně predikované společností AQE </w:t>
      </w:r>
      <w:proofErr w:type="spellStart"/>
      <w:r w:rsidRPr="007D3888">
        <w:t>advisors</w:t>
      </w:r>
      <w:proofErr w:type="spellEnd"/>
      <w:r w:rsidRPr="007D3888">
        <w:t xml:space="preserve">, a.s. vycházejí z údajů platného státního rozpočtu na rok </w:t>
      </w:r>
      <w:r w:rsidR="00E77FC3">
        <w:t>2024</w:t>
      </w:r>
      <w:r w:rsidRPr="007D3888">
        <w:t xml:space="preserve">, zákona č. 243/2000 Sb., o rozpočtovém určení daní územním samosprávným celkům a některým státním fondům a vyhlášky </w:t>
      </w:r>
      <w:r w:rsidR="00E77FC3">
        <w:t>2</w:t>
      </w:r>
      <w:r w:rsidR="003A26A9">
        <w:t>50</w:t>
      </w:r>
      <w:r w:rsidR="00E77FC3">
        <w:t>/202</w:t>
      </w:r>
      <w:r w:rsidR="003A26A9">
        <w:t>4</w:t>
      </w:r>
      <w:r w:rsidR="00DC7B17">
        <w:t xml:space="preserve"> </w:t>
      </w:r>
      <w:r w:rsidRPr="007D3888">
        <w:t>Sb., o podílu jednotlivých obcí na stanovených procentních částech celostátního hrubého výnosu daně z přidané hodnoty a daní z příjmů. Hodnoty pro výpočet sdílených daní jsou určeny následovně:</w:t>
      </w:r>
    </w:p>
    <w:p w14:paraId="46188C01" w14:textId="74F808D3" w:rsidR="002C36D0" w:rsidRPr="007F609C" w:rsidRDefault="002259E5" w:rsidP="00AA44BA">
      <w:pPr>
        <w:pStyle w:val="Objekt"/>
      </w:pPr>
      <w:r w:rsidRPr="002259E5">
        <w:rPr>
          <w:noProof/>
        </w:rPr>
        <w:drawing>
          <wp:inline distT="0" distB="0" distL="0" distR="0" wp14:anchorId="5BE98F91" wp14:editId="78767F21">
            <wp:extent cx="3189605" cy="1163320"/>
            <wp:effectExtent l="0" t="0" r="0" b="0"/>
            <wp:docPr id="89564251"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89605" cy="1163320"/>
                    </a:xfrm>
                    <a:prstGeom prst="rect">
                      <a:avLst/>
                    </a:prstGeom>
                    <a:noFill/>
                    <a:ln>
                      <a:noFill/>
                    </a:ln>
                  </pic:spPr>
                </pic:pic>
              </a:graphicData>
            </a:graphic>
          </wp:inline>
        </w:drawing>
      </w:r>
    </w:p>
    <w:p w14:paraId="36BFD875" w14:textId="77777777" w:rsidR="00701261" w:rsidRDefault="00701261" w:rsidP="009A770A">
      <w:pPr>
        <w:pStyle w:val="Tabulka"/>
      </w:pPr>
      <w:bookmarkStart w:id="21" w:name="_Toc180650261"/>
      <w:r w:rsidRPr="00701261">
        <w:lastRenderedPageBreak/>
        <w:t>Predikce sdílených daní na aktuální rok</w:t>
      </w:r>
      <w:bookmarkEnd w:id="21"/>
    </w:p>
    <w:p w14:paraId="78DFCF07" w14:textId="281C04AF" w:rsidR="00701261" w:rsidRDefault="000934E1" w:rsidP="008C27FC">
      <w:pPr>
        <w:pStyle w:val="Objekt"/>
        <w:spacing w:after="120"/>
      </w:pPr>
      <w:r w:rsidRPr="003300CB">
        <w:rPr>
          <w:rFonts w:ascii="Verdana" w:hAnsi="Verdana"/>
          <w:noProof/>
          <w:sz w:val="19"/>
          <w:lang w:eastAsia="cs-CZ"/>
        </w:rPr>
        <mc:AlternateContent>
          <mc:Choice Requires="wps">
            <w:drawing>
              <wp:anchor distT="0" distB="0" distL="114300" distR="114300" simplePos="0" relativeHeight="251645440" behindDoc="0" locked="0" layoutInCell="1" allowOverlap="1" wp14:anchorId="7B4944AE" wp14:editId="4F082760">
                <wp:simplePos x="0" y="0"/>
                <wp:positionH relativeFrom="page">
                  <wp:posOffset>539126</wp:posOffset>
                </wp:positionH>
                <wp:positionV relativeFrom="paragraph">
                  <wp:posOffset>1289050</wp:posOffset>
                </wp:positionV>
                <wp:extent cx="1403985" cy="919686"/>
                <wp:effectExtent l="0" t="0" r="5715" b="0"/>
                <wp:wrapNone/>
                <wp:docPr id="687"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3985" cy="919686"/>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2F9FDE4F" w14:textId="60B63B6D" w:rsidR="0031735E" w:rsidRPr="00370D4F" w:rsidRDefault="0031735E" w:rsidP="008923AE">
                            <w:pPr>
                              <w:spacing w:after="0"/>
                              <w:jc w:val="left"/>
                              <w:rPr>
                                <w:rFonts w:cstheme="minorHAnsi"/>
                                <w:i/>
                                <w:sz w:val="20"/>
                                <w:szCs w:val="20"/>
                              </w:rPr>
                            </w:pPr>
                            <w:r>
                              <w:rPr>
                                <w:rFonts w:cstheme="minorHAnsi"/>
                                <w:i/>
                                <w:color w:val="333333"/>
                                <w:sz w:val="20"/>
                                <w:szCs w:val="20"/>
                                <w:shd w:val="clear" w:color="auto" w:fill="FFFFFF"/>
                              </w:rPr>
                              <w:t xml:space="preserve">Meziroční </w:t>
                            </w:r>
                            <w:r w:rsidR="004B2E9A">
                              <w:rPr>
                                <w:rFonts w:cstheme="minorHAnsi"/>
                                <w:i/>
                                <w:color w:val="333333"/>
                                <w:sz w:val="20"/>
                                <w:szCs w:val="20"/>
                                <w:shd w:val="clear" w:color="auto" w:fill="FFFFFF"/>
                              </w:rPr>
                              <w:t>pokles</w:t>
                            </w:r>
                            <w:r>
                              <w:rPr>
                                <w:rFonts w:cstheme="minorHAnsi"/>
                                <w:i/>
                                <w:color w:val="333333"/>
                                <w:sz w:val="20"/>
                                <w:szCs w:val="20"/>
                                <w:shd w:val="clear" w:color="auto" w:fill="FFFFFF"/>
                              </w:rPr>
                              <w:t xml:space="preserve"> sdílených daní oproti roku</w:t>
                            </w:r>
                            <w:r w:rsidRPr="00B70470">
                              <w:rPr>
                                <w:rFonts w:cstheme="minorHAnsi"/>
                                <w:i/>
                                <w:color w:val="333333"/>
                                <w:sz w:val="20"/>
                                <w:szCs w:val="20"/>
                                <w:shd w:val="clear" w:color="auto" w:fill="FFFFFF"/>
                              </w:rPr>
                              <w:t xml:space="preserve"> </w:t>
                            </w:r>
                            <w:r w:rsidR="00E77FC3" w:rsidRPr="00E77FC3">
                              <w:rPr>
                                <w:i/>
                                <w:sz w:val="20"/>
                                <w:szCs w:val="20"/>
                              </w:rPr>
                              <w:t>2024</w:t>
                            </w:r>
                            <w:r>
                              <w:rPr>
                                <w:rFonts w:cstheme="minorHAnsi"/>
                                <w:i/>
                                <w:color w:val="333333"/>
                                <w:sz w:val="20"/>
                                <w:szCs w:val="20"/>
                                <w:shd w:val="clear" w:color="auto" w:fill="FFFFFF"/>
                              </w:rPr>
                              <w:t xml:space="preserve"> dle MF</w:t>
                            </w:r>
                          </w:p>
                          <w:p w14:paraId="232059FD" w14:textId="4A129B97" w:rsidR="0031735E" w:rsidRPr="00AA44BA" w:rsidRDefault="00E77FC3" w:rsidP="004B2E9A">
                            <w:pPr>
                              <w:spacing w:before="0" w:after="0"/>
                              <w:jc w:val="center"/>
                              <w:rPr>
                                <w:rFonts w:cstheme="minorHAnsi"/>
                                <w:b/>
                                <w:i/>
                                <w:color w:val="548DD4" w:themeColor="text2" w:themeTint="99"/>
                                <w:sz w:val="28"/>
                                <w:szCs w:val="28"/>
                              </w:rPr>
                            </w:pPr>
                            <w:r w:rsidRPr="00E77FC3">
                              <w:rPr>
                                <w:rFonts w:cstheme="minorHAnsi"/>
                                <w:b/>
                                <w:i/>
                                <w:color w:val="548DD4" w:themeColor="text2" w:themeTint="99"/>
                                <w:sz w:val="28"/>
                                <w:szCs w:val="28"/>
                              </w:rPr>
                              <w:t>13,7</w:t>
                            </w:r>
                            <w:r w:rsidR="0031735E" w:rsidRPr="00AA44BA">
                              <w:rPr>
                                <w:rFonts w:cstheme="minorHAnsi"/>
                                <w:b/>
                                <w:i/>
                                <w:color w:val="548DD4" w:themeColor="text2" w:themeTint="99"/>
                                <w:sz w:val="28"/>
                                <w:szCs w:val="28"/>
                              </w:rPr>
                              <w:t xml:space="preserve"> mil. Kč</w:t>
                            </w: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7B4944AE" id="_x0000_s1031" type="#_x0000_t202" style="position:absolute;margin-left:42.45pt;margin-top:101.5pt;width:110.55pt;height:72.4pt;z-index:251645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" fillcolor="white [3201]" stroked="f" strokeweight=".5pt">
                <v:path arrowok="t"/>
                <v:textbox inset="0,0,0,0">
                  <w:txbxContent>
                    <w:p w14:paraId="2F9FDE4F" w14:textId="60B63B6D" w:rsidR="0031735E" w:rsidRPr="00370D4F" w:rsidRDefault="0031735E" w:rsidP="008923AE">
                      <w:pPr>
                        <w:spacing w:after="0"/>
                        <w:jc w:val="left"/>
                        <w:rPr>
                          <w:rFonts w:cstheme="minorHAnsi"/>
                          <w:i/>
                          <w:sz w:val="20"/>
                          <w:szCs w:val="20"/>
                        </w:rPr>
                      </w:pPr>
                      <w:r>
                        <w:rPr>
                          <w:rFonts w:cstheme="minorHAnsi"/>
                          <w:i/>
                          <w:color w:val="333333"/>
                          <w:sz w:val="20"/>
                          <w:szCs w:val="20"/>
                          <w:shd w:val="clear" w:color="auto" w:fill="FFFFFF"/>
                        </w:rPr>
                        <w:t xml:space="preserve">Meziroční </w:t>
                      </w:r>
                      <w:r w:rsidR="004B2E9A">
                        <w:rPr>
                          <w:rFonts w:cstheme="minorHAnsi"/>
                          <w:i/>
                          <w:color w:val="333333"/>
                          <w:sz w:val="20"/>
                          <w:szCs w:val="20"/>
                          <w:shd w:val="clear" w:color="auto" w:fill="FFFFFF"/>
                        </w:rPr>
                        <w:t>pokles</w:t>
                      </w:r>
                      <w:r>
                        <w:rPr>
                          <w:rFonts w:cstheme="minorHAnsi"/>
                          <w:i/>
                          <w:color w:val="333333"/>
                          <w:sz w:val="20"/>
                          <w:szCs w:val="20"/>
                          <w:shd w:val="clear" w:color="auto" w:fill="FFFFFF"/>
                        </w:rPr>
                        <w:t xml:space="preserve"> sdílených daní oproti roku</w:t>
                      </w:r>
                      <w:r w:rsidRPr="00B70470">
                        <w:rPr>
                          <w:rFonts w:cstheme="minorHAnsi"/>
                          <w:i/>
                          <w:color w:val="333333"/>
                          <w:sz w:val="20"/>
                          <w:szCs w:val="20"/>
                          <w:shd w:val="clear" w:color="auto" w:fill="FFFFFF"/>
                        </w:rPr>
                        <w:t xml:space="preserve"> </w:t>
                      </w:r>
                      <w:r w:rsidR="00E77FC3" w:rsidRPr="00E77FC3">
                        <w:rPr>
                          <w:i/>
                          <w:sz w:val="20"/>
                          <w:szCs w:val="20"/>
                        </w:rPr>
                        <w:t>2024</w:t>
                      </w:r>
                      <w:r>
                        <w:rPr>
                          <w:rFonts w:cstheme="minorHAnsi"/>
                          <w:i/>
                          <w:color w:val="333333"/>
                          <w:sz w:val="20"/>
                          <w:szCs w:val="20"/>
                          <w:shd w:val="clear" w:color="auto" w:fill="FFFFFF"/>
                        </w:rPr>
                        <w:t xml:space="preserve"> dle MF</w:t>
                      </w:r>
                    </w:p>
                    <w:p w14:paraId="232059FD" w14:textId="4A129B97" w:rsidR="0031735E" w:rsidRPr="00AA44BA" w:rsidRDefault="00E77FC3" w:rsidP="004B2E9A">
                      <w:pPr>
                        <w:spacing w:before="0" w:after="0"/>
                        <w:jc w:val="center"/>
                        <w:rPr>
                          <w:rFonts w:cstheme="minorHAnsi"/>
                          <w:b/>
                          <w:i/>
                          <w:color w:val="548DD4" w:themeColor="text2" w:themeTint="99"/>
                          <w:sz w:val="28"/>
                          <w:szCs w:val="28"/>
                        </w:rPr>
                      </w:pPr>
                      <w:r w:rsidRPr="00E77FC3">
                        <w:rPr>
                          <w:rFonts w:cstheme="minorHAnsi"/>
                          <w:b/>
                          <w:i/>
                          <w:color w:val="548DD4" w:themeColor="text2" w:themeTint="99"/>
                          <w:sz w:val="28"/>
                          <w:szCs w:val="28"/>
                        </w:rPr>
                        <w:t>13,7</w:t>
                      </w:r>
                      <w:r w:rsidR="0031735E" w:rsidRPr="00AA44BA">
                        <w:rPr>
                          <w:rFonts w:cstheme="minorHAnsi"/>
                          <w:b/>
                          <w:i/>
                          <w:color w:val="548DD4" w:themeColor="text2" w:themeTint="99"/>
                          <w:sz w:val="28"/>
                          <w:szCs w:val="28"/>
                        </w:rPr>
                        <w:t xml:space="preserve"> mil. Kč</w:t>
                      </w:r>
                    </w:p>
                  </w:txbxContent>
                </v:textbox>
                <w10:wrap anchorx="page"/>
              </v:shape>
            </w:pict>
          </mc:Fallback>
        </mc:AlternateContent>
      </w:r>
      <w:r w:rsidR="002259E5" w:rsidRPr="002259E5">
        <w:rPr>
          <w:noProof/>
        </w:rPr>
        <w:drawing>
          <wp:inline distT="0" distB="0" distL="0" distR="0" wp14:anchorId="0E2AC937" wp14:editId="6844B45F">
            <wp:extent cx="4481830" cy="1657350"/>
            <wp:effectExtent l="0" t="0" r="0" b="0"/>
            <wp:docPr id="1334127585" name="Obráze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81830" cy="1657350"/>
                    </a:xfrm>
                    <a:prstGeom prst="rect">
                      <a:avLst/>
                    </a:prstGeom>
                    <a:noFill/>
                    <a:ln>
                      <a:noFill/>
                    </a:ln>
                  </pic:spPr>
                </pic:pic>
              </a:graphicData>
            </a:graphic>
          </wp:inline>
        </w:drawing>
      </w:r>
      <w:r w:rsidR="00321E93">
        <w:tab/>
      </w:r>
    </w:p>
    <w:p w14:paraId="3D16272B" w14:textId="6C92CA63" w:rsidR="00B70470" w:rsidRPr="00A408CA" w:rsidRDefault="002C36D0" w:rsidP="00B70470">
      <w:r w:rsidRPr="007D3888">
        <w:t xml:space="preserve">Druhý sloupec tabulky uvádí očekávanou skutečnost sdílených daní dle předpokládaného plnění státního rozpočtu na rok </w:t>
      </w:r>
      <w:r w:rsidR="00E77FC3">
        <w:t>2024</w:t>
      </w:r>
      <w:r w:rsidRPr="007D3888">
        <w:t>. Třetí sloupec zachycuje kon</w:t>
      </w:r>
      <w:r w:rsidR="00237796">
        <w:t xml:space="preserve">krétní predikci pro </w:t>
      </w:r>
      <w:r w:rsidR="00327FF1">
        <w:t xml:space="preserve">město </w:t>
      </w:r>
      <w:proofErr w:type="gramStart"/>
      <w:r w:rsidR="00E77FC3">
        <w:t>Chomutov</w:t>
      </w:r>
      <w:r w:rsidRPr="007D3888">
        <w:t xml:space="preserve"> - pravděpodobně</w:t>
      </w:r>
      <w:proofErr w:type="gramEnd"/>
      <w:r w:rsidRPr="007D3888">
        <w:t xml:space="preserve"> dosažitelný objem financí plynoucí ze sdílených daní roku </w:t>
      </w:r>
      <w:r w:rsidR="00E77FC3">
        <w:t>2024</w:t>
      </w:r>
      <w:r w:rsidRPr="007D3888">
        <w:t xml:space="preserve">. Čtvrtý sloupec obsahuje údaje sdílených daní dle upraveného rozpočtu města. </w:t>
      </w:r>
      <w:r w:rsidR="008F6FDF" w:rsidRPr="008F6FDF">
        <w:t>Poslední sloupec tabulky zobrazuje odchylku mezi maximální predikovanou hodnotou SD, vycházející z hodnot SR a hodnotou rozpočtovanou městem.</w:t>
      </w:r>
      <w:r w:rsidR="008F6FDF">
        <w:t xml:space="preserve"> </w:t>
      </w:r>
      <w:r w:rsidRPr="007D3888">
        <w:t xml:space="preserve">Ze srovnání třetího a čtvrtého sloupce vidíme, že rozpočet města má </w:t>
      </w:r>
      <w:r w:rsidR="00E77FC3">
        <w:t>vyšší</w:t>
      </w:r>
      <w:r w:rsidRPr="007D3888">
        <w:t xml:space="preserve"> hodnoty než tato výchozí predikce (o </w:t>
      </w:r>
      <w:r w:rsidR="00E77FC3">
        <w:t>4,7 %</w:t>
      </w:r>
      <w:r w:rsidRPr="007D3888">
        <w:t xml:space="preserve"> oproti predikci MF ČR). </w:t>
      </w:r>
      <w:r w:rsidR="00D331B9" w:rsidRPr="00D331B9">
        <w:t xml:space="preserve">Při optimálním výběru sdílených daní </w:t>
      </w:r>
      <w:r w:rsidR="00967EC9">
        <w:t>tedy</w:t>
      </w:r>
      <w:r w:rsidR="00D331B9" w:rsidRPr="00D331B9">
        <w:t xml:space="preserve"> do rozpočtu </w:t>
      </w:r>
      <w:r w:rsidR="00967EC9">
        <w:t xml:space="preserve">přiteče </w:t>
      </w:r>
      <w:r w:rsidR="00093A62">
        <w:t>dalších</w:t>
      </w:r>
      <w:r w:rsidR="00D331B9" w:rsidRPr="00D331B9">
        <w:t xml:space="preserve"> </w:t>
      </w:r>
      <w:r w:rsidR="00E77FC3">
        <w:t>44,8</w:t>
      </w:r>
      <w:r w:rsidR="000C5278">
        <w:t xml:space="preserve"> </w:t>
      </w:r>
      <w:r w:rsidR="00967EC9">
        <w:t xml:space="preserve">mil. Kč. </w:t>
      </w:r>
      <w:r w:rsidR="003A26A9">
        <w:t xml:space="preserve">Tyto hodnoty jsou však pouze orientační, a to vzhledem k </w:t>
      </w:r>
      <w:r w:rsidR="00062796" w:rsidRPr="00A57C5A">
        <w:t>neustále se měnící</w:t>
      </w:r>
      <w:r w:rsidR="003A26A9">
        <w:t>mu</w:t>
      </w:r>
      <w:r w:rsidR="00062796" w:rsidRPr="00A57C5A">
        <w:t xml:space="preserve"> </w:t>
      </w:r>
      <w:r w:rsidR="00062796" w:rsidRPr="00062796">
        <w:t>ekonomické</w:t>
      </w:r>
      <w:r w:rsidR="003A26A9">
        <w:t>mu</w:t>
      </w:r>
      <w:r w:rsidR="00062796" w:rsidRPr="00062796">
        <w:t xml:space="preserve"> vývoj</w:t>
      </w:r>
      <w:r w:rsidR="003A26A9">
        <w:t>i</w:t>
      </w:r>
      <w:r w:rsidR="00062796" w:rsidRPr="00062796">
        <w:t>, spojeného s</w:t>
      </w:r>
      <w:r w:rsidR="009A2D83">
        <w:t> vývojem</w:t>
      </w:r>
      <w:r w:rsidR="00062796" w:rsidRPr="00062796">
        <w:t xml:space="preserve"> inflac</w:t>
      </w:r>
      <w:r w:rsidR="009A2D83">
        <w:t>e</w:t>
      </w:r>
      <w:r w:rsidR="00062796" w:rsidRPr="00062796">
        <w:t xml:space="preserve">, změnami cen energií, vývojem na Ukrajině a v neposlední řadě také částečným zohledněním položek plánovaného konsolidačního balíčku státního rozpočtu. </w:t>
      </w:r>
      <w:r w:rsidR="00062796" w:rsidRPr="005F4657">
        <w:t>Je pravděpodobné, že vzhledem k velkému počtu plánovaných opatření bude v průběhu roku docházet ke změnám predikce daňových příjmů i nadále.</w:t>
      </w:r>
      <w:r w:rsidR="00062796" w:rsidRPr="003A26A9">
        <w:t xml:space="preserve"> </w:t>
      </w:r>
      <w:r w:rsidR="00B70470" w:rsidRPr="003A26A9">
        <w:t>Aktuální hodnoty sdílených daní dle predikce Výboru pro rozpočtové prognózy jsou součástí závěrečné kapitoly v tabulce „Predikce sdílených daní dle MF ČR“.</w:t>
      </w:r>
    </w:p>
    <w:p w14:paraId="648CE2FC" w14:textId="0F2D1A87" w:rsidR="00680285" w:rsidRPr="00B97929" w:rsidRDefault="00680285" w:rsidP="00680285">
      <w:r w:rsidRPr="00B97929">
        <w:t xml:space="preserve">Na rozpočet města a jeho střednědobý výhled má nezanedbatelný vliv vývoj ekonomiky. Ten je závislý na neovlivnitelných faktorech jako je válka na Ukrajině a z ní vyplývající energetická krize a částečně i </w:t>
      </w:r>
      <w:r w:rsidR="009A2D83">
        <w:t>vývoj</w:t>
      </w:r>
      <w:r w:rsidRPr="00B97929">
        <w:t xml:space="preserve"> inflace a dále je závislý na republikovém dění souvisejícím s chaotickým rozhodováním vládní pětikoalice, jejímž výsledkem je konsolidační balíček, který na příjmové straně ovlivní nejen hodnoty sdílených daní, ale i výši dalších daňových příjmů (daň z nemovitých věcí, příjmy z hazardu) a příjmy z dotací (investičních). Na výdajové straně bude vliv konsolidačního balíčku také tristní, počínaje vyššími cenami energií, přes vyšší ceny některých nakupovaných služeb až po nárůst cen materiálu, který prodraží opravy obecního majetku.</w:t>
      </w:r>
    </w:p>
    <w:p w14:paraId="0BECBA77" w14:textId="17DA42A1" w:rsidR="00680285" w:rsidRPr="00680285" w:rsidRDefault="00680285" w:rsidP="00680285">
      <w:pPr>
        <w:spacing w:after="240"/>
      </w:pPr>
      <w:r w:rsidRPr="00B97929">
        <w:t>Z výše popsaných důvodů je důležité pravidelně sledovat nejen vývoj sdílených daní ale i plnění celého rozpočtu a při jakékoliv odchylce od hodnot rozpočtu na tento vývoj adekvátně reagovat.</w:t>
      </w:r>
    </w:p>
    <w:p w14:paraId="1C5659B7" w14:textId="71CE8FE2" w:rsidR="002C36D0" w:rsidRPr="002D4487" w:rsidRDefault="00037ABA" w:rsidP="002C36D0">
      <w:r w:rsidRPr="008923AE">
        <w:rPr>
          <w:rFonts w:ascii="Verdana" w:hAnsi="Verdana"/>
          <w:b/>
          <w:noProof/>
          <w:sz w:val="19"/>
          <w:highlight w:val="cyan"/>
          <w:lang w:eastAsia="cs-CZ"/>
        </w:rPr>
        <mc:AlternateContent>
          <mc:Choice Requires="wps">
            <w:drawing>
              <wp:anchor distT="0" distB="0" distL="114300" distR="114300" simplePos="0" relativeHeight="251639296" behindDoc="0" locked="0" layoutInCell="1" allowOverlap="1" wp14:anchorId="4084E076" wp14:editId="1D50F269">
                <wp:simplePos x="0" y="0"/>
                <wp:positionH relativeFrom="page">
                  <wp:posOffset>540385</wp:posOffset>
                </wp:positionH>
                <wp:positionV relativeFrom="paragraph">
                  <wp:posOffset>0</wp:posOffset>
                </wp:positionV>
                <wp:extent cx="1404000" cy="1440000"/>
                <wp:effectExtent l="0" t="0" r="5715" b="8255"/>
                <wp:wrapNone/>
                <wp:docPr id="1891372222" name="MG P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144000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260690D2" w14:textId="43F3E776" w:rsidR="00037ABA" w:rsidRPr="00193D74" w:rsidRDefault="002259E5" w:rsidP="00037ABA">
                            <w:pPr>
                              <w:jc w:val="center"/>
                              <w:rPr>
                                <w:rFonts w:cstheme="minorHAnsi"/>
                                <w:sz w:val="20"/>
                                <w:szCs w:val="20"/>
                              </w:rPr>
                            </w:pPr>
                            <w:r w:rsidRPr="002259E5">
                              <w:rPr>
                                <w:rFonts w:cstheme="minorHAnsi"/>
                                <w:noProof/>
                                <w:sz w:val="20"/>
                                <w:szCs w:val="20"/>
                              </w:rPr>
                              <w:drawing>
                                <wp:inline distT="0" distB="0" distL="0" distR="0" wp14:anchorId="4288A087" wp14:editId="40742D1F">
                                  <wp:extent cx="1339215" cy="1180465"/>
                                  <wp:effectExtent l="0" t="0" r="0" b="635"/>
                                  <wp:docPr id="389752944" name="Obráze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39215" cy="118046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4084E076" id="MG P1" o:spid="_x0000_s1032" type="#_x0000_t202" style="position:absolute;left:0;text-align:left;margin-left:42.55pt;margin-top:0;width:110.55pt;height:113.4pt;z-index:251639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" fillcolor="white [3201]" stroked="f" strokeweight=".5pt">
                <v:path arrowok="t"/>
                <v:textbox inset="0,0,0,0">
                  <w:txbxContent>
                    <w:p w14:paraId="260690D2" w14:textId="43F3E776" w:rsidR="00037ABA" w:rsidRPr="00193D74" w:rsidRDefault="002259E5" w:rsidP="00037ABA">
                      <w:pPr>
                        <w:jc w:val="center"/>
                        <w:rPr>
                          <w:rFonts w:cstheme="minorHAnsi"/>
                          <w:sz w:val="20"/>
                          <w:szCs w:val="20"/>
                        </w:rPr>
                      </w:pPr>
                      <w:r w:rsidRPr="002259E5">
                        <w:rPr>
                          <w:rFonts w:cstheme="minorHAnsi"/>
                          <w:noProof/>
                          <w:sz w:val="20"/>
                          <w:szCs w:val="20"/>
                        </w:rPr>
                        <w:drawing>
                          <wp:inline distT="0" distB="0" distL="0" distR="0" wp14:anchorId="4288A087" wp14:editId="40742D1F">
                            <wp:extent cx="1339215" cy="1180465"/>
                            <wp:effectExtent l="0" t="0" r="0" b="635"/>
                            <wp:docPr id="389752944" name="Obráze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39215" cy="1180465"/>
                                    </a:xfrm>
                                    <a:prstGeom prst="rect">
                                      <a:avLst/>
                                    </a:prstGeom>
                                    <a:noFill/>
                                    <a:ln>
                                      <a:noFill/>
                                    </a:ln>
                                  </pic:spPr>
                                </pic:pic>
                              </a:graphicData>
                            </a:graphic>
                          </wp:inline>
                        </w:drawing>
                      </w:r>
                    </w:p>
                  </w:txbxContent>
                </v:textbox>
                <w10:wrap anchorx="page"/>
              </v:shape>
            </w:pict>
          </mc:Fallback>
        </mc:AlternateContent>
      </w:r>
      <w:r w:rsidR="002C36D0" w:rsidRPr="002A3769">
        <w:rPr>
          <w:b/>
        </w:rPr>
        <w:t xml:space="preserve">Ostatní daňové </w:t>
      </w:r>
      <w:proofErr w:type="gramStart"/>
      <w:r w:rsidR="002C36D0" w:rsidRPr="002A3769">
        <w:rPr>
          <w:b/>
        </w:rPr>
        <w:t>příjmy</w:t>
      </w:r>
      <w:r w:rsidR="002C36D0" w:rsidRPr="002A3769">
        <w:t xml:space="preserve"> - Kromě</w:t>
      </w:r>
      <w:proofErr w:type="gramEnd"/>
      <w:r w:rsidR="002C36D0" w:rsidRPr="002A3769">
        <w:t xml:space="preserve"> sdílených daní dalšími významnými daňovými příjmy</w:t>
      </w:r>
      <w:r w:rsidR="005F4657">
        <w:t xml:space="preserve"> </w:t>
      </w:r>
      <w:r w:rsidR="005F4657" w:rsidRPr="002A3769">
        <w:t>jsou</w:t>
      </w:r>
      <w:r w:rsidR="002C36D0" w:rsidRPr="002A3769">
        <w:t xml:space="preserve"> </w:t>
      </w:r>
      <w:r w:rsidR="005F4657">
        <w:t>P</w:t>
      </w:r>
      <w:r w:rsidR="00E77FC3">
        <w:t>říj</w:t>
      </w:r>
      <w:r w:rsidR="005F4657">
        <w:t xml:space="preserve">my </w:t>
      </w:r>
      <w:r w:rsidR="00E77FC3">
        <w:t>z daně z nemovitých věcí</w:t>
      </w:r>
      <w:r w:rsidR="0019734F" w:rsidRPr="00AA44BA">
        <w:t xml:space="preserve"> </w:t>
      </w:r>
      <w:r w:rsidR="002C36D0" w:rsidRPr="00AA44BA">
        <w:t>(</w:t>
      </w:r>
      <w:r w:rsidR="00D331B9" w:rsidRPr="00AA44BA">
        <w:t xml:space="preserve">položka </w:t>
      </w:r>
      <w:r w:rsidR="00E77FC3">
        <w:t>1511</w:t>
      </w:r>
      <w:r w:rsidR="00D331B9" w:rsidRPr="00AA44BA">
        <w:t xml:space="preserve"> - </w:t>
      </w:r>
      <w:r w:rsidR="002C36D0" w:rsidRPr="00AA44BA">
        <w:t xml:space="preserve">v průměru je příjem do rozpočtu </w:t>
      </w:r>
      <w:r w:rsidR="00E77FC3">
        <w:t>63,5</w:t>
      </w:r>
      <w:r w:rsidR="002C36D0" w:rsidRPr="00AA44BA">
        <w:t xml:space="preserve"> mil. Kč), </w:t>
      </w:r>
      <w:r w:rsidR="00E77FC3">
        <w:t>Poplatek za komunální odpad</w:t>
      </w:r>
      <w:r w:rsidR="002C36D0" w:rsidRPr="0019734F">
        <w:t xml:space="preserve"> (</w:t>
      </w:r>
      <w:r w:rsidR="00D331B9">
        <w:t xml:space="preserve">položka </w:t>
      </w:r>
      <w:r w:rsidR="00E77FC3">
        <w:t>1345</w:t>
      </w:r>
      <w:r w:rsidR="00D331B9">
        <w:t xml:space="preserve"> - </w:t>
      </w:r>
      <w:r w:rsidR="002C36D0" w:rsidRPr="0019734F">
        <w:t xml:space="preserve">v průměru </w:t>
      </w:r>
      <w:r w:rsidR="00E77FC3">
        <w:t>22,9</w:t>
      </w:r>
      <w:r w:rsidR="002C36D0" w:rsidRPr="0019734F">
        <w:t xml:space="preserve"> mil. Kč), </w:t>
      </w:r>
      <w:r w:rsidR="005F4657">
        <w:t>P</w:t>
      </w:r>
      <w:r w:rsidR="00E77FC3">
        <w:t>říj</w:t>
      </w:r>
      <w:r w:rsidR="005F4657">
        <w:t xml:space="preserve">my </w:t>
      </w:r>
      <w:r w:rsidR="00E77FC3">
        <w:t>ze správních poplatků</w:t>
      </w:r>
      <w:r w:rsidR="002C36D0" w:rsidRPr="008D0541">
        <w:t xml:space="preserve"> (</w:t>
      </w:r>
      <w:r w:rsidR="00D331B9">
        <w:t xml:space="preserve">položka </w:t>
      </w:r>
      <w:r w:rsidR="00E77FC3">
        <w:t>1361</w:t>
      </w:r>
      <w:r w:rsidR="00D331B9">
        <w:t xml:space="preserve"> - </w:t>
      </w:r>
      <w:r w:rsidR="002C36D0" w:rsidRPr="008D0541">
        <w:t xml:space="preserve">v průměru </w:t>
      </w:r>
      <w:r w:rsidR="00E77FC3">
        <w:t>15,0</w:t>
      </w:r>
      <w:r w:rsidR="002C36D0" w:rsidRPr="008D0541">
        <w:t xml:space="preserve"> </w:t>
      </w:r>
      <w:r w:rsidR="002C36D0" w:rsidRPr="00D331B9">
        <w:t>mil. Kč)</w:t>
      </w:r>
      <w:r w:rsidR="008D0541" w:rsidRPr="00D331B9">
        <w:t xml:space="preserve"> a </w:t>
      </w:r>
      <w:r w:rsidR="00E77FC3">
        <w:t>Příj</w:t>
      </w:r>
      <w:r w:rsidR="007C1FC1">
        <w:t xml:space="preserve">my </w:t>
      </w:r>
      <w:r w:rsidR="00E77FC3">
        <w:t>z poplatku ze psů</w:t>
      </w:r>
      <w:r w:rsidR="008D0541" w:rsidRPr="00D331B9">
        <w:t xml:space="preserve"> (</w:t>
      </w:r>
      <w:r w:rsidR="00D331B9" w:rsidRPr="00D331B9">
        <w:t>položka</w:t>
      </w:r>
      <w:r w:rsidR="00D331B9">
        <w:t xml:space="preserve"> </w:t>
      </w:r>
      <w:r w:rsidR="00E77FC3">
        <w:t>1341</w:t>
      </w:r>
      <w:r w:rsidR="00D331B9">
        <w:t xml:space="preserve"> - </w:t>
      </w:r>
      <w:r w:rsidR="008D0541" w:rsidRPr="008D0541">
        <w:t xml:space="preserve">v průměru </w:t>
      </w:r>
      <w:r w:rsidR="00E77FC3">
        <w:t>1,8</w:t>
      </w:r>
      <w:r w:rsidR="008D0541" w:rsidRPr="008D0541">
        <w:t xml:space="preserve"> mil. Kč)</w:t>
      </w:r>
      <w:r w:rsidR="002C36D0" w:rsidRPr="008D0541">
        <w:t xml:space="preserve">. </w:t>
      </w:r>
      <w:r w:rsidR="00B71BA2" w:rsidRPr="00B71BA2">
        <w:t xml:space="preserve">Ještě v roce 2023 měly významný přínos do rozpočtu města také finanční prostředky plynoucí z hazardu vybírané státem </w:t>
      </w:r>
      <w:r w:rsidR="00B71BA2" w:rsidRPr="00B71BA2">
        <w:lastRenderedPageBreak/>
        <w:t xml:space="preserve">na základě Loterijního zákona a následně přerozdělované jednotlivým obcím (položka 1381 a </w:t>
      </w:r>
      <w:proofErr w:type="gramStart"/>
      <w:r w:rsidR="00B71BA2" w:rsidRPr="00B71BA2">
        <w:t>1385 – v</w:t>
      </w:r>
      <w:proofErr w:type="gramEnd"/>
      <w:r w:rsidR="00B71BA2" w:rsidRPr="00B71BA2">
        <w:t xml:space="preserve"> průměru </w:t>
      </w:r>
      <w:r w:rsidR="00E77FC3">
        <w:t>7,6</w:t>
      </w:r>
      <w:r w:rsidR="00B71BA2" w:rsidRPr="00B71BA2">
        <w:t xml:space="preserve"> mil. Kč). V roce 2024 díky konsolidačnímu balíčku dojde odhadem ke snížení na 1/3 současné hodnoty.</w:t>
      </w:r>
    </w:p>
    <w:p w14:paraId="37BC91CE" w14:textId="77777777" w:rsidR="002C36D0" w:rsidRPr="004D0FAA" w:rsidRDefault="002C36D0" w:rsidP="004D0FAA">
      <w:pPr>
        <w:pStyle w:val="Nadpis3"/>
      </w:pPr>
      <w:r w:rsidRPr="004D0FAA">
        <w:t>Nedaňové příjmy</w:t>
      </w:r>
    </w:p>
    <w:p w14:paraId="58325AE2" w14:textId="1C72CFE3" w:rsidR="002C36D0" w:rsidRPr="00D01576" w:rsidRDefault="00F24979" w:rsidP="002C36D0">
      <w:r w:rsidRPr="008923AE">
        <w:rPr>
          <w:rFonts w:ascii="Verdana" w:hAnsi="Verdana"/>
          <w:b/>
          <w:noProof/>
          <w:sz w:val="19"/>
          <w:highlight w:val="cyan"/>
          <w:lang w:eastAsia="cs-CZ"/>
        </w:rPr>
        <mc:AlternateContent>
          <mc:Choice Requires="wps">
            <w:drawing>
              <wp:anchor distT="0" distB="0" distL="114300" distR="114300" simplePos="0" relativeHeight="251672064" behindDoc="0" locked="0" layoutInCell="1" allowOverlap="1" wp14:anchorId="3796FB49" wp14:editId="303ED0B8">
                <wp:simplePos x="0" y="0"/>
                <wp:positionH relativeFrom="page">
                  <wp:posOffset>540385</wp:posOffset>
                </wp:positionH>
                <wp:positionV relativeFrom="paragraph">
                  <wp:posOffset>0</wp:posOffset>
                </wp:positionV>
                <wp:extent cx="1404000" cy="1440000"/>
                <wp:effectExtent l="0" t="0" r="5715" b="8255"/>
                <wp:wrapNone/>
                <wp:docPr id="695" name="MG P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144000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07B32E57" w14:textId="6A084128" w:rsidR="0031735E" w:rsidRPr="00193D74" w:rsidRDefault="002259E5" w:rsidP="00193D74">
                            <w:pPr>
                              <w:jc w:val="center"/>
                              <w:rPr>
                                <w:rFonts w:cstheme="minorHAnsi"/>
                                <w:sz w:val="20"/>
                                <w:szCs w:val="20"/>
                              </w:rPr>
                            </w:pPr>
                            <w:r w:rsidRPr="002259E5">
                              <w:rPr>
                                <w:rFonts w:cstheme="minorHAnsi"/>
                                <w:noProof/>
                                <w:sz w:val="20"/>
                                <w:szCs w:val="20"/>
                              </w:rPr>
                              <w:drawing>
                                <wp:inline distT="0" distB="0" distL="0" distR="0" wp14:anchorId="5DAC2DD2" wp14:editId="0B1970C7">
                                  <wp:extent cx="1335405" cy="1184910"/>
                                  <wp:effectExtent l="0" t="0" r="0" b="0"/>
                                  <wp:docPr id="362450143" name="Obráze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35405" cy="118491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3796FB49" id="MG P2" o:spid="_x0000_s1033" type="#_x0000_t202" style="position:absolute;left:0;text-align:left;margin-left:42.55pt;margin-top:0;width:110.55pt;height:113.4pt;z-index:2516720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" fillcolor="white [3201]" stroked="f" strokeweight=".5pt">
                <v:path arrowok="t"/>
                <v:textbox inset="0,0,0,0">
                  <w:txbxContent>
                    <w:p w14:paraId="07B32E57" w14:textId="6A084128" w:rsidR="0031735E" w:rsidRPr="00193D74" w:rsidRDefault="002259E5" w:rsidP="00193D74">
                      <w:pPr>
                        <w:jc w:val="center"/>
                        <w:rPr>
                          <w:rFonts w:cstheme="minorHAnsi"/>
                          <w:sz w:val="20"/>
                          <w:szCs w:val="20"/>
                        </w:rPr>
                      </w:pPr>
                      <w:r w:rsidRPr="002259E5">
                        <w:rPr>
                          <w:rFonts w:cstheme="minorHAnsi"/>
                          <w:noProof/>
                          <w:sz w:val="20"/>
                          <w:szCs w:val="20"/>
                        </w:rPr>
                        <w:drawing>
                          <wp:inline distT="0" distB="0" distL="0" distR="0" wp14:anchorId="5DAC2DD2" wp14:editId="0B1970C7">
                            <wp:extent cx="1335405" cy="1184910"/>
                            <wp:effectExtent l="0" t="0" r="0" b="0"/>
                            <wp:docPr id="362450143" name="Obráze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35405" cy="1184910"/>
                                    </a:xfrm>
                                    <a:prstGeom prst="rect">
                                      <a:avLst/>
                                    </a:prstGeom>
                                    <a:noFill/>
                                    <a:ln>
                                      <a:noFill/>
                                    </a:ln>
                                  </pic:spPr>
                                </pic:pic>
                              </a:graphicData>
                            </a:graphic>
                          </wp:inline>
                        </w:drawing>
                      </w:r>
                    </w:p>
                  </w:txbxContent>
                </v:textbox>
                <w10:wrap anchorx="page"/>
              </v:shape>
            </w:pict>
          </mc:Fallback>
        </mc:AlternateContent>
      </w:r>
      <w:r w:rsidR="002C36D0" w:rsidRPr="00D01576">
        <w:t>Relativně méně vý</w:t>
      </w:r>
      <w:r w:rsidR="009A2D83">
        <w:t>znamný</w:t>
      </w:r>
      <w:r w:rsidR="002C36D0" w:rsidRPr="00D01576">
        <w:t xml:space="preserve"> podíl na objemu běžných, resp. celkových příjmů, mají příjmy nedaňové. V průměru sledovaného období dosahují </w:t>
      </w:r>
      <w:r w:rsidR="00E77FC3">
        <w:t>11,3 %</w:t>
      </w:r>
      <w:r w:rsidR="002C36D0" w:rsidRPr="00D01576">
        <w:t xml:space="preserve"> příjmů běžných, resp. </w:t>
      </w:r>
      <w:r w:rsidR="00E77FC3">
        <w:t>10,8 %</w:t>
      </w:r>
      <w:r w:rsidR="002C36D0" w:rsidRPr="00D01576">
        <w:t xml:space="preserve"> příjmů celkových. Nejdůležitější položky v této kategorii příjmů jsou </w:t>
      </w:r>
      <w:r w:rsidR="00E77FC3">
        <w:t>Příjmy z poskytování služeb</w:t>
      </w:r>
      <w:r w:rsidR="002C36D0" w:rsidRPr="00D01576">
        <w:t xml:space="preserve"> (</w:t>
      </w:r>
      <w:r w:rsidR="00C2486C">
        <w:t xml:space="preserve">položka </w:t>
      </w:r>
      <w:proofErr w:type="gramStart"/>
      <w:r w:rsidR="00E77FC3">
        <w:t>2111</w:t>
      </w:r>
      <w:r w:rsidR="00C2486C">
        <w:t xml:space="preserve"> - </w:t>
      </w:r>
      <w:r w:rsidR="002C36D0" w:rsidRPr="00D01576">
        <w:t>v</w:t>
      </w:r>
      <w:proofErr w:type="gramEnd"/>
      <w:r w:rsidR="002C36D0" w:rsidRPr="00D01576">
        <w:t xml:space="preserve"> průměru </w:t>
      </w:r>
      <w:r w:rsidR="00E77FC3">
        <w:t>29,8</w:t>
      </w:r>
      <w:r w:rsidR="002C36D0" w:rsidRPr="00D01576">
        <w:t xml:space="preserve"> mil. Kč), </w:t>
      </w:r>
      <w:r w:rsidR="00E77FC3">
        <w:t>Úrokové příj</w:t>
      </w:r>
      <w:r w:rsidR="007C1FC1">
        <w:t xml:space="preserve">my </w:t>
      </w:r>
      <w:r w:rsidR="00E77FC3">
        <w:t>z</w:t>
      </w:r>
      <w:r w:rsidR="007C1FC1">
        <w:t> </w:t>
      </w:r>
      <w:r w:rsidR="00E77FC3">
        <w:t>fin</w:t>
      </w:r>
      <w:r w:rsidR="007C1FC1">
        <w:t xml:space="preserve">ančních </w:t>
      </w:r>
      <w:r w:rsidR="00E77FC3">
        <w:t>derivátů kromě příj</w:t>
      </w:r>
      <w:r w:rsidR="007C1FC1">
        <w:t xml:space="preserve">mů </w:t>
      </w:r>
      <w:r w:rsidR="00E77FC3">
        <w:t>z derivátů k</w:t>
      </w:r>
      <w:r w:rsidR="007C1FC1">
        <w:t> </w:t>
      </w:r>
      <w:r w:rsidR="00E77FC3">
        <w:t>vl</w:t>
      </w:r>
      <w:r w:rsidR="007C1FC1">
        <w:t xml:space="preserve">astním </w:t>
      </w:r>
      <w:r w:rsidR="00E77FC3">
        <w:t>dluhopisům</w:t>
      </w:r>
      <w:r w:rsidR="002C36D0" w:rsidRPr="00D01576">
        <w:t xml:space="preserve"> (</w:t>
      </w:r>
      <w:r w:rsidR="00C2486C">
        <w:t xml:space="preserve">položka </w:t>
      </w:r>
      <w:r w:rsidR="00E77FC3">
        <w:t>2148</w:t>
      </w:r>
      <w:r w:rsidR="00C2486C">
        <w:t xml:space="preserve"> - </w:t>
      </w:r>
      <w:r w:rsidR="002C36D0" w:rsidRPr="00D01576">
        <w:t xml:space="preserve">v průměru </w:t>
      </w:r>
      <w:r w:rsidR="00E77FC3">
        <w:t>20,1</w:t>
      </w:r>
      <w:r w:rsidR="000012A2">
        <w:t xml:space="preserve"> </w:t>
      </w:r>
      <w:r w:rsidR="002C36D0" w:rsidRPr="00D01576">
        <w:t>mil. Kč),</w:t>
      </w:r>
      <w:r w:rsidR="00CA3C90" w:rsidRPr="00D01576">
        <w:t xml:space="preserve"> </w:t>
      </w:r>
      <w:r w:rsidR="00E77FC3">
        <w:t>Ostatní přijaté vratky transferů</w:t>
      </w:r>
      <w:r w:rsidR="002C36D0" w:rsidRPr="00D01576">
        <w:t xml:space="preserve"> (</w:t>
      </w:r>
      <w:r w:rsidR="00684DBB">
        <w:t xml:space="preserve">položka </w:t>
      </w:r>
      <w:r w:rsidR="00E77FC3">
        <w:t>2229</w:t>
      </w:r>
      <w:r w:rsidR="00684DBB">
        <w:t xml:space="preserve"> - </w:t>
      </w:r>
      <w:r w:rsidR="002C36D0" w:rsidRPr="00D01576">
        <w:t xml:space="preserve">v průměru </w:t>
      </w:r>
      <w:r w:rsidR="00E77FC3">
        <w:t>19,0</w:t>
      </w:r>
      <w:r w:rsidR="002C36D0" w:rsidRPr="00D01576">
        <w:t xml:space="preserve"> mil. Kč), </w:t>
      </w:r>
      <w:r w:rsidR="00E77FC3">
        <w:t>Příjem sankčních plateb</w:t>
      </w:r>
      <w:r w:rsidR="002C36D0" w:rsidRPr="00D01576">
        <w:t xml:space="preserve"> (</w:t>
      </w:r>
      <w:r w:rsidR="00684DBB">
        <w:t xml:space="preserve">položka </w:t>
      </w:r>
      <w:r w:rsidR="00E77FC3">
        <w:t>2212</w:t>
      </w:r>
      <w:r w:rsidR="00684DBB">
        <w:t xml:space="preserve"> - </w:t>
      </w:r>
      <w:r w:rsidR="002C36D0" w:rsidRPr="00D01576">
        <w:t xml:space="preserve">v průměru </w:t>
      </w:r>
      <w:r w:rsidR="00E77FC3">
        <w:t>17,7</w:t>
      </w:r>
      <w:r w:rsidR="00D01576" w:rsidRPr="00D01576">
        <w:t xml:space="preserve"> </w:t>
      </w:r>
      <w:r w:rsidR="002C36D0" w:rsidRPr="00D01576">
        <w:t>mil. Kč</w:t>
      </w:r>
      <w:r w:rsidR="00CA3C90" w:rsidRPr="00D01576">
        <w:t>)</w:t>
      </w:r>
      <w:r w:rsidR="008D4254" w:rsidRPr="00D01576">
        <w:t xml:space="preserve"> a </w:t>
      </w:r>
      <w:r w:rsidR="00E77FC3">
        <w:t>Ostatní příjmy z výnosů finančního majetku</w:t>
      </w:r>
      <w:r w:rsidR="002C36D0" w:rsidRPr="00D01576">
        <w:t xml:space="preserve"> (</w:t>
      </w:r>
      <w:r w:rsidR="00684DBB">
        <w:t xml:space="preserve">položka </w:t>
      </w:r>
      <w:r w:rsidR="00E77FC3">
        <w:t>2149</w:t>
      </w:r>
      <w:r w:rsidR="00684DBB">
        <w:t xml:space="preserve"> - </w:t>
      </w:r>
      <w:r w:rsidR="002C36D0" w:rsidRPr="00D01576">
        <w:t xml:space="preserve">v průměru </w:t>
      </w:r>
      <w:r w:rsidR="00E77FC3">
        <w:t>12,7</w:t>
      </w:r>
      <w:r w:rsidR="00D01576" w:rsidRPr="00D01576">
        <w:t xml:space="preserve"> </w:t>
      </w:r>
      <w:r w:rsidR="002C36D0" w:rsidRPr="00D01576">
        <w:t>mil. Kč).</w:t>
      </w:r>
    </w:p>
    <w:p w14:paraId="1ED58225" w14:textId="77777777" w:rsidR="002C36D0" w:rsidRPr="007F7EE4" w:rsidRDefault="00104086" w:rsidP="007F7EE4">
      <w:pPr>
        <w:pStyle w:val="Graf0"/>
      </w:pPr>
      <w:bookmarkStart w:id="22" w:name="_Toc180650281"/>
      <w:r w:rsidRPr="00104086">
        <w:rPr>
          <w:noProof/>
          <w:lang w:eastAsia="cs-CZ"/>
        </w:rPr>
        <w:t xml:space="preserve">Meziroční podíl a </w:t>
      </w:r>
      <w:r>
        <w:rPr>
          <w:noProof/>
          <w:lang w:eastAsia="cs-CZ"/>
        </w:rPr>
        <w:t>pěti</w:t>
      </w:r>
      <w:r w:rsidRPr="00104086">
        <w:rPr>
          <w:noProof/>
          <w:lang w:eastAsia="cs-CZ"/>
        </w:rPr>
        <w:t xml:space="preserve">letý průměr </w:t>
      </w:r>
      <w:r w:rsidR="002C36D0" w:rsidRPr="007F7EE4">
        <w:t>nedaňových příjmů</w:t>
      </w:r>
      <w:bookmarkEnd w:id="22"/>
    </w:p>
    <w:p w14:paraId="7FEE8A72" w14:textId="3B674666" w:rsidR="002C36D0" w:rsidRPr="007F609C" w:rsidRDefault="002259E5" w:rsidP="002C36D0">
      <w:pPr>
        <w:pStyle w:val="Objekt"/>
      </w:pPr>
      <w:r w:rsidRPr="002259E5">
        <w:rPr>
          <w:noProof/>
        </w:rPr>
        <w:drawing>
          <wp:inline distT="0" distB="0" distL="0" distR="0" wp14:anchorId="4F55F9D9" wp14:editId="7609953B">
            <wp:extent cx="4860925" cy="1602105"/>
            <wp:effectExtent l="0" t="0" r="0" b="0"/>
            <wp:docPr id="1796207493" name="Obráze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860925" cy="1602105"/>
                    </a:xfrm>
                    <a:prstGeom prst="rect">
                      <a:avLst/>
                    </a:prstGeom>
                    <a:noFill/>
                    <a:ln>
                      <a:noFill/>
                    </a:ln>
                  </pic:spPr>
                </pic:pic>
              </a:graphicData>
            </a:graphic>
          </wp:inline>
        </w:drawing>
      </w:r>
    </w:p>
    <w:p w14:paraId="7D4242C7" w14:textId="77777777" w:rsidR="002C36D0" w:rsidRPr="004D0FAA" w:rsidRDefault="002C36D0" w:rsidP="004D0FAA">
      <w:pPr>
        <w:pStyle w:val="Nadpis3"/>
      </w:pPr>
      <w:r w:rsidRPr="004D0FAA">
        <w:t>Kapitálové příjmy</w:t>
      </w:r>
    </w:p>
    <w:p w14:paraId="7208C6CC" w14:textId="390DCE5E" w:rsidR="002C36D0" w:rsidRPr="004F4117" w:rsidRDefault="00CB38A5" w:rsidP="002C36D0">
      <w:pPr>
        <w:rPr>
          <w:highlight w:val="yellow"/>
        </w:rPr>
      </w:pPr>
      <w:r w:rsidRPr="00CB38A5">
        <w:rPr>
          <w:rFonts w:ascii="Verdana" w:hAnsi="Verdana"/>
          <w:noProof/>
          <w:sz w:val="19"/>
          <w:highlight w:val="cyan"/>
          <w:lang w:eastAsia="cs-CZ"/>
        </w:rPr>
        <mc:AlternateContent>
          <mc:Choice Requires="wps">
            <w:drawing>
              <wp:anchor distT="0" distB="0" distL="114300" distR="114300" simplePos="0" relativeHeight="251646464" behindDoc="0" locked="0" layoutInCell="1" allowOverlap="1" wp14:anchorId="023EF17F" wp14:editId="06DB78E0">
                <wp:simplePos x="0" y="0"/>
                <wp:positionH relativeFrom="page">
                  <wp:posOffset>539126</wp:posOffset>
                </wp:positionH>
                <wp:positionV relativeFrom="paragraph">
                  <wp:posOffset>-1167</wp:posOffset>
                </wp:positionV>
                <wp:extent cx="1404000" cy="591981"/>
                <wp:effectExtent l="0" t="0" r="5715" b="0"/>
                <wp:wrapNone/>
                <wp:docPr id="696"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591981"/>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121CEF32" w14:textId="0E40AE71" w:rsidR="0031735E" w:rsidRPr="004F15E3" w:rsidRDefault="0031735E" w:rsidP="00530871">
                            <w:pPr>
                              <w:spacing w:before="0" w:after="0"/>
                              <w:jc w:val="left"/>
                              <w:rPr>
                                <w:rFonts w:cstheme="minorHAnsi"/>
                                <w:b/>
                                <w:i/>
                                <w:color w:val="548DD4" w:themeColor="text2" w:themeTint="99"/>
                                <w:sz w:val="28"/>
                                <w:szCs w:val="28"/>
                              </w:rPr>
                            </w:pPr>
                            <w:r w:rsidRPr="00BB5B52">
                              <w:rPr>
                                <w:rStyle w:val="Odkaznakoment"/>
                                <w:rFonts w:cstheme="minorHAnsi"/>
                                <w:i/>
                                <w:sz w:val="20"/>
                                <w:szCs w:val="20"/>
                              </w:rPr>
                              <w:t>Nejvyšší jsou kapitálové příjmy v</w:t>
                            </w:r>
                            <w:r w:rsidR="00530871">
                              <w:rPr>
                                <w:rStyle w:val="Odkaznakoment"/>
                                <w:rFonts w:cstheme="minorHAnsi"/>
                                <w:i/>
                                <w:sz w:val="20"/>
                                <w:szCs w:val="20"/>
                              </w:rPr>
                              <w:t> </w:t>
                            </w:r>
                            <w:r w:rsidRPr="00BB5B52">
                              <w:rPr>
                                <w:rStyle w:val="Odkaznakoment"/>
                                <w:rFonts w:cstheme="minorHAnsi"/>
                                <w:i/>
                                <w:sz w:val="20"/>
                                <w:szCs w:val="20"/>
                              </w:rPr>
                              <w:t>roce</w:t>
                            </w:r>
                            <w:r w:rsidR="00530871">
                              <w:rPr>
                                <w:rStyle w:val="Odkaznakoment"/>
                                <w:rFonts w:cstheme="minorHAnsi"/>
                                <w:i/>
                                <w:sz w:val="20"/>
                                <w:szCs w:val="20"/>
                              </w:rPr>
                              <w:t xml:space="preserve"> </w:t>
                            </w:r>
                            <w:r w:rsidR="00E77FC3" w:rsidRPr="00E77FC3">
                              <w:rPr>
                                <w:i/>
                                <w:sz w:val="20"/>
                                <w:szCs w:val="20"/>
                              </w:rPr>
                              <w:t>2023</w:t>
                            </w:r>
                            <w:r w:rsidR="00530871">
                              <w:rPr>
                                <w:rStyle w:val="Odkaznakoment"/>
                                <w:rFonts w:cstheme="minorHAnsi"/>
                                <w:i/>
                                <w:sz w:val="20"/>
                                <w:szCs w:val="20"/>
                              </w:rPr>
                              <w:t xml:space="preserve"> ve výši </w:t>
                            </w:r>
                            <w:r w:rsidR="00E77FC3" w:rsidRPr="00E77FC3">
                              <w:rPr>
                                <w:b/>
                                <w:i/>
                                <w:color w:val="548DD4" w:themeColor="text2" w:themeTint="99"/>
                                <w:sz w:val="28"/>
                                <w:szCs w:val="28"/>
                              </w:rPr>
                              <w:t>30,6</w:t>
                            </w:r>
                            <w:r w:rsidR="00530871">
                              <w:rPr>
                                <w:rStyle w:val="Odkaznakoment"/>
                                <w:rFonts w:cstheme="minorHAnsi"/>
                                <w:b/>
                                <w:i/>
                                <w:color w:val="548DD4" w:themeColor="text2" w:themeTint="99"/>
                                <w:sz w:val="28"/>
                                <w:szCs w:val="28"/>
                              </w:rPr>
                              <w:t xml:space="preserve"> m</w:t>
                            </w:r>
                            <w:r w:rsidRPr="00BB5B52">
                              <w:rPr>
                                <w:rStyle w:val="Odkaznakoment"/>
                                <w:rFonts w:cstheme="minorHAnsi"/>
                                <w:b/>
                                <w:i/>
                                <w:color w:val="548DD4" w:themeColor="text2" w:themeTint="99"/>
                                <w:sz w:val="28"/>
                                <w:szCs w:val="28"/>
                              </w:rPr>
                              <w:t>il. Kč</w:t>
                            </w:r>
                          </w:p>
                          <w:p w14:paraId="7B10F9D9" w14:textId="77777777" w:rsidR="0031735E" w:rsidRPr="001B58F3" w:rsidRDefault="0031735E" w:rsidP="00E03088">
                            <w:pPr>
                              <w:spacing w:after="0"/>
                              <w:jc w:val="left"/>
                              <w:rPr>
                                <w:rFonts w:cstheme="minorHAnsi"/>
                                <w:i/>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023EF17F" id="_x0000_s1034" type="#_x0000_t202" style="position:absolute;left:0;text-align:left;margin-left:42.45pt;margin-top:-.1pt;width:110.55pt;height:46.6pt;z-index:251646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" fillcolor="white [3201]" stroked="f" strokeweight=".5pt">
                <v:path arrowok="t"/>
                <v:textbox inset="0,0,0,0">
                  <w:txbxContent>
                    <w:p w14:paraId="121CEF32" w14:textId="0E40AE71" w:rsidR="0031735E" w:rsidRPr="004F15E3" w:rsidRDefault="0031735E" w:rsidP="00530871">
                      <w:pPr>
                        <w:spacing w:before="0" w:after="0"/>
                        <w:jc w:val="left"/>
                        <w:rPr>
                          <w:rFonts w:cstheme="minorHAnsi"/>
                          <w:b/>
                          <w:i/>
                          <w:color w:val="548DD4" w:themeColor="text2" w:themeTint="99"/>
                          <w:sz w:val="28"/>
                          <w:szCs w:val="28"/>
                        </w:rPr>
                      </w:pPr>
                      <w:r w:rsidRPr="00BB5B52">
                        <w:rPr>
                          <w:rStyle w:val="Odkaznakoment"/>
                          <w:rFonts w:cstheme="minorHAnsi"/>
                          <w:i/>
                          <w:sz w:val="20"/>
                          <w:szCs w:val="20"/>
                        </w:rPr>
                        <w:t>Nejvyšší jsou kapitálové příjmy v</w:t>
                      </w:r>
                      <w:r w:rsidR="00530871">
                        <w:rPr>
                          <w:rStyle w:val="Odkaznakoment"/>
                          <w:rFonts w:cstheme="minorHAnsi"/>
                          <w:i/>
                          <w:sz w:val="20"/>
                          <w:szCs w:val="20"/>
                        </w:rPr>
                        <w:t> </w:t>
                      </w:r>
                      <w:r w:rsidRPr="00BB5B52">
                        <w:rPr>
                          <w:rStyle w:val="Odkaznakoment"/>
                          <w:rFonts w:cstheme="minorHAnsi"/>
                          <w:i/>
                          <w:sz w:val="20"/>
                          <w:szCs w:val="20"/>
                        </w:rPr>
                        <w:t>roce</w:t>
                      </w:r>
                      <w:r w:rsidR="00530871">
                        <w:rPr>
                          <w:rStyle w:val="Odkaznakoment"/>
                          <w:rFonts w:cstheme="minorHAnsi"/>
                          <w:i/>
                          <w:sz w:val="20"/>
                          <w:szCs w:val="20"/>
                        </w:rPr>
                        <w:t xml:space="preserve"> </w:t>
                      </w:r>
                      <w:r w:rsidR="00E77FC3" w:rsidRPr="00E77FC3">
                        <w:rPr>
                          <w:i/>
                          <w:sz w:val="20"/>
                          <w:szCs w:val="20"/>
                        </w:rPr>
                        <w:t>2023</w:t>
                      </w:r>
                      <w:r w:rsidR="00530871">
                        <w:rPr>
                          <w:rStyle w:val="Odkaznakoment"/>
                          <w:rFonts w:cstheme="minorHAnsi"/>
                          <w:i/>
                          <w:sz w:val="20"/>
                          <w:szCs w:val="20"/>
                        </w:rPr>
                        <w:t xml:space="preserve"> ve výši </w:t>
                      </w:r>
                      <w:r w:rsidR="00E77FC3" w:rsidRPr="00E77FC3">
                        <w:rPr>
                          <w:b/>
                          <w:i/>
                          <w:color w:val="548DD4" w:themeColor="text2" w:themeTint="99"/>
                          <w:sz w:val="28"/>
                          <w:szCs w:val="28"/>
                        </w:rPr>
                        <w:t>30,6</w:t>
                      </w:r>
                      <w:r w:rsidR="00530871">
                        <w:rPr>
                          <w:rStyle w:val="Odkaznakoment"/>
                          <w:rFonts w:cstheme="minorHAnsi"/>
                          <w:b/>
                          <w:i/>
                          <w:color w:val="548DD4" w:themeColor="text2" w:themeTint="99"/>
                          <w:sz w:val="28"/>
                          <w:szCs w:val="28"/>
                        </w:rPr>
                        <w:t xml:space="preserve"> m</w:t>
                      </w:r>
                      <w:r w:rsidRPr="00BB5B52">
                        <w:rPr>
                          <w:rStyle w:val="Odkaznakoment"/>
                          <w:rFonts w:cstheme="minorHAnsi"/>
                          <w:b/>
                          <w:i/>
                          <w:color w:val="548DD4" w:themeColor="text2" w:themeTint="99"/>
                          <w:sz w:val="28"/>
                          <w:szCs w:val="28"/>
                        </w:rPr>
                        <w:t>il. Kč</w:t>
                      </w:r>
                    </w:p>
                    <w:p w14:paraId="7B10F9D9" w14:textId="77777777" w:rsidR="0031735E" w:rsidRPr="001B58F3" w:rsidRDefault="0031735E" w:rsidP="00E03088">
                      <w:pPr>
                        <w:spacing w:after="0"/>
                        <w:jc w:val="left"/>
                        <w:rPr>
                          <w:rFonts w:cstheme="minorHAnsi"/>
                          <w:i/>
                          <w:sz w:val="20"/>
                          <w:szCs w:val="20"/>
                        </w:rPr>
                      </w:pPr>
                    </w:p>
                  </w:txbxContent>
                </v:textbox>
                <w10:wrap anchorx="page"/>
              </v:shape>
            </w:pict>
          </mc:Fallback>
        </mc:AlternateContent>
      </w:r>
      <w:r w:rsidR="002C36D0" w:rsidRPr="00731F2B">
        <w:t xml:space="preserve">Kapitálové příjmy se na celkových příjmech </w:t>
      </w:r>
      <w:r w:rsidR="002C36D0" w:rsidRPr="007C1FC1">
        <w:t xml:space="preserve">podílejí nejnižší částkou (v průměru </w:t>
      </w:r>
      <w:r w:rsidR="00E77FC3" w:rsidRPr="007C1FC1">
        <w:t>24,1</w:t>
      </w:r>
      <w:r w:rsidR="002C36D0" w:rsidRPr="007C1FC1">
        <w:t xml:space="preserve"> mil. Kč) s vývojem, který je závislý na potřebách a mo</w:t>
      </w:r>
      <w:r w:rsidR="002C36D0" w:rsidRPr="00731F2B">
        <w:t xml:space="preserve">žnostech města. V průměru sledovaného období dosahují </w:t>
      </w:r>
      <w:r w:rsidR="00E77FC3">
        <w:t>1,8 %</w:t>
      </w:r>
      <w:r w:rsidR="002C36D0" w:rsidRPr="00731F2B">
        <w:t xml:space="preserve"> příjmů </w:t>
      </w:r>
      <w:r w:rsidR="002C36D0">
        <w:t>celkových</w:t>
      </w:r>
      <w:r w:rsidR="005E5C40">
        <w:t>.</w:t>
      </w:r>
    </w:p>
    <w:p w14:paraId="55BF7FB6" w14:textId="77777777" w:rsidR="002C36D0" w:rsidRPr="007F7EE4" w:rsidRDefault="00104086" w:rsidP="007F7EE4">
      <w:pPr>
        <w:pStyle w:val="Graf0"/>
      </w:pPr>
      <w:bookmarkStart w:id="23" w:name="_Toc180650282"/>
      <w:r w:rsidRPr="00104086">
        <w:rPr>
          <w:noProof/>
          <w:lang w:eastAsia="cs-CZ"/>
        </w:rPr>
        <w:t xml:space="preserve">Meziroční podíl a </w:t>
      </w:r>
      <w:r>
        <w:rPr>
          <w:noProof/>
          <w:lang w:eastAsia="cs-CZ"/>
        </w:rPr>
        <w:t>pěti</w:t>
      </w:r>
      <w:r w:rsidRPr="00104086">
        <w:rPr>
          <w:noProof/>
          <w:lang w:eastAsia="cs-CZ"/>
        </w:rPr>
        <w:t xml:space="preserve">letý průměr </w:t>
      </w:r>
      <w:r w:rsidR="002C36D0" w:rsidRPr="007F7EE4">
        <w:t>kapitálových příjmů</w:t>
      </w:r>
      <w:bookmarkEnd w:id="23"/>
    </w:p>
    <w:p w14:paraId="2E934FD8" w14:textId="3DA130E9" w:rsidR="002C36D0" w:rsidRPr="007F609C" w:rsidRDefault="002259E5" w:rsidP="002C36D0">
      <w:pPr>
        <w:pStyle w:val="Objekt"/>
      </w:pPr>
      <w:r w:rsidRPr="002259E5">
        <w:rPr>
          <w:noProof/>
        </w:rPr>
        <w:drawing>
          <wp:inline distT="0" distB="0" distL="0" distR="0" wp14:anchorId="17FFDB7B" wp14:editId="6D520F1B">
            <wp:extent cx="4860925" cy="1602105"/>
            <wp:effectExtent l="0" t="0" r="0" b="0"/>
            <wp:docPr id="341151135" name="Obráze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60925" cy="1602105"/>
                    </a:xfrm>
                    <a:prstGeom prst="rect">
                      <a:avLst/>
                    </a:prstGeom>
                    <a:noFill/>
                    <a:ln>
                      <a:noFill/>
                    </a:ln>
                  </pic:spPr>
                </pic:pic>
              </a:graphicData>
            </a:graphic>
          </wp:inline>
        </w:drawing>
      </w:r>
    </w:p>
    <w:p w14:paraId="646AEC6E" w14:textId="77777777" w:rsidR="002C36D0" w:rsidRPr="00322AF1" w:rsidRDefault="00607873" w:rsidP="004D0FAA">
      <w:pPr>
        <w:pStyle w:val="Nadpis3"/>
      </w:pPr>
      <w:r w:rsidRPr="00322AF1">
        <w:rPr>
          <w:rFonts w:ascii="Verdana" w:hAnsi="Verdana"/>
          <w:sz w:val="19"/>
        </w:rPr>
        <mc:AlternateContent>
          <mc:Choice Requires="wps">
            <w:drawing>
              <wp:anchor distT="0" distB="0" distL="114300" distR="114300" simplePos="0" relativeHeight="251647488" behindDoc="0" locked="0" layoutInCell="1" allowOverlap="1" wp14:anchorId="3AF572C3" wp14:editId="2CB8EB8A">
                <wp:simplePos x="0" y="0"/>
                <wp:positionH relativeFrom="page">
                  <wp:posOffset>541867</wp:posOffset>
                </wp:positionH>
                <wp:positionV relativeFrom="paragraph">
                  <wp:posOffset>275167</wp:posOffset>
                </wp:positionV>
                <wp:extent cx="1403985" cy="1316566"/>
                <wp:effectExtent l="0" t="0" r="5715" b="0"/>
                <wp:wrapNone/>
                <wp:docPr id="700"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3985" cy="1316566"/>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295EB589" w14:textId="77777777" w:rsidR="0031735E" w:rsidRPr="00A42FF2" w:rsidRDefault="0031735E" w:rsidP="007C1AF1">
                            <w:pPr>
                              <w:spacing w:after="0"/>
                              <w:jc w:val="left"/>
                              <w:rPr>
                                <w:rFonts w:cstheme="minorHAnsi"/>
                                <w:i/>
                                <w:sz w:val="20"/>
                                <w:szCs w:val="20"/>
                              </w:rPr>
                            </w:pPr>
                            <w:r>
                              <w:rPr>
                                <w:rFonts w:cstheme="minorHAnsi"/>
                                <w:i/>
                                <w:sz w:val="20"/>
                                <w:szCs w:val="20"/>
                              </w:rPr>
                              <w:t>Celkové příjmy jsou v průměru tvořeny podílem</w:t>
                            </w:r>
                          </w:p>
                          <w:p w14:paraId="31671559" w14:textId="36529394" w:rsidR="0031735E" w:rsidRDefault="00E77FC3" w:rsidP="00A1183E">
                            <w:pPr>
                              <w:spacing w:before="0" w:after="0" w:line="240" w:lineRule="auto"/>
                              <w:jc w:val="left"/>
                              <w:rPr>
                                <w:rFonts w:cstheme="minorHAnsi"/>
                                <w:b/>
                                <w:i/>
                                <w:color w:val="548DD4" w:themeColor="text2" w:themeTint="99"/>
                                <w:sz w:val="28"/>
                                <w:szCs w:val="28"/>
                              </w:rPr>
                            </w:pPr>
                            <w:r w:rsidRPr="00E77FC3">
                              <w:rPr>
                                <w:b/>
                                <w:i/>
                                <w:color w:val="548DD4" w:themeColor="text2" w:themeTint="99"/>
                                <w:sz w:val="28"/>
                                <w:szCs w:val="28"/>
                              </w:rPr>
                              <w:t>15,1 %</w:t>
                            </w:r>
                            <w:r w:rsidR="0031735E">
                              <w:rPr>
                                <w:rFonts w:cstheme="minorHAnsi"/>
                                <w:b/>
                                <w:i/>
                                <w:color w:val="548DD4" w:themeColor="text2" w:themeTint="99"/>
                                <w:sz w:val="28"/>
                                <w:szCs w:val="28"/>
                              </w:rPr>
                              <w:t xml:space="preserve"> </w:t>
                            </w:r>
                          </w:p>
                          <w:p w14:paraId="5AAAC33C" w14:textId="77777777" w:rsidR="0031735E" w:rsidRPr="00A42FF2" w:rsidRDefault="0031735E" w:rsidP="00A1183E">
                            <w:pPr>
                              <w:spacing w:before="0" w:after="0" w:line="240" w:lineRule="auto"/>
                              <w:jc w:val="left"/>
                              <w:rPr>
                                <w:rFonts w:cstheme="minorHAnsi"/>
                                <w:i/>
                                <w:sz w:val="20"/>
                                <w:szCs w:val="20"/>
                              </w:rPr>
                            </w:pPr>
                            <w:r>
                              <w:rPr>
                                <w:rFonts w:cstheme="minorHAnsi"/>
                                <w:i/>
                                <w:sz w:val="20"/>
                                <w:szCs w:val="20"/>
                              </w:rPr>
                              <w:t xml:space="preserve">neinvestičními transfery </w:t>
                            </w:r>
                          </w:p>
                          <w:p w14:paraId="6410AEB5" w14:textId="6A3FF277" w:rsidR="0031735E" w:rsidRDefault="00E77FC3" w:rsidP="00A1183E">
                            <w:pPr>
                              <w:spacing w:before="0" w:after="0" w:line="240" w:lineRule="auto"/>
                              <w:jc w:val="left"/>
                              <w:rPr>
                                <w:rFonts w:cstheme="minorHAnsi"/>
                                <w:b/>
                                <w:i/>
                                <w:color w:val="548DD4" w:themeColor="text2" w:themeTint="99"/>
                                <w:sz w:val="28"/>
                                <w:szCs w:val="28"/>
                              </w:rPr>
                            </w:pPr>
                            <w:r w:rsidRPr="00E77FC3">
                              <w:rPr>
                                <w:b/>
                                <w:i/>
                                <w:color w:val="548DD4" w:themeColor="text2" w:themeTint="99"/>
                                <w:sz w:val="28"/>
                                <w:szCs w:val="28"/>
                              </w:rPr>
                              <w:t>3,1 %</w:t>
                            </w:r>
                            <w:r w:rsidR="0031735E">
                              <w:rPr>
                                <w:rFonts w:cstheme="minorHAnsi"/>
                                <w:b/>
                                <w:i/>
                                <w:color w:val="548DD4" w:themeColor="text2" w:themeTint="99"/>
                                <w:sz w:val="28"/>
                                <w:szCs w:val="28"/>
                              </w:rPr>
                              <w:t xml:space="preserve"> </w:t>
                            </w:r>
                          </w:p>
                          <w:p w14:paraId="6F0B54C1" w14:textId="77777777" w:rsidR="0031735E" w:rsidRPr="00C642D3" w:rsidRDefault="0031735E" w:rsidP="00A1183E">
                            <w:pPr>
                              <w:spacing w:before="0" w:after="0" w:line="240" w:lineRule="auto"/>
                              <w:jc w:val="left"/>
                              <w:rPr>
                                <w:rFonts w:cstheme="minorHAnsi"/>
                                <w:i/>
                                <w:sz w:val="20"/>
                                <w:szCs w:val="20"/>
                              </w:rPr>
                            </w:pPr>
                            <w:r>
                              <w:rPr>
                                <w:rFonts w:cstheme="minorHAnsi"/>
                                <w:i/>
                                <w:sz w:val="20"/>
                                <w:szCs w:val="20"/>
                              </w:rPr>
                              <w:t>investičními transfery</w:t>
                            </w:r>
                          </w:p>
                          <w:p w14:paraId="20BF6BBF" w14:textId="77777777" w:rsidR="0031735E" w:rsidRPr="001B58F3" w:rsidRDefault="0031735E" w:rsidP="007C1AF1">
                            <w:pPr>
                              <w:spacing w:after="0"/>
                              <w:jc w:val="left"/>
                              <w:rPr>
                                <w:rFonts w:cstheme="minorHAnsi"/>
                                <w:i/>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3AF572C3" id="_x0000_s1035" type="#_x0000_t202" style="position:absolute;left:0;text-align:left;margin-left:42.65pt;margin-top:21.65pt;width:110.55pt;height:103.65pt;z-index:251647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" fillcolor="white [3201]" stroked="f" strokeweight=".5pt">
                <v:path arrowok="t"/>
                <v:textbox inset="0,0,0,0">
                  <w:txbxContent>
                    <w:p w14:paraId="295EB589" w14:textId="77777777" w:rsidR="0031735E" w:rsidRPr="00A42FF2" w:rsidRDefault="0031735E" w:rsidP="007C1AF1">
                      <w:pPr>
                        <w:spacing w:after="0"/>
                        <w:jc w:val="left"/>
                        <w:rPr>
                          <w:rFonts w:cstheme="minorHAnsi"/>
                          <w:i/>
                          <w:sz w:val="20"/>
                          <w:szCs w:val="20"/>
                        </w:rPr>
                      </w:pPr>
                      <w:r>
                        <w:rPr>
                          <w:rFonts w:cstheme="minorHAnsi"/>
                          <w:i/>
                          <w:sz w:val="20"/>
                          <w:szCs w:val="20"/>
                        </w:rPr>
                        <w:t>Celkové příjmy jsou v průměru tvořeny podílem</w:t>
                      </w:r>
                    </w:p>
                    <w:p w14:paraId="31671559" w14:textId="36529394" w:rsidR="0031735E" w:rsidRDefault="00E77FC3" w:rsidP="00A1183E">
                      <w:pPr>
                        <w:spacing w:before="0" w:after="0" w:line="240" w:lineRule="auto"/>
                        <w:jc w:val="left"/>
                        <w:rPr>
                          <w:rFonts w:cstheme="minorHAnsi"/>
                          <w:b/>
                          <w:i/>
                          <w:color w:val="548DD4" w:themeColor="text2" w:themeTint="99"/>
                          <w:sz w:val="28"/>
                          <w:szCs w:val="28"/>
                        </w:rPr>
                      </w:pPr>
                      <w:r w:rsidRPr="00E77FC3">
                        <w:rPr>
                          <w:b/>
                          <w:i/>
                          <w:color w:val="548DD4" w:themeColor="text2" w:themeTint="99"/>
                          <w:sz w:val="28"/>
                          <w:szCs w:val="28"/>
                        </w:rPr>
                        <w:t>15,1 %</w:t>
                      </w:r>
                      <w:r w:rsidR="0031735E">
                        <w:rPr>
                          <w:rFonts w:cstheme="minorHAnsi"/>
                          <w:b/>
                          <w:i/>
                          <w:color w:val="548DD4" w:themeColor="text2" w:themeTint="99"/>
                          <w:sz w:val="28"/>
                          <w:szCs w:val="28"/>
                        </w:rPr>
                        <w:t xml:space="preserve"> </w:t>
                      </w:r>
                    </w:p>
                    <w:p w14:paraId="5AAAC33C" w14:textId="77777777" w:rsidR="0031735E" w:rsidRPr="00A42FF2" w:rsidRDefault="0031735E" w:rsidP="00A1183E">
                      <w:pPr>
                        <w:spacing w:before="0" w:after="0" w:line="240" w:lineRule="auto"/>
                        <w:jc w:val="left"/>
                        <w:rPr>
                          <w:rFonts w:cstheme="minorHAnsi"/>
                          <w:i/>
                          <w:sz w:val="20"/>
                          <w:szCs w:val="20"/>
                        </w:rPr>
                      </w:pPr>
                      <w:r>
                        <w:rPr>
                          <w:rFonts w:cstheme="minorHAnsi"/>
                          <w:i/>
                          <w:sz w:val="20"/>
                          <w:szCs w:val="20"/>
                        </w:rPr>
                        <w:t xml:space="preserve">neinvestičními transfery </w:t>
                      </w:r>
                    </w:p>
                    <w:p w14:paraId="6410AEB5" w14:textId="6A3FF277" w:rsidR="0031735E" w:rsidRDefault="00E77FC3" w:rsidP="00A1183E">
                      <w:pPr>
                        <w:spacing w:before="0" w:after="0" w:line="240" w:lineRule="auto"/>
                        <w:jc w:val="left"/>
                        <w:rPr>
                          <w:rFonts w:cstheme="minorHAnsi"/>
                          <w:b/>
                          <w:i/>
                          <w:color w:val="548DD4" w:themeColor="text2" w:themeTint="99"/>
                          <w:sz w:val="28"/>
                          <w:szCs w:val="28"/>
                        </w:rPr>
                      </w:pPr>
                      <w:r w:rsidRPr="00E77FC3">
                        <w:rPr>
                          <w:b/>
                          <w:i/>
                          <w:color w:val="548DD4" w:themeColor="text2" w:themeTint="99"/>
                          <w:sz w:val="28"/>
                          <w:szCs w:val="28"/>
                        </w:rPr>
                        <w:t>3,1 %</w:t>
                      </w:r>
                      <w:r w:rsidR="0031735E">
                        <w:rPr>
                          <w:rFonts w:cstheme="minorHAnsi"/>
                          <w:b/>
                          <w:i/>
                          <w:color w:val="548DD4" w:themeColor="text2" w:themeTint="99"/>
                          <w:sz w:val="28"/>
                          <w:szCs w:val="28"/>
                        </w:rPr>
                        <w:t xml:space="preserve"> </w:t>
                      </w:r>
                    </w:p>
                    <w:p w14:paraId="6F0B54C1" w14:textId="77777777" w:rsidR="0031735E" w:rsidRPr="00C642D3" w:rsidRDefault="0031735E" w:rsidP="00A1183E">
                      <w:pPr>
                        <w:spacing w:before="0" w:after="0" w:line="240" w:lineRule="auto"/>
                        <w:jc w:val="left"/>
                        <w:rPr>
                          <w:rFonts w:cstheme="minorHAnsi"/>
                          <w:i/>
                          <w:sz w:val="20"/>
                          <w:szCs w:val="20"/>
                        </w:rPr>
                      </w:pPr>
                      <w:r>
                        <w:rPr>
                          <w:rFonts w:cstheme="minorHAnsi"/>
                          <w:i/>
                          <w:sz w:val="20"/>
                          <w:szCs w:val="20"/>
                        </w:rPr>
                        <w:t>investičními transfery</w:t>
                      </w:r>
                    </w:p>
                    <w:p w14:paraId="20BF6BBF" w14:textId="77777777" w:rsidR="0031735E" w:rsidRPr="001B58F3" w:rsidRDefault="0031735E" w:rsidP="007C1AF1">
                      <w:pPr>
                        <w:spacing w:after="0"/>
                        <w:jc w:val="left"/>
                        <w:rPr>
                          <w:rFonts w:cstheme="minorHAnsi"/>
                          <w:i/>
                          <w:sz w:val="20"/>
                          <w:szCs w:val="20"/>
                        </w:rPr>
                      </w:pPr>
                    </w:p>
                  </w:txbxContent>
                </v:textbox>
                <w10:wrap anchorx="page"/>
              </v:shape>
            </w:pict>
          </mc:Fallback>
        </mc:AlternateContent>
      </w:r>
      <w:r w:rsidR="002C36D0" w:rsidRPr="00322AF1">
        <w:t>Přijaté transfery</w:t>
      </w:r>
    </w:p>
    <w:p w14:paraId="74FD256E" w14:textId="37899D7A" w:rsidR="002C36D0" w:rsidRDefault="002C36D0" w:rsidP="002C36D0">
      <w:r w:rsidRPr="00C73801">
        <w:t xml:space="preserve">Důležitou složkou příjmů jsou také transfery (dotace). Na celkovém objemu příjmů </w:t>
      </w:r>
      <w:r w:rsidR="008F69AC">
        <w:t xml:space="preserve">dosahují </w:t>
      </w:r>
      <w:r w:rsidR="008F69AC" w:rsidRPr="008F69AC">
        <w:t xml:space="preserve">ve sledovaném období průměrně </w:t>
      </w:r>
      <w:r w:rsidR="00E77FC3">
        <w:t>15,9 %</w:t>
      </w:r>
      <w:r w:rsidRPr="00C73801">
        <w:t xml:space="preserve"> příjmů běžných, resp. </w:t>
      </w:r>
      <w:r w:rsidR="00E77FC3">
        <w:t>18,2 %</w:t>
      </w:r>
      <w:r w:rsidR="005F2805">
        <w:t xml:space="preserve"> </w:t>
      </w:r>
      <w:r w:rsidRPr="00C73801">
        <w:t>příjmů celkových.</w:t>
      </w:r>
    </w:p>
    <w:p w14:paraId="2E91D543" w14:textId="77777777" w:rsidR="002C36D0" w:rsidRPr="00C73801" w:rsidRDefault="002C36D0" w:rsidP="002C36D0">
      <w:r w:rsidRPr="00C73801">
        <w:t>Jejich nevýhodou, kromě položky „Neinvestiční přijaté transfery ze státního rozpočtu v rámci souhrnného dotačního vztahu“, je jejich nep</w:t>
      </w:r>
      <w:r w:rsidR="00104086">
        <w:t xml:space="preserve">ravidelnost a </w:t>
      </w:r>
      <w:proofErr w:type="spellStart"/>
      <w:r w:rsidR="00104086">
        <w:t>nenárokovatelnost</w:t>
      </w:r>
      <w:proofErr w:type="spellEnd"/>
      <w:r w:rsidRPr="008D4254">
        <w:t xml:space="preserve">. </w:t>
      </w:r>
      <w:r w:rsidRPr="00C73801">
        <w:t xml:space="preserve">Další jejich nevýhodou je jejich zúčtovatelnost – nespotřebované finanční prostředky </w:t>
      </w:r>
      <w:r w:rsidRPr="00C73801">
        <w:lastRenderedPageBreak/>
        <w:t>se zpravidla vracejí poskytovateli dotace. Pro další vyhodnocování hospodaření a pro snazší sestavování střednědobého výhledu rozdělujeme transfery na neinvestiční a investiční.</w:t>
      </w:r>
    </w:p>
    <w:p w14:paraId="2BAF3F30" w14:textId="224B775E" w:rsidR="002C36D0" w:rsidRPr="007F2E51" w:rsidRDefault="00193D74" w:rsidP="002C36D0">
      <w:r w:rsidRPr="008923AE">
        <w:rPr>
          <w:rFonts w:ascii="Verdana" w:hAnsi="Verdana"/>
          <w:b/>
          <w:noProof/>
          <w:sz w:val="19"/>
          <w:highlight w:val="cyan"/>
          <w:lang w:eastAsia="cs-CZ"/>
        </w:rPr>
        <mc:AlternateContent>
          <mc:Choice Requires="wps">
            <w:drawing>
              <wp:anchor distT="0" distB="0" distL="114300" distR="114300" simplePos="0" relativeHeight="251673088" behindDoc="0" locked="0" layoutInCell="1" allowOverlap="1" wp14:anchorId="44FC2AC7" wp14:editId="74D9EA8C">
                <wp:simplePos x="0" y="0"/>
                <wp:positionH relativeFrom="page">
                  <wp:posOffset>540385</wp:posOffset>
                </wp:positionH>
                <wp:positionV relativeFrom="paragraph">
                  <wp:posOffset>0</wp:posOffset>
                </wp:positionV>
                <wp:extent cx="1404000" cy="1440000"/>
                <wp:effectExtent l="0" t="0" r="5715" b="8255"/>
                <wp:wrapNone/>
                <wp:docPr id="22" name="MG P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144000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7CBD0DE1" w14:textId="67FF4916" w:rsidR="0031735E" w:rsidRPr="00193D74" w:rsidRDefault="002259E5" w:rsidP="00193D74">
                            <w:pPr>
                              <w:jc w:val="center"/>
                              <w:rPr>
                                <w:rFonts w:cstheme="minorHAnsi"/>
                                <w:sz w:val="20"/>
                                <w:szCs w:val="20"/>
                              </w:rPr>
                            </w:pPr>
                            <w:r w:rsidRPr="002259E5">
                              <w:rPr>
                                <w:rFonts w:cstheme="minorHAnsi"/>
                                <w:noProof/>
                                <w:sz w:val="20"/>
                                <w:szCs w:val="20"/>
                              </w:rPr>
                              <w:drawing>
                                <wp:inline distT="0" distB="0" distL="0" distR="0" wp14:anchorId="1909FD4B" wp14:editId="0E86E4AC">
                                  <wp:extent cx="1339215" cy="1189355"/>
                                  <wp:effectExtent l="0" t="0" r="0" b="0"/>
                                  <wp:docPr id="294010238"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339215" cy="118935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44FC2AC7" id="MG P4" o:spid="_x0000_s1036" type="#_x0000_t202" style="position:absolute;left:0;text-align:left;margin-left:42.55pt;margin-top:0;width:110.55pt;height:113.4pt;z-index:251673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" fillcolor="white [3201]" stroked="f" strokeweight=".5pt">
                <v:path arrowok="t"/>
                <v:textbox inset="0,0,0,0">
                  <w:txbxContent>
                    <w:p w14:paraId="7CBD0DE1" w14:textId="67FF4916" w:rsidR="0031735E" w:rsidRPr="00193D74" w:rsidRDefault="002259E5" w:rsidP="00193D74">
                      <w:pPr>
                        <w:jc w:val="center"/>
                        <w:rPr>
                          <w:rFonts w:cstheme="minorHAnsi"/>
                          <w:sz w:val="20"/>
                          <w:szCs w:val="20"/>
                        </w:rPr>
                      </w:pPr>
                      <w:r w:rsidRPr="002259E5">
                        <w:rPr>
                          <w:rFonts w:cstheme="minorHAnsi"/>
                          <w:noProof/>
                          <w:sz w:val="20"/>
                          <w:szCs w:val="20"/>
                        </w:rPr>
                        <w:drawing>
                          <wp:inline distT="0" distB="0" distL="0" distR="0" wp14:anchorId="1909FD4B" wp14:editId="0E86E4AC">
                            <wp:extent cx="1339215" cy="1189355"/>
                            <wp:effectExtent l="0" t="0" r="0" b="0"/>
                            <wp:docPr id="294010238"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339215" cy="1189355"/>
                                    </a:xfrm>
                                    <a:prstGeom prst="rect">
                                      <a:avLst/>
                                    </a:prstGeom>
                                    <a:noFill/>
                                    <a:ln>
                                      <a:noFill/>
                                    </a:ln>
                                  </pic:spPr>
                                </pic:pic>
                              </a:graphicData>
                            </a:graphic>
                          </wp:inline>
                        </w:drawing>
                      </w:r>
                    </w:p>
                  </w:txbxContent>
                </v:textbox>
                <w10:wrap anchorx="page"/>
              </v:shape>
            </w:pict>
          </mc:Fallback>
        </mc:AlternateContent>
      </w:r>
      <w:r w:rsidR="002C36D0" w:rsidRPr="007F2E51">
        <w:rPr>
          <w:b/>
        </w:rPr>
        <w:t xml:space="preserve">Přijaté neinvestiční </w:t>
      </w:r>
      <w:proofErr w:type="gramStart"/>
      <w:r w:rsidR="002C36D0" w:rsidRPr="007F2E51">
        <w:rPr>
          <w:b/>
        </w:rPr>
        <w:t>transfery</w:t>
      </w:r>
      <w:r w:rsidR="002C36D0" w:rsidRPr="007F2E51">
        <w:t xml:space="preserve"> - V</w:t>
      </w:r>
      <w:proofErr w:type="gramEnd"/>
      <w:r w:rsidR="002C36D0" w:rsidRPr="007F2E51">
        <w:t xml:space="preserve"> neinvestiční části se jedná zejména o </w:t>
      </w:r>
      <w:r w:rsidR="00E77FC3">
        <w:t>Ostatní neinvestiční transfery ze SR</w:t>
      </w:r>
      <w:r w:rsidR="002C36D0" w:rsidRPr="007F2E51">
        <w:t xml:space="preserve"> (</w:t>
      </w:r>
      <w:r w:rsidR="005E5C40">
        <w:t xml:space="preserve">položka </w:t>
      </w:r>
      <w:r w:rsidR="00E77FC3">
        <w:t>4116</w:t>
      </w:r>
      <w:r w:rsidR="005E5C40">
        <w:t xml:space="preserve"> - </w:t>
      </w:r>
      <w:r w:rsidR="002C36D0" w:rsidRPr="007F2E51">
        <w:t xml:space="preserve">v průměru </w:t>
      </w:r>
      <w:r w:rsidR="00E77FC3">
        <w:t>77,4</w:t>
      </w:r>
      <w:r w:rsidR="002C36D0" w:rsidRPr="008D4254">
        <w:t xml:space="preserve"> mil</w:t>
      </w:r>
      <w:r w:rsidR="002C36D0" w:rsidRPr="007F2E51">
        <w:t>. Kč ročně)</w:t>
      </w:r>
      <w:r w:rsidR="00EA547C">
        <w:t xml:space="preserve"> a </w:t>
      </w:r>
      <w:r w:rsidR="00E77FC3">
        <w:t>Neinvestiční transfery ze SR v rámci souhrnného dotačního vztahu</w:t>
      </w:r>
      <w:r w:rsidR="00EA547C">
        <w:t xml:space="preserve"> (</w:t>
      </w:r>
      <w:r w:rsidR="005E5C40">
        <w:t xml:space="preserve">položka </w:t>
      </w:r>
      <w:r w:rsidR="00E77FC3">
        <w:t>4112</w:t>
      </w:r>
      <w:r w:rsidR="005E5C40">
        <w:t xml:space="preserve"> - </w:t>
      </w:r>
      <w:r w:rsidR="00EA547C">
        <w:t xml:space="preserve">v průměru </w:t>
      </w:r>
      <w:r w:rsidR="00E77FC3">
        <w:t>56,7</w:t>
      </w:r>
      <w:r w:rsidR="00EA547C">
        <w:t xml:space="preserve"> mil. Kč)</w:t>
      </w:r>
      <w:r w:rsidR="002C36D0" w:rsidRPr="007F2E51">
        <w:t xml:space="preserve">. Nezanedbatelnými položkami jsou také </w:t>
      </w:r>
      <w:r w:rsidR="00E77FC3">
        <w:t>Neinvestiční přijaté transfery od krajů</w:t>
      </w:r>
      <w:r w:rsidR="002C36D0" w:rsidRPr="007F2E51">
        <w:t xml:space="preserve"> (</w:t>
      </w:r>
      <w:r w:rsidR="005E5C40">
        <w:t xml:space="preserve">položka </w:t>
      </w:r>
      <w:proofErr w:type="gramStart"/>
      <w:r w:rsidR="00E77FC3">
        <w:t>4122</w:t>
      </w:r>
      <w:r w:rsidR="005E5C40">
        <w:t xml:space="preserve"> - </w:t>
      </w:r>
      <w:r w:rsidR="002C36D0" w:rsidRPr="007F2E51">
        <w:t>v</w:t>
      </w:r>
      <w:proofErr w:type="gramEnd"/>
      <w:r w:rsidR="002C36D0" w:rsidRPr="007F2E51">
        <w:t xml:space="preserve"> průměru </w:t>
      </w:r>
      <w:r w:rsidR="00E77FC3">
        <w:t>50,4</w:t>
      </w:r>
      <w:r w:rsidR="002C36D0" w:rsidRPr="007F2E51">
        <w:t xml:space="preserve"> mil. Kč ročně)</w:t>
      </w:r>
      <w:r w:rsidR="005E5C40">
        <w:t xml:space="preserve"> a</w:t>
      </w:r>
      <w:r w:rsidR="002C36D0" w:rsidRPr="007F2E51">
        <w:t xml:space="preserve"> </w:t>
      </w:r>
      <w:r w:rsidR="00E77FC3">
        <w:t>Neinvestiční transfery z všeobecné pokladní správy SR</w:t>
      </w:r>
      <w:r w:rsidR="00BB5191">
        <w:t xml:space="preserve"> </w:t>
      </w:r>
      <w:r w:rsidR="002C36D0" w:rsidRPr="007F2E51">
        <w:t>(</w:t>
      </w:r>
      <w:r w:rsidR="005E5C40">
        <w:t xml:space="preserve">položka </w:t>
      </w:r>
      <w:r w:rsidR="00E77FC3">
        <w:t>4111</w:t>
      </w:r>
      <w:r w:rsidR="005E5C40">
        <w:t xml:space="preserve"> - </w:t>
      </w:r>
      <w:r w:rsidR="005F2805">
        <w:t xml:space="preserve">v průměru </w:t>
      </w:r>
      <w:r w:rsidR="00E77FC3">
        <w:t>16,4</w:t>
      </w:r>
      <w:r w:rsidR="002C36D0" w:rsidRPr="007F2E51">
        <w:t xml:space="preserve"> mil. Kč).</w:t>
      </w:r>
    </w:p>
    <w:p w14:paraId="7D17D1BA" w14:textId="588DC0A7" w:rsidR="008C5397" w:rsidRPr="008A4F0A" w:rsidRDefault="002C36D0" w:rsidP="002C36D0">
      <w:r w:rsidRPr="008A4F0A">
        <w:rPr>
          <w:b/>
        </w:rPr>
        <w:t xml:space="preserve">Přijaté investiční </w:t>
      </w:r>
      <w:proofErr w:type="gramStart"/>
      <w:r w:rsidRPr="008A4F0A">
        <w:rPr>
          <w:b/>
        </w:rPr>
        <w:t>transfery</w:t>
      </w:r>
      <w:r w:rsidRPr="008A4F0A">
        <w:t xml:space="preserve"> - Pro</w:t>
      </w:r>
      <w:proofErr w:type="gramEnd"/>
      <w:r w:rsidRPr="008A4F0A">
        <w:t xml:space="preserve"> rozvoj města jsou také důležité dotace investiční, jejichž maxima dosáhlo město v roce </w:t>
      </w:r>
      <w:r w:rsidR="00E77FC3">
        <w:t>2019</w:t>
      </w:r>
      <w:r w:rsidRPr="008A4F0A">
        <w:t xml:space="preserve"> (</w:t>
      </w:r>
      <w:r w:rsidR="00E77FC3">
        <w:t>103,3</w:t>
      </w:r>
      <w:r w:rsidRPr="008A4F0A">
        <w:t xml:space="preserve"> mil. Kč). Investiční aktivita města v letech </w:t>
      </w:r>
      <w:proofErr w:type="gramStart"/>
      <w:r w:rsidR="00E77FC3">
        <w:t>2019 - 2023</w:t>
      </w:r>
      <w:proofErr w:type="gramEnd"/>
      <w:r w:rsidRPr="008A4F0A">
        <w:t xml:space="preserve"> je vyjádřena částkou </w:t>
      </w:r>
      <w:r w:rsidR="00E77FC3">
        <w:t>1 283,6</w:t>
      </w:r>
      <w:r w:rsidRPr="008A4F0A">
        <w:t xml:space="preserve"> mil. Kč, z toho </w:t>
      </w:r>
      <w:r w:rsidR="00E77FC3">
        <w:t>211,6</w:t>
      </w:r>
      <w:r w:rsidRPr="008A4F0A">
        <w:t xml:space="preserve"> mil. Kč bylo hrazeno z dotací (tj. </w:t>
      </w:r>
      <w:r w:rsidR="00E77FC3">
        <w:t xml:space="preserve">16,5 </w:t>
      </w:r>
      <w:r w:rsidR="00E77FC3" w:rsidRPr="007C1FC1">
        <w:t>%</w:t>
      </w:r>
      <w:r w:rsidRPr="007C1FC1">
        <w:t xml:space="preserve">). Výše investičních výdajů kulminovala v roce </w:t>
      </w:r>
      <w:r w:rsidR="00E77FC3" w:rsidRPr="007C1FC1">
        <w:t>2023</w:t>
      </w:r>
      <w:r w:rsidRPr="007C1FC1">
        <w:t xml:space="preserve">, kdy město proinvestovalo </w:t>
      </w:r>
      <w:r w:rsidR="00E77FC3" w:rsidRPr="007C1FC1">
        <w:t>373,1</w:t>
      </w:r>
      <w:r w:rsidRPr="007C1FC1">
        <w:t xml:space="preserve"> mil. Kč (</w:t>
      </w:r>
      <w:r w:rsidR="00E77FC3" w:rsidRPr="007C1FC1">
        <w:t>17,1 %</w:t>
      </w:r>
      <w:r w:rsidR="00E41079" w:rsidRPr="007C1FC1">
        <w:t xml:space="preserve"> </w:t>
      </w:r>
      <w:r w:rsidRPr="007C1FC1">
        <w:t>nákladů pokryly investiční dotace).</w:t>
      </w:r>
      <w:r w:rsidR="008F69AC" w:rsidRPr="007C1FC1">
        <w:t xml:space="preserve"> </w:t>
      </w:r>
      <w:r w:rsidR="008C5397" w:rsidRPr="007C1FC1">
        <w:t xml:space="preserve">Naopak v roce </w:t>
      </w:r>
      <w:r w:rsidR="00E77FC3" w:rsidRPr="007C1FC1">
        <w:t>2021</w:t>
      </w:r>
      <w:r w:rsidR="008C5397" w:rsidRPr="007C1FC1">
        <w:t xml:space="preserve"> byly investiční transfery nejnižší (</w:t>
      </w:r>
      <w:r w:rsidR="00E77FC3" w:rsidRPr="007C1FC1">
        <w:t>5,7</w:t>
      </w:r>
      <w:r w:rsidR="0089263B" w:rsidRPr="007C1FC1">
        <w:t xml:space="preserve"> </w:t>
      </w:r>
      <w:r w:rsidR="008C5397" w:rsidRPr="007C1FC1">
        <w:t xml:space="preserve">mil. Kč), přičemž výše kapitálových výdajů nevybočovala z normálu a dosahovala </w:t>
      </w:r>
      <w:r w:rsidR="00E77FC3" w:rsidRPr="007C1FC1">
        <w:t>143,3</w:t>
      </w:r>
      <w:r w:rsidR="008C5397" w:rsidRPr="007C1FC1">
        <w:t xml:space="preserve"> mil. Kč (krytí investičními dotacemi bylo </w:t>
      </w:r>
      <w:r w:rsidR="00E77FC3" w:rsidRPr="007C1FC1">
        <w:t>3,95 %</w:t>
      </w:r>
      <w:r w:rsidR="008C5397" w:rsidRPr="007C1FC1">
        <w:t>).</w:t>
      </w:r>
    </w:p>
    <w:p w14:paraId="15D5BCBE" w14:textId="77777777" w:rsidR="002C36D0" w:rsidRPr="007F7EE4" w:rsidRDefault="00104086" w:rsidP="007F7EE4">
      <w:pPr>
        <w:pStyle w:val="Graf0"/>
      </w:pPr>
      <w:bookmarkStart w:id="24" w:name="_Toc180650283"/>
      <w:r w:rsidRPr="00104086">
        <w:rPr>
          <w:noProof/>
          <w:lang w:eastAsia="cs-CZ"/>
        </w:rPr>
        <w:t xml:space="preserve">Meziroční podíl a </w:t>
      </w:r>
      <w:r>
        <w:rPr>
          <w:noProof/>
          <w:lang w:eastAsia="cs-CZ"/>
        </w:rPr>
        <w:t>pěti</w:t>
      </w:r>
      <w:r w:rsidRPr="00104086">
        <w:rPr>
          <w:noProof/>
          <w:lang w:eastAsia="cs-CZ"/>
        </w:rPr>
        <w:t xml:space="preserve">letý průměr </w:t>
      </w:r>
      <w:r w:rsidR="002C36D0" w:rsidRPr="007F7EE4">
        <w:t>přijatých transferů</w:t>
      </w:r>
      <w:bookmarkEnd w:id="24"/>
    </w:p>
    <w:p w14:paraId="43B6755A" w14:textId="006DA829" w:rsidR="002C36D0" w:rsidRPr="007F609C" w:rsidRDefault="002259E5" w:rsidP="002C36D0">
      <w:pPr>
        <w:pStyle w:val="Objekt"/>
      </w:pPr>
      <w:r w:rsidRPr="002259E5">
        <w:rPr>
          <w:noProof/>
        </w:rPr>
        <w:drawing>
          <wp:inline distT="0" distB="0" distL="0" distR="0" wp14:anchorId="3E68D0BE" wp14:editId="36729F56">
            <wp:extent cx="4860925" cy="1602105"/>
            <wp:effectExtent l="0" t="0" r="0" b="0"/>
            <wp:docPr id="1193618501" name="Obráze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860925" cy="1602105"/>
                    </a:xfrm>
                    <a:prstGeom prst="rect">
                      <a:avLst/>
                    </a:prstGeom>
                    <a:noFill/>
                    <a:ln>
                      <a:noFill/>
                    </a:ln>
                  </pic:spPr>
                </pic:pic>
              </a:graphicData>
            </a:graphic>
          </wp:inline>
        </w:drawing>
      </w:r>
    </w:p>
    <w:p w14:paraId="49C0DD9A" w14:textId="77777777" w:rsidR="002C36D0" w:rsidRPr="008A4F0A" w:rsidRDefault="002C36D0" w:rsidP="002C36D0">
      <w:pPr>
        <w:pStyle w:val="Nadpis2"/>
      </w:pPr>
      <w:bookmarkStart w:id="25" w:name="_Toc180650318"/>
      <w:bookmarkStart w:id="26" w:name="_Toc62211717"/>
      <w:bookmarkEnd w:id="8"/>
      <w:r w:rsidRPr="008A4F0A">
        <w:t>Výdaje</w:t>
      </w:r>
      <w:bookmarkEnd w:id="25"/>
    </w:p>
    <w:p w14:paraId="05384AF3" w14:textId="7FA13668" w:rsidR="008D732D" w:rsidRDefault="00C572F0" w:rsidP="008D732D">
      <w:r w:rsidRPr="001B58F3">
        <w:rPr>
          <w:rFonts w:ascii="Verdana" w:hAnsi="Verdana"/>
          <w:noProof/>
          <w:sz w:val="19"/>
          <w:highlight w:val="cyan"/>
          <w:lang w:eastAsia="cs-CZ"/>
        </w:rPr>
        <mc:AlternateContent>
          <mc:Choice Requires="wps">
            <w:drawing>
              <wp:anchor distT="0" distB="0" distL="114300" distR="114300" simplePos="0" relativeHeight="251646976" behindDoc="0" locked="0" layoutInCell="1" allowOverlap="1" wp14:anchorId="0243BE8C" wp14:editId="254EDD8C">
                <wp:simplePos x="0" y="0"/>
                <wp:positionH relativeFrom="page">
                  <wp:posOffset>538843</wp:posOffset>
                </wp:positionH>
                <wp:positionV relativeFrom="paragraph">
                  <wp:posOffset>793569</wp:posOffset>
                </wp:positionV>
                <wp:extent cx="1403985" cy="1186542"/>
                <wp:effectExtent l="0" t="0" r="5715" b="0"/>
                <wp:wrapNone/>
                <wp:docPr id="706"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3985" cy="1186542"/>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1FB4E6CD" w14:textId="5830AC5C" w:rsidR="0031735E" w:rsidRPr="00857444" w:rsidRDefault="0031735E" w:rsidP="00977E0F">
                            <w:pPr>
                              <w:jc w:val="left"/>
                              <w:rPr>
                                <w:rStyle w:val="Odkaznakoment"/>
                                <w:rFonts w:cstheme="minorHAnsi"/>
                                <w:i/>
                                <w:sz w:val="20"/>
                                <w:szCs w:val="20"/>
                              </w:rPr>
                            </w:pPr>
                            <w:r w:rsidRPr="00857444">
                              <w:rPr>
                                <w:rStyle w:val="Odkaznakoment"/>
                                <w:rFonts w:cstheme="minorHAnsi"/>
                                <w:i/>
                                <w:sz w:val="20"/>
                                <w:szCs w:val="20"/>
                              </w:rPr>
                              <w:t xml:space="preserve">Největší dynamiku růstu </w:t>
                            </w:r>
                            <w:r>
                              <w:rPr>
                                <w:rStyle w:val="Odkaznakoment"/>
                                <w:rFonts w:cstheme="minorHAnsi"/>
                                <w:i/>
                                <w:sz w:val="20"/>
                                <w:szCs w:val="20"/>
                              </w:rPr>
                              <w:t xml:space="preserve">ve sledovaném období </w:t>
                            </w:r>
                            <w:r w:rsidRPr="00857444">
                              <w:rPr>
                                <w:rStyle w:val="Odkaznakoment"/>
                                <w:rFonts w:cstheme="minorHAnsi"/>
                                <w:i/>
                                <w:sz w:val="20"/>
                                <w:szCs w:val="20"/>
                              </w:rPr>
                              <w:t xml:space="preserve">zaznamenaly </w:t>
                            </w:r>
                            <w:r w:rsidR="00E77FC3" w:rsidRPr="00E77FC3">
                              <w:rPr>
                                <w:i/>
                                <w:sz w:val="20"/>
                                <w:szCs w:val="20"/>
                              </w:rPr>
                              <w:t>Neinvestiční transfery soukromoprávním</w:t>
                            </w:r>
                            <w:r w:rsidR="00E77FC3">
                              <w:t xml:space="preserve"> subjektům</w:t>
                            </w:r>
                            <w:r w:rsidRPr="00857444">
                              <w:rPr>
                                <w:rStyle w:val="Odkaznakoment"/>
                                <w:rFonts w:cstheme="minorHAnsi"/>
                                <w:i/>
                                <w:sz w:val="20"/>
                                <w:szCs w:val="20"/>
                              </w:rPr>
                              <w:t xml:space="preserve"> (</w:t>
                            </w:r>
                            <w:r>
                              <w:rPr>
                                <w:rStyle w:val="Odkaznakoment"/>
                                <w:rFonts w:cstheme="minorHAnsi"/>
                                <w:i/>
                                <w:sz w:val="20"/>
                                <w:szCs w:val="20"/>
                              </w:rPr>
                              <w:t xml:space="preserve">nárůst </w:t>
                            </w:r>
                            <w:r w:rsidRPr="00857444">
                              <w:rPr>
                                <w:rStyle w:val="Odkaznakoment"/>
                                <w:rFonts w:cstheme="minorHAnsi"/>
                                <w:i/>
                                <w:sz w:val="20"/>
                                <w:szCs w:val="20"/>
                              </w:rPr>
                              <w:t>o</w:t>
                            </w:r>
                            <w:r w:rsidRPr="00005E0E">
                              <w:rPr>
                                <w:rStyle w:val="Odkaznakoment"/>
                                <w:rFonts w:cstheme="minorHAnsi"/>
                                <w:sz w:val="20"/>
                                <w:szCs w:val="20"/>
                              </w:rPr>
                              <w:t xml:space="preserve"> </w:t>
                            </w:r>
                            <w:r w:rsidR="00E77FC3" w:rsidRPr="00E77FC3">
                              <w:rPr>
                                <w:i/>
                              </w:rPr>
                              <w:t>204,4 %</w:t>
                            </w:r>
                            <w:r w:rsidRPr="00857444">
                              <w:rPr>
                                <w:rStyle w:val="Odkaznakoment"/>
                                <w:rFonts w:cstheme="minorHAnsi"/>
                                <w:i/>
                                <w:sz w:val="20"/>
                                <w:szCs w:val="20"/>
                              </w:rPr>
                              <w:t>)</w:t>
                            </w:r>
                          </w:p>
                          <w:p w14:paraId="7A070961" w14:textId="77777777" w:rsidR="0031735E" w:rsidRPr="001B58F3" w:rsidRDefault="0031735E" w:rsidP="00E03088">
                            <w:pPr>
                              <w:spacing w:after="0"/>
                              <w:jc w:val="left"/>
                              <w:rPr>
                                <w:rFonts w:cstheme="minorHAnsi"/>
                                <w:i/>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0243BE8C" id="_x0000_s1037" type="#_x0000_t202" style="position:absolute;left:0;text-align:left;margin-left:42.45pt;margin-top:62.5pt;width:110.55pt;height:93.45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" fillcolor="white [3201]" stroked="f" strokeweight=".5pt">
                <v:path arrowok="t"/>
                <v:textbox inset="0,0,0,0">
                  <w:txbxContent>
                    <w:p w14:paraId="1FB4E6CD" w14:textId="5830AC5C" w:rsidR="0031735E" w:rsidRPr="00857444" w:rsidRDefault="0031735E" w:rsidP="00977E0F">
                      <w:pPr>
                        <w:jc w:val="left"/>
                        <w:rPr>
                          <w:rStyle w:val="Odkaznakoment"/>
                          <w:rFonts w:cstheme="minorHAnsi"/>
                          <w:i/>
                          <w:sz w:val="20"/>
                          <w:szCs w:val="20"/>
                        </w:rPr>
                      </w:pPr>
                      <w:r w:rsidRPr="00857444">
                        <w:rPr>
                          <w:rStyle w:val="Odkaznakoment"/>
                          <w:rFonts w:cstheme="minorHAnsi"/>
                          <w:i/>
                          <w:sz w:val="20"/>
                          <w:szCs w:val="20"/>
                        </w:rPr>
                        <w:t xml:space="preserve">Největší dynamiku růstu </w:t>
                      </w:r>
                      <w:r>
                        <w:rPr>
                          <w:rStyle w:val="Odkaznakoment"/>
                          <w:rFonts w:cstheme="minorHAnsi"/>
                          <w:i/>
                          <w:sz w:val="20"/>
                          <w:szCs w:val="20"/>
                        </w:rPr>
                        <w:t xml:space="preserve">ve sledovaném období </w:t>
                      </w:r>
                      <w:r w:rsidRPr="00857444">
                        <w:rPr>
                          <w:rStyle w:val="Odkaznakoment"/>
                          <w:rFonts w:cstheme="minorHAnsi"/>
                          <w:i/>
                          <w:sz w:val="20"/>
                          <w:szCs w:val="20"/>
                        </w:rPr>
                        <w:t xml:space="preserve">zaznamenaly </w:t>
                      </w:r>
                      <w:r w:rsidR="00E77FC3" w:rsidRPr="00E77FC3">
                        <w:rPr>
                          <w:i/>
                          <w:sz w:val="20"/>
                          <w:szCs w:val="20"/>
                        </w:rPr>
                        <w:t>Neinvestiční transfery soukromoprávním</w:t>
                      </w:r>
                      <w:r w:rsidR="00E77FC3">
                        <w:t xml:space="preserve"> subjektům</w:t>
                      </w:r>
                      <w:r w:rsidRPr="00857444">
                        <w:rPr>
                          <w:rStyle w:val="Odkaznakoment"/>
                          <w:rFonts w:cstheme="minorHAnsi"/>
                          <w:i/>
                          <w:sz w:val="20"/>
                          <w:szCs w:val="20"/>
                        </w:rPr>
                        <w:t xml:space="preserve"> (</w:t>
                      </w:r>
                      <w:r>
                        <w:rPr>
                          <w:rStyle w:val="Odkaznakoment"/>
                          <w:rFonts w:cstheme="minorHAnsi"/>
                          <w:i/>
                          <w:sz w:val="20"/>
                          <w:szCs w:val="20"/>
                        </w:rPr>
                        <w:t xml:space="preserve">nárůst </w:t>
                      </w:r>
                      <w:r w:rsidRPr="00857444">
                        <w:rPr>
                          <w:rStyle w:val="Odkaznakoment"/>
                          <w:rFonts w:cstheme="minorHAnsi"/>
                          <w:i/>
                          <w:sz w:val="20"/>
                          <w:szCs w:val="20"/>
                        </w:rPr>
                        <w:t>o</w:t>
                      </w:r>
                      <w:r w:rsidRPr="00005E0E">
                        <w:rPr>
                          <w:rStyle w:val="Odkaznakoment"/>
                          <w:rFonts w:cstheme="minorHAnsi"/>
                          <w:sz w:val="20"/>
                          <w:szCs w:val="20"/>
                        </w:rPr>
                        <w:t xml:space="preserve"> </w:t>
                      </w:r>
                      <w:r w:rsidR="00E77FC3" w:rsidRPr="00E77FC3">
                        <w:rPr>
                          <w:i/>
                        </w:rPr>
                        <w:t>204,4 %</w:t>
                      </w:r>
                      <w:r w:rsidRPr="00857444">
                        <w:rPr>
                          <w:rStyle w:val="Odkaznakoment"/>
                          <w:rFonts w:cstheme="minorHAnsi"/>
                          <w:i/>
                          <w:sz w:val="20"/>
                          <w:szCs w:val="20"/>
                        </w:rPr>
                        <w:t>)</w:t>
                      </w:r>
                    </w:p>
                    <w:p w14:paraId="7A070961" w14:textId="77777777" w:rsidR="0031735E" w:rsidRPr="001B58F3" w:rsidRDefault="0031735E" w:rsidP="00E03088">
                      <w:pPr>
                        <w:spacing w:after="0"/>
                        <w:jc w:val="left"/>
                        <w:rPr>
                          <w:rFonts w:cstheme="minorHAnsi"/>
                          <w:i/>
                          <w:sz w:val="20"/>
                          <w:szCs w:val="20"/>
                        </w:rPr>
                      </w:pPr>
                    </w:p>
                  </w:txbxContent>
                </v:textbox>
                <w10:wrap anchorx="page"/>
              </v:shape>
            </w:pict>
          </mc:Fallback>
        </mc:AlternateContent>
      </w:r>
      <w:r w:rsidR="008D732D" w:rsidRPr="007C1FC1">
        <w:t>Běžné výdaje se, s výjimkou roku 2020</w:t>
      </w:r>
      <w:r w:rsidR="002741E9" w:rsidRPr="007C1FC1">
        <w:t>, meziročně</w:t>
      </w:r>
      <w:r w:rsidR="007C1FC1" w:rsidRPr="007C1FC1">
        <w:t xml:space="preserve"> </w:t>
      </w:r>
      <w:r w:rsidR="002741E9" w:rsidRPr="007C1FC1">
        <w:t>zvyšují</w:t>
      </w:r>
      <w:r w:rsidR="008D732D" w:rsidRPr="007C1FC1">
        <w:t xml:space="preserve">. </w:t>
      </w:r>
      <w:r w:rsidR="00B97929" w:rsidRPr="007C1FC1">
        <w:t>Meziroční růst je důsledkem zejména navyšování transferů veřejnoprávním subjektům, „legislativního“ zvyšování mezd zaměstnanců</w:t>
      </w:r>
      <w:r w:rsidR="00B97929" w:rsidRPr="00B97929">
        <w:t xml:space="preserve"> úřadu i příspěvkových organizací, resp. odměn členů zastupitelstva a inflačního růstu </w:t>
      </w:r>
      <w:r w:rsidR="0000725A">
        <w:t>n</w:t>
      </w:r>
      <w:r w:rsidR="00B97929" w:rsidRPr="00B97929">
        <w:t>einvestičních nákupů.</w:t>
      </w:r>
    </w:p>
    <w:p w14:paraId="7DDC6D95" w14:textId="4FB8CD1A" w:rsidR="002C36D0" w:rsidRPr="00724EBF" w:rsidRDefault="002C36D0" w:rsidP="009A770A">
      <w:pPr>
        <w:pStyle w:val="Tabulka"/>
      </w:pPr>
      <w:bookmarkStart w:id="27" w:name="_Toc180650262"/>
      <w:r w:rsidRPr="00724EBF">
        <w:t>Rekapitulace výdajů</w:t>
      </w:r>
      <w:bookmarkEnd w:id="27"/>
    </w:p>
    <w:p w14:paraId="0C64D9B4" w14:textId="5AFDE2A5" w:rsidR="002C36D0" w:rsidRPr="00724EBF" w:rsidRDefault="002259E5" w:rsidP="00724EBF">
      <w:pPr>
        <w:pStyle w:val="Objekt"/>
      </w:pPr>
      <w:r w:rsidRPr="002259E5">
        <w:rPr>
          <w:noProof/>
        </w:rPr>
        <w:drawing>
          <wp:inline distT="0" distB="0" distL="0" distR="0" wp14:anchorId="3B873EA7" wp14:editId="240F2090">
            <wp:extent cx="4860925" cy="1487170"/>
            <wp:effectExtent l="0" t="0" r="0" b="0"/>
            <wp:docPr id="1119192237" name="Obráze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860925" cy="1487170"/>
                    </a:xfrm>
                    <a:prstGeom prst="rect">
                      <a:avLst/>
                    </a:prstGeom>
                    <a:noFill/>
                    <a:ln>
                      <a:noFill/>
                    </a:ln>
                  </pic:spPr>
                </pic:pic>
              </a:graphicData>
            </a:graphic>
          </wp:inline>
        </w:drawing>
      </w:r>
    </w:p>
    <w:p w14:paraId="75681C0C" w14:textId="27739A0B" w:rsidR="002741E9" w:rsidRPr="002741E9" w:rsidRDefault="00E21F11" w:rsidP="002741E9">
      <w:pPr>
        <w:rPr>
          <w:rFonts w:eastAsia="Times New Roman"/>
          <w:lang w:eastAsia="cs-CZ"/>
        </w:rPr>
      </w:pPr>
      <w:r w:rsidRPr="0089263B">
        <w:t xml:space="preserve">Kapitálové výdaje mají oproti tomu charakter nahodilý a pohybují se v rozmezí od </w:t>
      </w:r>
      <w:r w:rsidR="00E77FC3">
        <w:t>12,7 %</w:t>
      </w:r>
      <w:r w:rsidRPr="0089263B">
        <w:t xml:space="preserve"> až </w:t>
      </w:r>
      <w:r w:rsidR="00E77FC3">
        <w:t>23,1 %</w:t>
      </w:r>
      <w:r w:rsidRPr="0089263B">
        <w:t xml:space="preserve"> celkových výdajů. Jejich výše se odvíjí od potřeb města a vypisovaných </w:t>
      </w:r>
      <w:r w:rsidRPr="0089263B">
        <w:lastRenderedPageBreak/>
        <w:t xml:space="preserve">dotačních </w:t>
      </w:r>
      <w:r w:rsidRPr="002741E9">
        <w:t>titulů a jsou reprezentovány zejména výdaji na budovy, haly a stavby (položka 6121). Například v roce 20</w:t>
      </w:r>
      <w:r w:rsidR="002741E9" w:rsidRPr="002741E9">
        <w:t>23</w:t>
      </w:r>
      <w:r w:rsidRPr="002741E9">
        <w:t xml:space="preserve">, kdy město dosáhlo nejvyšších kapitálových výdajů, lze mezi významné investiční akce řadit projekty </w:t>
      </w:r>
      <w:proofErr w:type="gramStart"/>
      <w:r w:rsidR="002741E9" w:rsidRPr="002741E9">
        <w:rPr>
          <w:rFonts w:ascii="Times New Roman" w:eastAsia="Times New Roman" w:hAnsi="Times New Roman"/>
          <w:sz w:val="24"/>
          <w:szCs w:val="24"/>
          <w:lang w:eastAsia="cs-CZ"/>
        </w:rPr>
        <w:t>KJ - rekonstrukce</w:t>
      </w:r>
      <w:proofErr w:type="gramEnd"/>
      <w:r w:rsidR="002741E9" w:rsidRPr="002741E9">
        <w:rPr>
          <w:rFonts w:ascii="Times New Roman" w:eastAsia="Times New Roman" w:hAnsi="Times New Roman"/>
          <w:sz w:val="24"/>
          <w:szCs w:val="24"/>
          <w:lang w:eastAsia="cs-CZ"/>
        </w:rPr>
        <w:t xml:space="preserve"> Přemyslova - I etapa</w:t>
      </w:r>
      <w:r w:rsidR="002741E9" w:rsidRPr="002741E9">
        <w:rPr>
          <w:rFonts w:eastAsia="Times New Roman"/>
          <w:lang w:eastAsia="cs-CZ"/>
        </w:rPr>
        <w:t xml:space="preserve"> (59,8 mil. Kč), </w:t>
      </w:r>
      <w:r w:rsidR="002741E9" w:rsidRPr="002741E9">
        <w:rPr>
          <w:rFonts w:ascii="Times New Roman" w:eastAsia="Times New Roman" w:hAnsi="Times New Roman"/>
          <w:sz w:val="24"/>
          <w:szCs w:val="24"/>
          <w:lang w:eastAsia="cs-CZ"/>
        </w:rPr>
        <w:t>KJ - nový vjezd, vchod, vrátnice Mostecká</w:t>
      </w:r>
      <w:r w:rsidR="002741E9" w:rsidRPr="002741E9">
        <w:rPr>
          <w:rFonts w:eastAsia="Times New Roman"/>
          <w:lang w:eastAsia="cs-CZ"/>
        </w:rPr>
        <w:t xml:space="preserve"> (42,3 mil. Kč), </w:t>
      </w:r>
      <w:r w:rsidR="002741E9" w:rsidRPr="002741E9">
        <w:rPr>
          <w:rFonts w:ascii="Times New Roman" w:eastAsia="Times New Roman" w:hAnsi="Times New Roman"/>
          <w:sz w:val="24"/>
          <w:szCs w:val="24"/>
          <w:lang w:eastAsia="cs-CZ"/>
        </w:rPr>
        <w:t>Rekonstrukce budovy Chelčického čp</w:t>
      </w:r>
      <w:r w:rsidR="002741E9">
        <w:rPr>
          <w:rFonts w:ascii="Times New Roman" w:eastAsia="Times New Roman" w:hAnsi="Times New Roman"/>
          <w:sz w:val="24"/>
          <w:szCs w:val="24"/>
          <w:lang w:eastAsia="cs-CZ"/>
        </w:rPr>
        <w:t>.</w:t>
      </w:r>
      <w:r w:rsidR="002741E9" w:rsidRPr="002741E9">
        <w:rPr>
          <w:rFonts w:ascii="Times New Roman" w:eastAsia="Times New Roman" w:hAnsi="Times New Roman"/>
          <w:sz w:val="24"/>
          <w:szCs w:val="24"/>
          <w:lang w:eastAsia="cs-CZ"/>
        </w:rPr>
        <w:t xml:space="preserve"> 98 - OVS</w:t>
      </w:r>
      <w:r w:rsidR="002741E9" w:rsidRPr="002741E9">
        <w:rPr>
          <w:rFonts w:eastAsia="Times New Roman"/>
          <w:lang w:eastAsia="cs-CZ"/>
        </w:rPr>
        <w:t xml:space="preserve"> (38,8 mil. Kč a dalších 79,0 mil. K</w:t>
      </w:r>
      <w:r w:rsidR="00C926E0">
        <w:rPr>
          <w:rFonts w:eastAsia="Times New Roman"/>
          <w:lang w:eastAsia="cs-CZ"/>
        </w:rPr>
        <w:t>č</w:t>
      </w:r>
      <w:r w:rsidR="002741E9" w:rsidRPr="002741E9">
        <w:rPr>
          <w:rFonts w:eastAsia="Times New Roman"/>
          <w:lang w:eastAsia="cs-CZ"/>
        </w:rPr>
        <w:t xml:space="preserve"> v rozpočtu na rok 2024) nebo Rekonstrukce školní kuchyně - ZŠ Písečná (33,7 mil. Kč).</w:t>
      </w:r>
    </w:p>
    <w:bookmarkStart w:id="28" w:name="_Toc428351153"/>
    <w:bookmarkStart w:id="29" w:name="_Toc428357448"/>
    <w:bookmarkStart w:id="30" w:name="_Toc55981684"/>
    <w:bookmarkStart w:id="31" w:name="_Toc180650284"/>
    <w:p w14:paraId="73A82620" w14:textId="77777777" w:rsidR="002C36D0" w:rsidRPr="007F7EE4" w:rsidRDefault="00005E0E" w:rsidP="007F7EE4">
      <w:pPr>
        <w:pStyle w:val="Graf0"/>
      </w:pPr>
      <w:r w:rsidRPr="001B58F3">
        <w:rPr>
          <w:rFonts w:ascii="Verdana" w:hAnsi="Verdana"/>
          <w:noProof/>
          <w:sz w:val="19"/>
          <w:highlight w:val="cyan"/>
          <w:lang w:eastAsia="cs-CZ"/>
        </w:rPr>
        <mc:AlternateContent>
          <mc:Choice Requires="wps">
            <w:drawing>
              <wp:anchor distT="0" distB="0" distL="114300" distR="114300" simplePos="0" relativeHeight="251648000" behindDoc="0" locked="0" layoutInCell="1" allowOverlap="1" wp14:anchorId="7801C518" wp14:editId="6495F89B">
                <wp:simplePos x="0" y="0"/>
                <wp:positionH relativeFrom="page">
                  <wp:posOffset>539115</wp:posOffset>
                </wp:positionH>
                <wp:positionV relativeFrom="paragraph">
                  <wp:posOffset>0</wp:posOffset>
                </wp:positionV>
                <wp:extent cx="1404000" cy="712800"/>
                <wp:effectExtent l="0" t="0" r="5715" b="0"/>
                <wp:wrapNone/>
                <wp:docPr id="709"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71280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43CD6925" w14:textId="77777777" w:rsidR="0031735E" w:rsidRPr="00370D4F" w:rsidRDefault="0031735E" w:rsidP="00005E0E">
                            <w:pPr>
                              <w:spacing w:before="0" w:after="0"/>
                              <w:jc w:val="left"/>
                              <w:rPr>
                                <w:rStyle w:val="Odkaznakoment"/>
                                <w:rFonts w:cstheme="minorHAnsi"/>
                                <w:i/>
                                <w:sz w:val="20"/>
                                <w:szCs w:val="20"/>
                              </w:rPr>
                            </w:pPr>
                            <w:r>
                              <w:rPr>
                                <w:rStyle w:val="Odkaznakoment"/>
                                <w:rFonts w:cstheme="minorHAnsi"/>
                                <w:i/>
                                <w:sz w:val="20"/>
                                <w:szCs w:val="20"/>
                              </w:rPr>
                              <w:t>Za 5 let celkem město proinvestovalo</w:t>
                            </w:r>
                          </w:p>
                          <w:p w14:paraId="3A477F31" w14:textId="6D7C3799" w:rsidR="0031735E" w:rsidRPr="00741CB5" w:rsidRDefault="00E77FC3" w:rsidP="00977E0F">
                            <w:pPr>
                              <w:spacing w:before="0" w:after="0"/>
                              <w:rPr>
                                <w:rFonts w:cstheme="minorHAnsi"/>
                                <w:b/>
                                <w:i/>
                                <w:color w:val="548DD4" w:themeColor="text2" w:themeTint="99"/>
                                <w:sz w:val="28"/>
                                <w:szCs w:val="28"/>
                              </w:rPr>
                            </w:pPr>
                            <w:r w:rsidRPr="00E77FC3">
                              <w:rPr>
                                <w:b/>
                                <w:i/>
                                <w:color w:val="548DD4" w:themeColor="text2" w:themeTint="99"/>
                                <w:sz w:val="28"/>
                                <w:szCs w:val="28"/>
                              </w:rPr>
                              <w:t>1</w:t>
                            </w:r>
                            <w:r w:rsidR="002741E9">
                              <w:rPr>
                                <w:b/>
                                <w:i/>
                                <w:color w:val="548DD4" w:themeColor="text2" w:themeTint="99"/>
                                <w:sz w:val="28"/>
                                <w:szCs w:val="28"/>
                              </w:rPr>
                              <w:t xml:space="preserve"> 283,6</w:t>
                            </w:r>
                            <w:r w:rsidR="0031735E" w:rsidRPr="00741CB5">
                              <w:rPr>
                                <w:rFonts w:cstheme="minorHAnsi"/>
                                <w:b/>
                                <w:i/>
                                <w:color w:val="548DD4" w:themeColor="text2" w:themeTint="99"/>
                                <w:sz w:val="28"/>
                                <w:szCs w:val="28"/>
                              </w:rPr>
                              <w:t xml:space="preserve"> mil. Kč</w:t>
                            </w:r>
                          </w:p>
                          <w:p w14:paraId="63E750F7" w14:textId="77777777" w:rsidR="0031735E" w:rsidRPr="001B58F3" w:rsidRDefault="0031735E" w:rsidP="00E03088">
                            <w:pPr>
                              <w:spacing w:after="0"/>
                              <w:jc w:val="left"/>
                              <w:rPr>
                                <w:rFonts w:cstheme="minorHAnsi"/>
                                <w:i/>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7801C518" id="_x0000_s1038" type="#_x0000_t202" style="position:absolute;left:0;text-align:left;margin-left:42.45pt;margin-top:0;width:110.55pt;height:56.15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" fillcolor="white [3201]" stroked="f" strokeweight=".5pt">
                <v:path arrowok="t"/>
                <v:textbox inset="0,0,0,0">
                  <w:txbxContent>
                    <w:p w14:paraId="43CD6925" w14:textId="77777777" w:rsidR="0031735E" w:rsidRPr="00370D4F" w:rsidRDefault="0031735E" w:rsidP="00005E0E">
                      <w:pPr>
                        <w:spacing w:before="0" w:after="0"/>
                        <w:jc w:val="left"/>
                        <w:rPr>
                          <w:rStyle w:val="Odkaznakoment"/>
                          <w:rFonts w:cstheme="minorHAnsi"/>
                          <w:i/>
                          <w:sz w:val="20"/>
                          <w:szCs w:val="20"/>
                        </w:rPr>
                      </w:pPr>
                      <w:r>
                        <w:rPr>
                          <w:rStyle w:val="Odkaznakoment"/>
                          <w:rFonts w:cstheme="minorHAnsi"/>
                          <w:i/>
                          <w:sz w:val="20"/>
                          <w:szCs w:val="20"/>
                        </w:rPr>
                        <w:t>Za 5 let celkem město proinvestovalo</w:t>
                      </w:r>
                    </w:p>
                    <w:p w14:paraId="3A477F31" w14:textId="6D7C3799" w:rsidR="0031735E" w:rsidRPr="00741CB5" w:rsidRDefault="00E77FC3" w:rsidP="00977E0F">
                      <w:pPr>
                        <w:spacing w:before="0" w:after="0"/>
                        <w:rPr>
                          <w:rFonts w:cstheme="minorHAnsi"/>
                          <w:b/>
                          <w:i/>
                          <w:color w:val="548DD4" w:themeColor="text2" w:themeTint="99"/>
                          <w:sz w:val="28"/>
                          <w:szCs w:val="28"/>
                        </w:rPr>
                      </w:pPr>
                      <w:r w:rsidRPr="00E77FC3">
                        <w:rPr>
                          <w:b/>
                          <w:i/>
                          <w:color w:val="548DD4" w:themeColor="text2" w:themeTint="99"/>
                          <w:sz w:val="28"/>
                          <w:szCs w:val="28"/>
                        </w:rPr>
                        <w:t>1</w:t>
                      </w:r>
                      <w:r w:rsidR="002741E9">
                        <w:rPr>
                          <w:b/>
                          <w:i/>
                          <w:color w:val="548DD4" w:themeColor="text2" w:themeTint="99"/>
                          <w:sz w:val="28"/>
                          <w:szCs w:val="28"/>
                        </w:rPr>
                        <w:t xml:space="preserve"> 283,6</w:t>
                      </w:r>
                      <w:r w:rsidR="0031735E" w:rsidRPr="00741CB5">
                        <w:rPr>
                          <w:rFonts w:cstheme="minorHAnsi"/>
                          <w:b/>
                          <w:i/>
                          <w:color w:val="548DD4" w:themeColor="text2" w:themeTint="99"/>
                          <w:sz w:val="28"/>
                          <w:szCs w:val="28"/>
                        </w:rPr>
                        <w:t xml:space="preserve"> mil. Kč</w:t>
                      </w:r>
                    </w:p>
                    <w:p w14:paraId="63E750F7" w14:textId="77777777" w:rsidR="0031735E" w:rsidRPr="001B58F3" w:rsidRDefault="0031735E" w:rsidP="00E03088">
                      <w:pPr>
                        <w:spacing w:after="0"/>
                        <w:jc w:val="left"/>
                        <w:rPr>
                          <w:rFonts w:cstheme="minorHAnsi"/>
                          <w:i/>
                          <w:sz w:val="20"/>
                          <w:szCs w:val="20"/>
                        </w:rPr>
                      </w:pPr>
                    </w:p>
                  </w:txbxContent>
                </v:textbox>
                <w10:wrap anchorx="page"/>
              </v:shape>
            </w:pict>
          </mc:Fallback>
        </mc:AlternateContent>
      </w:r>
      <w:r w:rsidR="002C36D0" w:rsidRPr="007F7EE4">
        <w:t>Vývoj výdajů</w:t>
      </w:r>
      <w:bookmarkEnd w:id="28"/>
      <w:bookmarkEnd w:id="29"/>
      <w:bookmarkEnd w:id="30"/>
      <w:bookmarkEnd w:id="31"/>
    </w:p>
    <w:p w14:paraId="14CB9B07" w14:textId="441C12EE" w:rsidR="00443D07" w:rsidRDefault="002259E5" w:rsidP="00443D07">
      <w:pPr>
        <w:pStyle w:val="Objekt"/>
      </w:pPr>
      <w:r w:rsidRPr="002259E5">
        <w:rPr>
          <w:noProof/>
        </w:rPr>
        <w:drawing>
          <wp:inline distT="0" distB="0" distL="0" distR="0" wp14:anchorId="2C56D70E" wp14:editId="30557DB0">
            <wp:extent cx="4860925" cy="1574165"/>
            <wp:effectExtent l="0" t="0" r="0" b="0"/>
            <wp:docPr id="144576317" name="Obráze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860925" cy="1574165"/>
                    </a:xfrm>
                    <a:prstGeom prst="rect">
                      <a:avLst/>
                    </a:prstGeom>
                    <a:noFill/>
                    <a:ln>
                      <a:noFill/>
                    </a:ln>
                  </pic:spPr>
                </pic:pic>
              </a:graphicData>
            </a:graphic>
          </wp:inline>
        </w:drawing>
      </w:r>
    </w:p>
    <w:p w14:paraId="620729B1" w14:textId="77777777" w:rsidR="002C36D0" w:rsidRPr="004D0FAA" w:rsidRDefault="002C36D0" w:rsidP="004D0FAA">
      <w:pPr>
        <w:pStyle w:val="Nadpis3"/>
      </w:pPr>
      <w:r w:rsidRPr="004D0FAA">
        <w:t>Běžné výdaje</w:t>
      </w:r>
    </w:p>
    <w:p w14:paraId="47D75673" w14:textId="24F43897" w:rsidR="002C36D0" w:rsidRPr="00AB396C" w:rsidRDefault="008F6FDF" w:rsidP="00503978">
      <w:pPr>
        <w:spacing w:before="0" w:after="0"/>
      </w:pPr>
      <w:r w:rsidRPr="0009335F">
        <w:rPr>
          <w:rFonts w:ascii="Verdana" w:hAnsi="Verdana"/>
          <w:b/>
          <w:noProof/>
          <w:sz w:val="19"/>
          <w:lang w:eastAsia="cs-CZ"/>
        </w:rPr>
        <mc:AlternateContent>
          <mc:Choice Requires="wps">
            <w:drawing>
              <wp:anchor distT="0" distB="0" distL="114300" distR="114300" simplePos="0" relativeHeight="251674112" behindDoc="0" locked="0" layoutInCell="1" allowOverlap="1" wp14:anchorId="17092842" wp14:editId="6707F68A">
                <wp:simplePos x="0" y="0"/>
                <wp:positionH relativeFrom="page">
                  <wp:posOffset>540385</wp:posOffset>
                </wp:positionH>
                <wp:positionV relativeFrom="paragraph">
                  <wp:posOffset>-71755</wp:posOffset>
                </wp:positionV>
                <wp:extent cx="1404000" cy="1440000"/>
                <wp:effectExtent l="0" t="0" r="5715" b="8255"/>
                <wp:wrapNone/>
                <wp:docPr id="6" name="MG V5x"/>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144000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4ED4D0FF" w14:textId="756ECA0B" w:rsidR="0031735E" w:rsidRPr="00193D74" w:rsidRDefault="002259E5" w:rsidP="00F3300F">
                            <w:pPr>
                              <w:jc w:val="center"/>
                              <w:rPr>
                                <w:rFonts w:cstheme="minorHAnsi"/>
                                <w:sz w:val="20"/>
                                <w:szCs w:val="20"/>
                              </w:rPr>
                            </w:pPr>
                            <w:r w:rsidRPr="002259E5">
                              <w:rPr>
                                <w:rFonts w:cstheme="minorHAnsi"/>
                                <w:noProof/>
                                <w:sz w:val="20"/>
                                <w:szCs w:val="20"/>
                              </w:rPr>
                              <w:drawing>
                                <wp:inline distT="0" distB="0" distL="0" distR="0" wp14:anchorId="606F6A4B" wp14:editId="4E60DF99">
                                  <wp:extent cx="1322070" cy="1172210"/>
                                  <wp:effectExtent l="0" t="0" r="0" b="8890"/>
                                  <wp:docPr id="1471176216" name="Obráze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322070" cy="117221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17092842" id="MG V5x" o:spid="_x0000_s1039" type="#_x0000_t202" style="position:absolute;left:0;text-align:left;margin-left:42.55pt;margin-top:-5.65pt;width:110.55pt;height:113.4pt;z-index:2516741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" fillcolor="white [3201]" stroked="f" strokeweight=".5pt">
                <v:path arrowok="t"/>
                <v:textbox inset="0,0,0,0">
                  <w:txbxContent>
                    <w:p w14:paraId="4ED4D0FF" w14:textId="756ECA0B" w:rsidR="0031735E" w:rsidRPr="00193D74" w:rsidRDefault="002259E5" w:rsidP="00F3300F">
                      <w:pPr>
                        <w:jc w:val="center"/>
                        <w:rPr>
                          <w:rFonts w:cstheme="minorHAnsi"/>
                          <w:sz w:val="20"/>
                          <w:szCs w:val="20"/>
                        </w:rPr>
                      </w:pPr>
                      <w:r w:rsidRPr="002259E5">
                        <w:rPr>
                          <w:rFonts w:cstheme="minorHAnsi"/>
                          <w:noProof/>
                          <w:sz w:val="20"/>
                          <w:szCs w:val="20"/>
                        </w:rPr>
                        <w:drawing>
                          <wp:inline distT="0" distB="0" distL="0" distR="0" wp14:anchorId="606F6A4B" wp14:editId="4E60DF99">
                            <wp:extent cx="1322070" cy="1172210"/>
                            <wp:effectExtent l="0" t="0" r="0" b="8890"/>
                            <wp:docPr id="1471176216" name="Obráze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322070" cy="1172210"/>
                                    </a:xfrm>
                                    <a:prstGeom prst="rect">
                                      <a:avLst/>
                                    </a:prstGeom>
                                    <a:noFill/>
                                    <a:ln>
                                      <a:noFill/>
                                    </a:ln>
                                  </pic:spPr>
                                </pic:pic>
                              </a:graphicData>
                            </a:graphic>
                          </wp:inline>
                        </w:drawing>
                      </w:r>
                    </w:p>
                  </w:txbxContent>
                </v:textbox>
                <w10:wrap anchorx="page"/>
              </v:shape>
            </w:pict>
          </mc:Fallback>
        </mc:AlternateContent>
      </w:r>
      <w:r w:rsidR="002C36D0" w:rsidRPr="0009335F">
        <w:t>Největší</w:t>
      </w:r>
      <w:r w:rsidR="008F69AC" w:rsidRPr="0009335F">
        <w:t>ho</w:t>
      </w:r>
      <w:r w:rsidR="002C36D0" w:rsidRPr="0009335F">
        <w:t xml:space="preserve"> </w:t>
      </w:r>
      <w:r w:rsidR="001D51B6" w:rsidRPr="0009335F">
        <w:t>růstu</w:t>
      </w:r>
      <w:r w:rsidR="002C36D0" w:rsidRPr="0009335F">
        <w:t xml:space="preserve"> </w:t>
      </w:r>
      <w:r w:rsidR="003A1C9A" w:rsidRPr="0009335F">
        <w:t xml:space="preserve">objemu prostředků </w:t>
      </w:r>
      <w:r w:rsidR="0095407B" w:rsidRPr="0009335F">
        <w:t xml:space="preserve">v období </w:t>
      </w:r>
      <w:r w:rsidR="00E77FC3" w:rsidRPr="0009335F">
        <w:t>2019 - 2023</w:t>
      </w:r>
      <w:r w:rsidR="002C36D0" w:rsidRPr="0009335F">
        <w:t xml:space="preserve"> dle výdajových s</w:t>
      </w:r>
      <w:r w:rsidR="00687174" w:rsidRPr="0009335F">
        <w:t>eskupení</w:t>
      </w:r>
      <w:r w:rsidR="002C36D0" w:rsidRPr="0009335F">
        <w:t xml:space="preserve"> vykazují </w:t>
      </w:r>
      <w:r w:rsidR="00E77FC3" w:rsidRPr="0009335F">
        <w:t>Neinvestiční transfery soukromoprávním subjektům</w:t>
      </w:r>
      <w:r w:rsidR="002C36D0" w:rsidRPr="0009335F">
        <w:t xml:space="preserve"> (</w:t>
      </w:r>
      <w:r w:rsidR="006B1A4F" w:rsidRPr="0009335F">
        <w:t xml:space="preserve">seskupení </w:t>
      </w:r>
      <w:r w:rsidR="00E77FC3" w:rsidRPr="0009335F">
        <w:t>52</w:t>
      </w:r>
      <w:r w:rsidR="006B1A4F" w:rsidRPr="0009335F">
        <w:t xml:space="preserve"> - </w:t>
      </w:r>
      <w:r w:rsidR="00E77FC3" w:rsidRPr="0009335F">
        <w:t>nárůst o</w:t>
      </w:r>
      <w:r w:rsidR="001D51B6" w:rsidRPr="0009335F">
        <w:t xml:space="preserve"> </w:t>
      </w:r>
      <w:r w:rsidR="00E77FC3" w:rsidRPr="0009335F">
        <w:t>188,7</w:t>
      </w:r>
      <w:r w:rsidR="002C36D0" w:rsidRPr="0009335F">
        <w:t xml:space="preserve"> mil. Kč </w:t>
      </w:r>
      <w:r w:rsidR="00503978">
        <w:t>–</w:t>
      </w:r>
      <w:r w:rsidR="002C36D0" w:rsidRPr="0009335F">
        <w:t xml:space="preserve"> </w:t>
      </w:r>
      <w:r w:rsidR="00503978">
        <w:t>n</w:t>
      </w:r>
      <w:r w:rsidR="00503978" w:rsidRPr="00503978">
        <w:t>einvest</w:t>
      </w:r>
      <w:r w:rsidR="00503978">
        <w:t xml:space="preserve">iční </w:t>
      </w:r>
      <w:r w:rsidR="00503978" w:rsidRPr="00503978">
        <w:t>transfery nefinančním podnikatelům - právnickým osobám</w:t>
      </w:r>
      <w:r w:rsidR="00817AD0" w:rsidRPr="0009335F">
        <w:t>)</w:t>
      </w:r>
      <w:r w:rsidR="002C36D0" w:rsidRPr="0009335F">
        <w:t xml:space="preserve">, </w:t>
      </w:r>
      <w:r w:rsidR="00E77FC3" w:rsidRPr="0009335F">
        <w:t>Neinvestiční transfery veřejnoprávním subjektům</w:t>
      </w:r>
      <w:r w:rsidR="002C36D0" w:rsidRPr="0009335F">
        <w:t xml:space="preserve"> (</w:t>
      </w:r>
      <w:r w:rsidR="006B1A4F" w:rsidRPr="0009335F">
        <w:t xml:space="preserve">seskupení </w:t>
      </w:r>
      <w:r w:rsidR="00E77FC3" w:rsidRPr="0009335F">
        <w:t>53</w:t>
      </w:r>
      <w:r w:rsidR="006B1A4F" w:rsidRPr="0009335F">
        <w:t xml:space="preserve"> - </w:t>
      </w:r>
      <w:r w:rsidR="00E77FC3" w:rsidRPr="0009335F">
        <w:t>nárůst o</w:t>
      </w:r>
      <w:r w:rsidR="001D51B6" w:rsidRPr="0009335F">
        <w:t xml:space="preserve"> </w:t>
      </w:r>
      <w:r w:rsidR="00E77FC3" w:rsidRPr="0009335F">
        <w:t>124,0</w:t>
      </w:r>
      <w:r w:rsidR="002C36D0" w:rsidRPr="0009335F">
        <w:t xml:space="preserve"> mil. Kč</w:t>
      </w:r>
      <w:r w:rsidR="00503978">
        <w:t xml:space="preserve"> </w:t>
      </w:r>
      <w:r w:rsidR="00503978" w:rsidRPr="0009335F">
        <w:t>- provozní příspěvky příspěvkovým organizacím</w:t>
      </w:r>
      <w:r w:rsidR="002C36D0" w:rsidRPr="0009335F">
        <w:t>)</w:t>
      </w:r>
      <w:r w:rsidR="00817AD0" w:rsidRPr="0009335F">
        <w:t>,</w:t>
      </w:r>
      <w:r w:rsidR="002C36D0" w:rsidRPr="0009335F">
        <w:t xml:space="preserve"> </w:t>
      </w:r>
      <w:r w:rsidR="00E77FC3" w:rsidRPr="0009335F">
        <w:t>Neinvestiční nákupy a související výdaje - nákupy služeb a energií, opravy atd.</w:t>
      </w:r>
      <w:r w:rsidR="002C36D0" w:rsidRPr="0009335F">
        <w:t xml:space="preserve"> (</w:t>
      </w:r>
      <w:r w:rsidR="006B1A4F" w:rsidRPr="0009335F">
        <w:t xml:space="preserve">seskupení </w:t>
      </w:r>
      <w:r w:rsidR="00E77FC3" w:rsidRPr="0009335F">
        <w:t>51</w:t>
      </w:r>
      <w:r w:rsidR="006B1A4F" w:rsidRPr="0009335F">
        <w:t xml:space="preserve"> - </w:t>
      </w:r>
      <w:r w:rsidR="00E77FC3" w:rsidRPr="0009335F">
        <w:t>nárůst o</w:t>
      </w:r>
      <w:r w:rsidR="001D51B6" w:rsidRPr="0009335F">
        <w:t xml:space="preserve"> </w:t>
      </w:r>
      <w:r w:rsidR="00E77FC3" w:rsidRPr="0009335F">
        <w:t>100,6</w:t>
      </w:r>
      <w:r w:rsidR="002C36D0" w:rsidRPr="0009335F">
        <w:t xml:space="preserve"> mil. Kč</w:t>
      </w:r>
      <w:r w:rsidR="00817AD0" w:rsidRPr="0009335F">
        <w:t xml:space="preserve">), </w:t>
      </w:r>
      <w:r w:rsidR="00E77FC3" w:rsidRPr="0009335F">
        <w:t>Platy a související výdaje</w:t>
      </w:r>
      <w:r w:rsidR="002C36D0" w:rsidRPr="0009335F">
        <w:t xml:space="preserve"> </w:t>
      </w:r>
      <w:r w:rsidR="003345E2" w:rsidRPr="0009335F">
        <w:t>(</w:t>
      </w:r>
      <w:r w:rsidR="006B1A4F" w:rsidRPr="0009335F">
        <w:t xml:space="preserve">seskupení </w:t>
      </w:r>
      <w:r w:rsidR="00E77FC3" w:rsidRPr="0009335F">
        <w:t>50</w:t>
      </w:r>
      <w:r w:rsidR="006B1A4F" w:rsidRPr="0009335F">
        <w:t xml:space="preserve"> - </w:t>
      </w:r>
      <w:r w:rsidR="00E77FC3" w:rsidRPr="0009335F">
        <w:t>nárůst o</w:t>
      </w:r>
      <w:r w:rsidR="003345E2" w:rsidRPr="0009335F">
        <w:t xml:space="preserve"> </w:t>
      </w:r>
      <w:r w:rsidR="00E77FC3" w:rsidRPr="0009335F">
        <w:t>45,9</w:t>
      </w:r>
      <w:r w:rsidR="008904DB" w:rsidRPr="0009335F">
        <w:t xml:space="preserve"> mil.</w:t>
      </w:r>
      <w:r w:rsidR="003F74B1" w:rsidRPr="0009335F">
        <w:t xml:space="preserve"> Kč</w:t>
      </w:r>
      <w:r w:rsidR="0009335F" w:rsidRPr="0009335F">
        <w:t xml:space="preserve"> - způsobené zejména legislativními změnami v této oblasti</w:t>
      </w:r>
      <w:r w:rsidR="002C36D0" w:rsidRPr="0009335F">
        <w:t>)</w:t>
      </w:r>
      <w:r w:rsidR="00817AD0" w:rsidRPr="0009335F">
        <w:t xml:space="preserve"> a </w:t>
      </w:r>
      <w:r w:rsidR="00E77FC3" w:rsidRPr="0009335F">
        <w:t>Ostatní neinvestiční výdaje</w:t>
      </w:r>
      <w:r w:rsidR="002C36D0" w:rsidRPr="0009335F">
        <w:t xml:space="preserve"> (</w:t>
      </w:r>
      <w:r w:rsidR="006B1A4F" w:rsidRPr="0009335F">
        <w:t xml:space="preserve">seskupení </w:t>
      </w:r>
      <w:r w:rsidR="00E77FC3" w:rsidRPr="0009335F">
        <w:t>54</w:t>
      </w:r>
      <w:r w:rsidR="006B1A4F" w:rsidRPr="0009335F">
        <w:t xml:space="preserve"> - </w:t>
      </w:r>
      <w:r w:rsidR="00E77FC3" w:rsidRPr="0009335F">
        <w:t>nárůst o</w:t>
      </w:r>
      <w:r w:rsidR="003345E2" w:rsidRPr="0009335F">
        <w:t xml:space="preserve"> </w:t>
      </w:r>
      <w:r w:rsidR="00E77FC3" w:rsidRPr="0009335F">
        <w:t>2,6</w:t>
      </w:r>
      <w:r w:rsidR="003345E2" w:rsidRPr="0009335F">
        <w:t xml:space="preserve"> </w:t>
      </w:r>
      <w:r w:rsidR="002C36D0" w:rsidRPr="0009335F">
        <w:t>mil. Kč).</w:t>
      </w:r>
    </w:p>
    <w:bookmarkStart w:id="32" w:name="_Toc428351152"/>
    <w:bookmarkStart w:id="33" w:name="_Toc428357447"/>
    <w:bookmarkStart w:id="34" w:name="_Toc55981683"/>
    <w:bookmarkStart w:id="35" w:name="_Toc180650285"/>
    <w:p w14:paraId="2B1C49E1" w14:textId="77777777" w:rsidR="002C36D0" w:rsidRPr="007F7EE4" w:rsidRDefault="00977E0F" w:rsidP="007F7EE4">
      <w:pPr>
        <w:pStyle w:val="Graf0"/>
      </w:pPr>
      <w:r w:rsidRPr="001B58F3">
        <w:rPr>
          <w:rFonts w:ascii="Verdana" w:hAnsi="Verdana"/>
          <w:noProof/>
          <w:sz w:val="19"/>
          <w:highlight w:val="cyan"/>
          <w:lang w:eastAsia="cs-CZ"/>
        </w:rPr>
        <mc:AlternateContent>
          <mc:Choice Requires="wps">
            <w:drawing>
              <wp:anchor distT="0" distB="0" distL="114300" distR="114300" simplePos="0" relativeHeight="251650560" behindDoc="0" locked="0" layoutInCell="1" allowOverlap="1" wp14:anchorId="7E6F8B8F" wp14:editId="686F4399">
                <wp:simplePos x="0" y="0"/>
                <wp:positionH relativeFrom="page">
                  <wp:posOffset>540385</wp:posOffset>
                </wp:positionH>
                <wp:positionV relativeFrom="paragraph">
                  <wp:posOffset>-71755</wp:posOffset>
                </wp:positionV>
                <wp:extent cx="1404000" cy="1594800"/>
                <wp:effectExtent l="0" t="0" r="5715" b="5715"/>
                <wp:wrapNone/>
                <wp:docPr id="711"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159480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44F52B82" w14:textId="2B0EDD36" w:rsidR="0031735E" w:rsidRPr="00370D4F" w:rsidRDefault="0031735E" w:rsidP="00977E0F">
                            <w:pPr>
                              <w:jc w:val="left"/>
                              <w:rPr>
                                <w:rStyle w:val="Odkaznakoment"/>
                                <w:rFonts w:cstheme="minorHAnsi"/>
                                <w:i/>
                                <w:sz w:val="20"/>
                                <w:szCs w:val="20"/>
                              </w:rPr>
                            </w:pPr>
                            <w:r>
                              <w:rPr>
                                <w:rStyle w:val="Odkaznakoment"/>
                                <w:rFonts w:cstheme="minorHAnsi"/>
                                <w:i/>
                                <w:sz w:val="20"/>
                                <w:szCs w:val="20"/>
                              </w:rPr>
                              <w:t xml:space="preserve">Nejvíce provozních výdajů směřovalo do Služeb pro obyvatelstvo – </w:t>
                            </w:r>
                            <w:r w:rsidR="00E77FC3" w:rsidRPr="00E77FC3">
                              <w:rPr>
                                <w:i/>
                                <w:sz w:val="20"/>
                                <w:szCs w:val="20"/>
                              </w:rPr>
                              <w:t xml:space="preserve">46,5 </w:t>
                            </w:r>
                            <w:r w:rsidR="00E77FC3">
                              <w:t>%</w:t>
                            </w:r>
                            <w:r w:rsidRPr="0044430E">
                              <w:rPr>
                                <w:rStyle w:val="Odkaznakoment"/>
                                <w:rFonts w:cstheme="minorHAnsi"/>
                                <w:i/>
                                <w:sz w:val="20"/>
                                <w:szCs w:val="20"/>
                              </w:rPr>
                              <w:t xml:space="preserve"> (školství</w:t>
                            </w:r>
                            <w:r>
                              <w:rPr>
                                <w:rStyle w:val="Odkaznakoment"/>
                                <w:rFonts w:cstheme="minorHAnsi"/>
                                <w:i/>
                                <w:sz w:val="20"/>
                                <w:szCs w:val="20"/>
                              </w:rPr>
                              <w:t xml:space="preserve">, kultura, sport, veřejná </w:t>
                            </w:r>
                            <w:r w:rsidRPr="0009335F">
                              <w:rPr>
                                <w:rStyle w:val="Odkaznakoment"/>
                                <w:rFonts w:cstheme="minorHAnsi"/>
                                <w:i/>
                                <w:sz w:val="20"/>
                                <w:szCs w:val="20"/>
                              </w:rPr>
                              <w:t xml:space="preserve">zeleň) a do Všeobecné veřejné správy </w:t>
                            </w:r>
                            <w:r w:rsidR="00E77FC3" w:rsidRPr="0009335F">
                              <w:rPr>
                                <w:i/>
                                <w:sz w:val="20"/>
                                <w:szCs w:val="20"/>
                              </w:rPr>
                              <w:t>26,7 %</w:t>
                            </w:r>
                            <w:r w:rsidRPr="0009335F">
                              <w:rPr>
                                <w:rStyle w:val="Odkaznakoment"/>
                                <w:rFonts w:cstheme="minorHAnsi"/>
                                <w:i/>
                                <w:sz w:val="20"/>
                                <w:szCs w:val="20"/>
                              </w:rPr>
                              <w:t xml:space="preserve"> (provoz a správa města).</w:t>
                            </w:r>
                          </w:p>
                          <w:p w14:paraId="0C92F26C" w14:textId="77777777" w:rsidR="0031735E" w:rsidRPr="001B58F3" w:rsidRDefault="0031735E" w:rsidP="00E03088">
                            <w:pPr>
                              <w:spacing w:after="0"/>
                              <w:jc w:val="left"/>
                              <w:rPr>
                                <w:rFonts w:cstheme="minorHAnsi"/>
                                <w:i/>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7E6F8B8F" id="_x0000_s1040" type="#_x0000_t202" style="position:absolute;left:0;text-align:left;margin-left:42.55pt;margin-top:-5.65pt;width:110.55pt;height:125.55pt;z-index:2516505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" fillcolor="white [3201]" stroked="f" strokeweight=".5pt">
                <v:path arrowok="t"/>
                <v:textbox inset="0,0,0,0">
                  <w:txbxContent>
                    <w:p w14:paraId="44F52B82" w14:textId="2B0EDD36" w:rsidR="0031735E" w:rsidRPr="00370D4F" w:rsidRDefault="0031735E" w:rsidP="00977E0F">
                      <w:pPr>
                        <w:jc w:val="left"/>
                        <w:rPr>
                          <w:rStyle w:val="Odkaznakoment"/>
                          <w:rFonts w:cstheme="minorHAnsi"/>
                          <w:i/>
                          <w:sz w:val="20"/>
                          <w:szCs w:val="20"/>
                        </w:rPr>
                      </w:pPr>
                      <w:r>
                        <w:rPr>
                          <w:rStyle w:val="Odkaznakoment"/>
                          <w:rFonts w:cstheme="minorHAnsi"/>
                          <w:i/>
                          <w:sz w:val="20"/>
                          <w:szCs w:val="20"/>
                        </w:rPr>
                        <w:t xml:space="preserve">Nejvíce provozních výdajů směřovalo do Služeb pro obyvatelstvo – </w:t>
                      </w:r>
                      <w:r w:rsidR="00E77FC3" w:rsidRPr="00E77FC3">
                        <w:rPr>
                          <w:i/>
                          <w:sz w:val="20"/>
                          <w:szCs w:val="20"/>
                        </w:rPr>
                        <w:t xml:space="preserve">46,5 </w:t>
                      </w:r>
                      <w:r w:rsidR="00E77FC3">
                        <w:t>%</w:t>
                      </w:r>
                      <w:r w:rsidRPr="0044430E">
                        <w:rPr>
                          <w:rStyle w:val="Odkaznakoment"/>
                          <w:rFonts w:cstheme="minorHAnsi"/>
                          <w:i/>
                          <w:sz w:val="20"/>
                          <w:szCs w:val="20"/>
                        </w:rPr>
                        <w:t xml:space="preserve"> (školství</w:t>
                      </w:r>
                      <w:r>
                        <w:rPr>
                          <w:rStyle w:val="Odkaznakoment"/>
                          <w:rFonts w:cstheme="minorHAnsi"/>
                          <w:i/>
                          <w:sz w:val="20"/>
                          <w:szCs w:val="20"/>
                        </w:rPr>
                        <w:t xml:space="preserve">, kultura, sport, veřejná </w:t>
                      </w:r>
                      <w:r w:rsidRPr="0009335F">
                        <w:rPr>
                          <w:rStyle w:val="Odkaznakoment"/>
                          <w:rFonts w:cstheme="minorHAnsi"/>
                          <w:i/>
                          <w:sz w:val="20"/>
                          <w:szCs w:val="20"/>
                        </w:rPr>
                        <w:t xml:space="preserve">zeleň) a do Všeobecné veřejné správy </w:t>
                      </w:r>
                      <w:r w:rsidR="00E77FC3" w:rsidRPr="0009335F">
                        <w:rPr>
                          <w:i/>
                          <w:sz w:val="20"/>
                          <w:szCs w:val="20"/>
                        </w:rPr>
                        <w:t>26,7 %</w:t>
                      </w:r>
                      <w:r w:rsidRPr="0009335F">
                        <w:rPr>
                          <w:rStyle w:val="Odkaznakoment"/>
                          <w:rFonts w:cstheme="minorHAnsi"/>
                          <w:i/>
                          <w:sz w:val="20"/>
                          <w:szCs w:val="20"/>
                        </w:rPr>
                        <w:t xml:space="preserve"> (provoz a správa města).</w:t>
                      </w:r>
                    </w:p>
                    <w:p w14:paraId="0C92F26C" w14:textId="77777777" w:rsidR="0031735E" w:rsidRPr="001B58F3" w:rsidRDefault="0031735E" w:rsidP="00E03088">
                      <w:pPr>
                        <w:spacing w:after="0"/>
                        <w:jc w:val="left"/>
                        <w:rPr>
                          <w:rFonts w:cstheme="minorHAnsi"/>
                          <w:i/>
                          <w:sz w:val="20"/>
                          <w:szCs w:val="20"/>
                        </w:rPr>
                      </w:pPr>
                    </w:p>
                  </w:txbxContent>
                </v:textbox>
                <w10:wrap anchorx="page"/>
              </v:shape>
            </w:pict>
          </mc:Fallback>
        </mc:AlternateContent>
      </w:r>
      <w:r w:rsidR="002C36D0" w:rsidRPr="007F7EE4">
        <w:t xml:space="preserve">Vývoj </w:t>
      </w:r>
      <w:bookmarkEnd w:id="32"/>
      <w:bookmarkEnd w:id="33"/>
      <w:bookmarkEnd w:id="34"/>
      <w:r w:rsidR="002C36D0" w:rsidRPr="007F7EE4">
        <w:t>běžných výdajů</w:t>
      </w:r>
      <w:bookmarkEnd w:id="35"/>
    </w:p>
    <w:p w14:paraId="774AF6E1" w14:textId="1AE8B4EE" w:rsidR="00C73401" w:rsidRDefault="002259E5" w:rsidP="002C36D0">
      <w:pPr>
        <w:pStyle w:val="Objekt"/>
      </w:pPr>
      <w:r w:rsidRPr="002259E5">
        <w:rPr>
          <w:noProof/>
        </w:rPr>
        <w:drawing>
          <wp:inline distT="0" distB="0" distL="0" distR="0" wp14:anchorId="2A0FA823" wp14:editId="6944DC4A">
            <wp:extent cx="4860925" cy="1558925"/>
            <wp:effectExtent l="0" t="0" r="0" b="0"/>
            <wp:docPr id="1080285994" name="Obráze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60925" cy="1558925"/>
                    </a:xfrm>
                    <a:prstGeom prst="rect">
                      <a:avLst/>
                    </a:prstGeom>
                    <a:noFill/>
                    <a:ln>
                      <a:noFill/>
                    </a:ln>
                  </pic:spPr>
                </pic:pic>
              </a:graphicData>
            </a:graphic>
          </wp:inline>
        </w:drawing>
      </w:r>
    </w:p>
    <w:p w14:paraId="11EE1425" w14:textId="380AF4ED" w:rsidR="00C73401" w:rsidRPr="00E36B5A" w:rsidRDefault="002F67A4" w:rsidP="00C73401">
      <w:r w:rsidRPr="002F67A4">
        <w:t xml:space="preserve">V průměru za analyzované období největší objem zaznamenáváme </w:t>
      </w:r>
      <w:r>
        <w:t xml:space="preserve">u </w:t>
      </w:r>
      <w:r w:rsidR="00C73401" w:rsidRPr="00F2719A">
        <w:t xml:space="preserve">položek </w:t>
      </w:r>
      <w:r w:rsidR="00E77FC3">
        <w:t>Neinvestiční příspěvky zřízeným příspěvkovým organizacím</w:t>
      </w:r>
      <w:r w:rsidR="00F2719A" w:rsidRPr="00F2719A">
        <w:t xml:space="preserve"> </w:t>
      </w:r>
      <w:r w:rsidR="00C73401" w:rsidRPr="00F2719A">
        <w:t>(</w:t>
      </w:r>
      <w:r w:rsidR="00E77FC3">
        <w:t>323,7</w:t>
      </w:r>
      <w:r w:rsidR="00C73401" w:rsidRPr="00F2719A">
        <w:t xml:space="preserve"> mil. Kč), </w:t>
      </w:r>
      <w:r w:rsidR="00E77FC3">
        <w:t>Platy zaměstnanců v pracovním poměru vyjma služebních míst</w:t>
      </w:r>
      <w:r w:rsidR="00C73401" w:rsidRPr="00F2719A">
        <w:t xml:space="preserve"> (</w:t>
      </w:r>
      <w:r w:rsidR="00E77FC3">
        <w:t>166,0</w:t>
      </w:r>
      <w:r w:rsidR="00C73401" w:rsidRPr="00F2719A">
        <w:t xml:space="preserve"> mil. Kč), </w:t>
      </w:r>
      <w:r w:rsidR="00E77FC3">
        <w:t>Neinvest</w:t>
      </w:r>
      <w:r w:rsidR="0009335F">
        <w:t xml:space="preserve">iční </w:t>
      </w:r>
      <w:r w:rsidR="00E77FC3">
        <w:t xml:space="preserve">transfery nefinančním </w:t>
      </w:r>
      <w:proofErr w:type="gramStart"/>
      <w:r w:rsidR="00E77FC3">
        <w:t>podnikatelům - právnickým</w:t>
      </w:r>
      <w:proofErr w:type="gramEnd"/>
      <w:r w:rsidR="00E77FC3">
        <w:t xml:space="preserve"> osobám</w:t>
      </w:r>
      <w:r w:rsidR="00C73401" w:rsidRPr="00F2719A">
        <w:t xml:space="preserve"> (</w:t>
      </w:r>
      <w:r w:rsidR="00E77FC3">
        <w:t>124,6</w:t>
      </w:r>
      <w:r w:rsidR="00F2719A" w:rsidRPr="00F2719A">
        <w:t xml:space="preserve"> </w:t>
      </w:r>
      <w:r w:rsidR="00C73401" w:rsidRPr="00F2719A">
        <w:t xml:space="preserve">mil. Kč), </w:t>
      </w:r>
      <w:r w:rsidR="00E77FC3">
        <w:t>Neinvestiční transfery zřízeným příspěvkovým organizacím</w:t>
      </w:r>
      <w:r w:rsidR="00C73401" w:rsidRPr="00F2719A">
        <w:t xml:space="preserve"> (</w:t>
      </w:r>
      <w:r w:rsidR="00E77FC3">
        <w:t>81,7</w:t>
      </w:r>
      <w:r w:rsidR="00F2719A" w:rsidRPr="00F2719A">
        <w:t xml:space="preserve"> </w:t>
      </w:r>
      <w:r w:rsidR="00C73401" w:rsidRPr="00F2719A">
        <w:t xml:space="preserve">mil. Kč) a </w:t>
      </w:r>
      <w:r w:rsidR="00E77FC3">
        <w:t>Neinvestiční transfery krajům</w:t>
      </w:r>
      <w:r w:rsidR="00F2719A" w:rsidRPr="00F2719A">
        <w:t xml:space="preserve"> </w:t>
      </w:r>
      <w:r w:rsidR="00C73401" w:rsidRPr="00F2719A">
        <w:t>(</w:t>
      </w:r>
      <w:r w:rsidR="00E77FC3">
        <w:t>53,9</w:t>
      </w:r>
      <w:r w:rsidR="00F2719A" w:rsidRPr="00F2719A">
        <w:t xml:space="preserve"> </w:t>
      </w:r>
      <w:r w:rsidR="00C73401" w:rsidRPr="00F2719A">
        <w:t>mil. Kč).</w:t>
      </w:r>
    </w:p>
    <w:p w14:paraId="75879366" w14:textId="77777777" w:rsidR="002C36D0" w:rsidRPr="007F7EE4" w:rsidRDefault="002C36D0" w:rsidP="007F7EE4">
      <w:pPr>
        <w:pStyle w:val="Graf0"/>
      </w:pPr>
      <w:bookmarkStart w:id="36" w:name="_Toc180650286"/>
      <w:r w:rsidRPr="007F7EE4">
        <w:lastRenderedPageBreak/>
        <w:t>Vývoj nejvýznamnějších výdajových položek</w:t>
      </w:r>
      <w:bookmarkEnd w:id="36"/>
    </w:p>
    <w:p w14:paraId="6D2EA697" w14:textId="6906152C" w:rsidR="002C36D0" w:rsidRPr="007F609C" w:rsidRDefault="002259E5" w:rsidP="002C36D0">
      <w:pPr>
        <w:pStyle w:val="Objekt"/>
        <w:rPr>
          <w:noProof/>
          <w:lang w:eastAsia="cs-CZ"/>
        </w:rPr>
      </w:pPr>
      <w:r w:rsidRPr="002259E5">
        <w:rPr>
          <w:noProof/>
          <w:lang w:eastAsia="cs-CZ"/>
        </w:rPr>
        <w:drawing>
          <wp:inline distT="0" distB="0" distL="0" distR="0" wp14:anchorId="0007EA3D" wp14:editId="6A03963C">
            <wp:extent cx="4860925" cy="2009775"/>
            <wp:effectExtent l="0" t="0" r="0" b="0"/>
            <wp:docPr id="287885482" name="Obráze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860925" cy="2009775"/>
                    </a:xfrm>
                    <a:prstGeom prst="rect">
                      <a:avLst/>
                    </a:prstGeom>
                    <a:noFill/>
                    <a:ln>
                      <a:noFill/>
                    </a:ln>
                  </pic:spPr>
                </pic:pic>
              </a:graphicData>
            </a:graphic>
          </wp:inline>
        </w:drawing>
      </w:r>
    </w:p>
    <w:p w14:paraId="31B9D67C" w14:textId="02945FA8" w:rsidR="002C36D0" w:rsidRPr="00E36B5A" w:rsidRDefault="00366D95" w:rsidP="002C36D0">
      <w:r w:rsidRPr="00366D95">
        <w:t>V rámci výdajových položek patří mezi odvětvově nejrozmanitější položky</w:t>
      </w:r>
      <w:r w:rsidRPr="00366D95">
        <w:rPr>
          <w:i/>
        </w:rPr>
        <w:t xml:space="preserve"> </w:t>
      </w:r>
      <w:r w:rsidRPr="00366D95">
        <w:t xml:space="preserve">ostatní služby a opravy. </w:t>
      </w:r>
      <w:r w:rsidR="002C36D0" w:rsidRPr="00366D95">
        <w:t>U ostatních služeb je objem dán zejména výdaji na</w:t>
      </w:r>
      <w:r w:rsidR="00FD52E0">
        <w:t xml:space="preserve"> paragrafu</w:t>
      </w:r>
      <w:r w:rsidR="002C36D0" w:rsidRPr="00366D95">
        <w:t xml:space="preserve"> </w:t>
      </w:r>
      <w:r w:rsidR="00E77FC3">
        <w:t>Činnost místní správy</w:t>
      </w:r>
      <w:r w:rsidR="002C36D0" w:rsidRPr="00F817D2">
        <w:t xml:space="preserve"> (v průměru </w:t>
      </w:r>
      <w:r w:rsidR="00E77FC3">
        <w:t>17,2</w:t>
      </w:r>
      <w:r w:rsidR="002C36D0" w:rsidRPr="00F817D2">
        <w:t xml:space="preserve"> mil. Kč), </w:t>
      </w:r>
      <w:r w:rsidR="00E77FC3">
        <w:t>Ostatní záležitosti kultury</w:t>
      </w:r>
      <w:r w:rsidR="002C36D0" w:rsidRPr="00F817D2">
        <w:t xml:space="preserve"> (</w:t>
      </w:r>
      <w:r w:rsidR="00F817D2" w:rsidRPr="00F817D2">
        <w:t xml:space="preserve">v průměru </w:t>
      </w:r>
      <w:r w:rsidR="00E77FC3">
        <w:t>7,2</w:t>
      </w:r>
      <w:r w:rsidR="002C36D0" w:rsidRPr="00F817D2">
        <w:t xml:space="preserve"> mil. Kč) a </w:t>
      </w:r>
      <w:r w:rsidR="00E77FC3">
        <w:t>Komunální služby a územní rozvoj jinde nezařazené</w:t>
      </w:r>
      <w:r w:rsidR="002C36D0" w:rsidRPr="00F817D2">
        <w:t xml:space="preserve"> (</w:t>
      </w:r>
      <w:r w:rsidR="00F817D2" w:rsidRPr="00F817D2">
        <w:t xml:space="preserve">v průměru </w:t>
      </w:r>
      <w:r w:rsidR="00E77FC3">
        <w:t>6</w:t>
      </w:r>
      <w:r w:rsidR="00E77FC3" w:rsidRPr="0009335F">
        <w:t>,2</w:t>
      </w:r>
      <w:r w:rsidR="00F817D2" w:rsidRPr="0009335F">
        <w:t xml:space="preserve"> </w:t>
      </w:r>
      <w:r w:rsidR="002C36D0" w:rsidRPr="0009335F">
        <w:t xml:space="preserve">mil. Kč). U oprav </w:t>
      </w:r>
      <w:r w:rsidR="00F817D2" w:rsidRPr="0009335F">
        <w:t xml:space="preserve">a udržování </w:t>
      </w:r>
      <w:r w:rsidR="002C36D0" w:rsidRPr="0009335F">
        <w:t xml:space="preserve">směřovaly finanční prostředky </w:t>
      </w:r>
      <w:r w:rsidR="00F817D2" w:rsidRPr="0009335F">
        <w:t xml:space="preserve">zejména </w:t>
      </w:r>
      <w:r w:rsidR="002C36D0" w:rsidRPr="0009335F">
        <w:rPr>
          <w:rFonts w:cstheme="minorHAnsi"/>
        </w:rPr>
        <w:t>do</w:t>
      </w:r>
      <w:r w:rsidR="00FB1474" w:rsidRPr="0009335F">
        <w:rPr>
          <w:rFonts w:cstheme="minorHAnsi"/>
        </w:rPr>
        <w:t xml:space="preserve"> paragrafu</w:t>
      </w:r>
      <w:r w:rsidR="002C36D0" w:rsidRPr="0009335F">
        <w:rPr>
          <w:rFonts w:cstheme="minorHAnsi"/>
        </w:rPr>
        <w:t xml:space="preserve"> </w:t>
      </w:r>
      <w:r w:rsidR="00E77FC3" w:rsidRPr="0009335F">
        <w:t>Silnice</w:t>
      </w:r>
      <w:r w:rsidR="002C36D0" w:rsidRPr="00FB1474">
        <w:t xml:space="preserve"> </w:t>
      </w:r>
      <w:r w:rsidR="00F817D2" w:rsidRPr="00FB1474">
        <w:t>(</w:t>
      </w:r>
      <w:r w:rsidR="00F817D2" w:rsidRPr="00FB1474">
        <w:rPr>
          <w:rFonts w:cstheme="minorHAnsi"/>
        </w:rPr>
        <w:t>v</w:t>
      </w:r>
      <w:r w:rsidR="00F817D2" w:rsidRPr="00F817D2">
        <w:t xml:space="preserve"> průměru </w:t>
      </w:r>
      <w:r w:rsidR="00E77FC3">
        <w:t>12,4</w:t>
      </w:r>
      <w:r w:rsidR="00F817D2" w:rsidRPr="00F817D2">
        <w:t xml:space="preserve"> mil. Kč),</w:t>
      </w:r>
      <w:r w:rsidR="002C36D0" w:rsidRPr="00F817D2">
        <w:t xml:space="preserve"> </w:t>
      </w:r>
      <w:r w:rsidR="00E77FC3">
        <w:t>Základní školy</w:t>
      </w:r>
      <w:r w:rsidR="00F817D2" w:rsidRPr="00F817D2">
        <w:t xml:space="preserve"> (v průměru </w:t>
      </w:r>
      <w:r w:rsidR="00E77FC3">
        <w:t>10,2</w:t>
      </w:r>
      <w:r w:rsidR="00F817D2" w:rsidRPr="00F817D2">
        <w:t xml:space="preserve"> mil. Kč) a </w:t>
      </w:r>
      <w:r w:rsidR="00E77FC3">
        <w:t>Nebytové hospodářství</w:t>
      </w:r>
      <w:r w:rsidR="00F817D2" w:rsidRPr="00F817D2">
        <w:t xml:space="preserve"> (v průměru </w:t>
      </w:r>
      <w:r w:rsidR="00E77FC3">
        <w:t>5,3</w:t>
      </w:r>
      <w:r w:rsidR="00F817D2" w:rsidRPr="00F817D2">
        <w:t xml:space="preserve"> mil. Kč).</w:t>
      </w:r>
    </w:p>
    <w:p w14:paraId="41660E9D" w14:textId="77777777" w:rsidR="002C36D0" w:rsidRPr="004D0FAA" w:rsidRDefault="002C36D0" w:rsidP="004D0FAA">
      <w:pPr>
        <w:pStyle w:val="Nadpis3"/>
      </w:pPr>
      <w:r w:rsidRPr="004D0FAA">
        <w:t>Kapitálové výdaje</w:t>
      </w:r>
    </w:p>
    <w:p w14:paraId="034B8663" w14:textId="12BA58D5" w:rsidR="002C36D0" w:rsidRPr="007106B0" w:rsidRDefault="006B1A4F" w:rsidP="002C36D0">
      <w:r w:rsidRPr="001E07A4">
        <w:t xml:space="preserve">Investiční aktivita města má </w:t>
      </w:r>
      <w:r w:rsidR="001E07A4" w:rsidRPr="001E07A4">
        <w:t>parabolický</w:t>
      </w:r>
      <w:r w:rsidRPr="001E07A4">
        <w:t xml:space="preserve"> vývoj s </w:t>
      </w:r>
      <w:r w:rsidR="001E07A4" w:rsidRPr="001E07A4">
        <w:t>minimem</w:t>
      </w:r>
      <w:r w:rsidRPr="001E07A4">
        <w:t xml:space="preserve"> v roce </w:t>
      </w:r>
      <w:r w:rsidR="00E77FC3" w:rsidRPr="001E07A4">
        <w:t>202</w:t>
      </w:r>
      <w:r w:rsidR="001E07A4" w:rsidRPr="001E07A4">
        <w:t>1</w:t>
      </w:r>
      <w:r w:rsidRPr="001E07A4">
        <w:t xml:space="preserve">. </w:t>
      </w:r>
      <w:r w:rsidR="002C36D0" w:rsidRPr="001E07A4">
        <w:t xml:space="preserve">V roce </w:t>
      </w:r>
      <w:r w:rsidR="00E77FC3" w:rsidRPr="001E07A4">
        <w:t>2023</w:t>
      </w:r>
      <w:r w:rsidR="002C36D0" w:rsidRPr="001E07A4">
        <w:t xml:space="preserve"> </w:t>
      </w:r>
      <w:r w:rsidR="001A700E" w:rsidRPr="001E07A4">
        <w:t>město</w:t>
      </w:r>
      <w:r w:rsidR="002C36D0" w:rsidRPr="001E07A4">
        <w:t xml:space="preserve"> </w:t>
      </w:r>
      <w:r w:rsidR="001E07A4" w:rsidRPr="001E07A4">
        <w:t xml:space="preserve">naopak </w:t>
      </w:r>
      <w:r w:rsidR="002C36D0" w:rsidRPr="001E07A4">
        <w:t xml:space="preserve">proinvestovalo nejvyšší částku </w:t>
      </w:r>
      <w:r w:rsidR="005F20AA" w:rsidRPr="001E07A4">
        <w:t>(</w:t>
      </w:r>
      <w:r w:rsidR="00E77FC3" w:rsidRPr="001E07A4">
        <w:t>373,1</w:t>
      </w:r>
      <w:r w:rsidR="002C36D0" w:rsidRPr="001E07A4">
        <w:t xml:space="preserve"> mil. Kč</w:t>
      </w:r>
      <w:r w:rsidR="005F20AA" w:rsidRPr="001E07A4">
        <w:t>)</w:t>
      </w:r>
      <w:r w:rsidR="002C36D0" w:rsidRPr="001E07A4">
        <w:t>. Město využívá dotací, které ve</w:t>
      </w:r>
      <w:r w:rsidR="002C36D0" w:rsidRPr="00593F3A">
        <w:t xml:space="preserve"> sledovaném období po</w:t>
      </w:r>
      <w:r w:rsidR="005F20AA" w:rsidRPr="00593F3A">
        <w:t>kryly</w:t>
      </w:r>
      <w:r w:rsidR="002C36D0" w:rsidRPr="00593F3A">
        <w:t xml:space="preserve"> v rozmezí od </w:t>
      </w:r>
      <w:r w:rsidR="00E77FC3">
        <w:t>3,1 %</w:t>
      </w:r>
      <w:r w:rsidR="002C36D0" w:rsidRPr="00593F3A">
        <w:t xml:space="preserve"> (</w:t>
      </w:r>
      <w:r w:rsidR="00E77FC3">
        <w:t>2022</w:t>
      </w:r>
      <w:r w:rsidR="002C36D0" w:rsidRPr="00593F3A">
        <w:t xml:space="preserve">) do </w:t>
      </w:r>
      <w:r w:rsidR="00E77FC3">
        <w:t>36,2 %</w:t>
      </w:r>
      <w:r w:rsidR="002C36D0" w:rsidRPr="00593F3A">
        <w:t xml:space="preserve"> (</w:t>
      </w:r>
      <w:r w:rsidR="00E77FC3">
        <w:t>2019</w:t>
      </w:r>
      <w:r w:rsidR="002C36D0" w:rsidRPr="00593F3A">
        <w:t>)</w:t>
      </w:r>
      <w:r w:rsidR="005F20AA" w:rsidRPr="00593F3A">
        <w:t xml:space="preserve"> kapitálových výdajů</w:t>
      </w:r>
      <w:r w:rsidR="002C36D0" w:rsidRPr="00593F3A">
        <w:t xml:space="preserve">. Z této skutečnosti plyne, že se město snaží využívat vyhlašované dotační </w:t>
      </w:r>
      <w:r w:rsidR="002C36D0" w:rsidRPr="00503978">
        <w:t xml:space="preserve">tituly, lze konstatovat, že tato aktivita patří mezi jeho </w:t>
      </w:r>
      <w:r w:rsidR="002C5171" w:rsidRPr="00503978">
        <w:t>silnější</w:t>
      </w:r>
      <w:r w:rsidR="002C36D0" w:rsidRPr="00503978">
        <w:t xml:space="preserve"> stránky.</w:t>
      </w:r>
    </w:p>
    <w:bookmarkStart w:id="37" w:name="_Toc180650287"/>
    <w:p w14:paraId="036F4648" w14:textId="77777777" w:rsidR="002C36D0" w:rsidRPr="007F7EE4" w:rsidRDefault="007B7014" w:rsidP="007F7EE4">
      <w:pPr>
        <w:pStyle w:val="Graf0"/>
      </w:pPr>
      <w:r w:rsidRPr="007F7EE4">
        <w:rPr>
          <w:noProof/>
          <w:lang w:eastAsia="cs-CZ"/>
        </w:rPr>
        <mc:AlternateContent>
          <mc:Choice Requires="wps">
            <w:drawing>
              <wp:anchor distT="0" distB="0" distL="114300" distR="114300" simplePos="0" relativeHeight="251656192" behindDoc="0" locked="0" layoutInCell="1" allowOverlap="1" wp14:anchorId="7A5D523B" wp14:editId="79529F83">
                <wp:simplePos x="0" y="0"/>
                <wp:positionH relativeFrom="page">
                  <wp:posOffset>540385</wp:posOffset>
                </wp:positionH>
                <wp:positionV relativeFrom="paragraph">
                  <wp:posOffset>-107950</wp:posOffset>
                </wp:positionV>
                <wp:extent cx="1486800" cy="705600"/>
                <wp:effectExtent l="0" t="0" r="0" b="0"/>
                <wp:wrapNone/>
                <wp:docPr id="35" name="Textové pole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86800" cy="70560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2708A1A1" w14:textId="77777777" w:rsidR="0031735E" w:rsidRDefault="0031735E" w:rsidP="007B7014">
                            <w:pPr>
                              <w:spacing w:after="0"/>
                              <w:jc w:val="left"/>
                              <w:rPr>
                                <w:rStyle w:val="Odkaznakoment"/>
                                <w:rFonts w:cstheme="minorHAnsi"/>
                                <w:i/>
                                <w:sz w:val="20"/>
                                <w:szCs w:val="20"/>
                              </w:rPr>
                            </w:pPr>
                            <w:r>
                              <w:rPr>
                                <w:rStyle w:val="Odkaznakoment"/>
                                <w:rFonts w:cstheme="minorHAnsi"/>
                                <w:i/>
                                <w:sz w:val="20"/>
                                <w:szCs w:val="20"/>
                              </w:rPr>
                              <w:t>Investiční transfery pokryly kapitálové výdaje z </w:t>
                            </w:r>
                          </w:p>
                          <w:p w14:paraId="112D638D" w14:textId="71F5AD54" w:rsidR="0031735E" w:rsidRPr="00741CB5" w:rsidRDefault="00E77FC3" w:rsidP="007B7014">
                            <w:pPr>
                              <w:spacing w:before="0" w:after="0"/>
                              <w:jc w:val="left"/>
                              <w:rPr>
                                <w:b/>
                                <w:i/>
                                <w:color w:val="548DD4" w:themeColor="text2" w:themeTint="99"/>
                                <w:sz w:val="28"/>
                                <w:szCs w:val="28"/>
                              </w:rPr>
                            </w:pPr>
                            <w:r w:rsidRPr="00E77FC3">
                              <w:rPr>
                                <w:b/>
                                <w:i/>
                                <w:color w:val="548DD4" w:themeColor="text2" w:themeTint="99"/>
                                <w:sz w:val="28"/>
                                <w:szCs w:val="28"/>
                              </w:rPr>
                              <w:t>16,5 %</w:t>
                            </w:r>
                          </w:p>
                        </w:txbxContent>
                      </wps:txbx>
                      <wps:bodyPr rot="0" vert="horz" wrap="square" lIns="91440" tIns="45720" rIns="91440" bIns="4572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7A5D523B" id="Textové pole 35" o:spid="_x0000_s1041" type="#_x0000_t202" style="position:absolute;left:0;text-align:left;margin-left:42.55pt;margin-top:-8.5pt;width:117.05pt;height:55.5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" fillcolor="white [3201]" stroked="f" strokeweight=".5pt">
                <v:path arrowok="t"/>
                <v:textbox>
                  <w:txbxContent>
                    <w:p w14:paraId="2708A1A1" w14:textId="77777777" w:rsidR="0031735E" w:rsidRDefault="0031735E" w:rsidP="007B7014">
                      <w:pPr>
                        <w:spacing w:after="0"/>
                        <w:jc w:val="left"/>
                        <w:rPr>
                          <w:rStyle w:val="Odkaznakoment"/>
                          <w:rFonts w:cstheme="minorHAnsi"/>
                          <w:i/>
                          <w:sz w:val="20"/>
                          <w:szCs w:val="20"/>
                        </w:rPr>
                      </w:pPr>
                      <w:r>
                        <w:rPr>
                          <w:rStyle w:val="Odkaznakoment"/>
                          <w:rFonts w:cstheme="minorHAnsi"/>
                          <w:i/>
                          <w:sz w:val="20"/>
                          <w:szCs w:val="20"/>
                        </w:rPr>
                        <w:t>Investiční transfery pokryly kapitálové výdaje z </w:t>
                      </w:r>
                    </w:p>
                    <w:p w14:paraId="112D638D" w14:textId="71F5AD54" w:rsidR="0031735E" w:rsidRPr="00741CB5" w:rsidRDefault="00E77FC3" w:rsidP="007B7014">
                      <w:pPr>
                        <w:spacing w:before="0" w:after="0"/>
                        <w:jc w:val="left"/>
                        <w:rPr>
                          <w:b/>
                          <w:i/>
                          <w:color w:val="548DD4" w:themeColor="text2" w:themeTint="99"/>
                          <w:sz w:val="28"/>
                          <w:szCs w:val="28"/>
                        </w:rPr>
                      </w:pPr>
                      <w:r w:rsidRPr="00E77FC3">
                        <w:rPr>
                          <w:b/>
                          <w:i/>
                          <w:color w:val="548DD4" w:themeColor="text2" w:themeTint="99"/>
                          <w:sz w:val="28"/>
                          <w:szCs w:val="28"/>
                        </w:rPr>
                        <w:t>16,5 %</w:t>
                      </w:r>
                    </w:p>
                  </w:txbxContent>
                </v:textbox>
                <w10:wrap anchorx="page"/>
              </v:shape>
            </w:pict>
          </mc:Fallback>
        </mc:AlternateContent>
      </w:r>
      <w:r w:rsidR="002C36D0" w:rsidRPr="007F7EE4">
        <w:t>Krytí kapitálových výdajů investičními příjmy</w:t>
      </w:r>
      <w:bookmarkEnd w:id="37"/>
    </w:p>
    <w:p w14:paraId="5EE7E21E" w14:textId="33CB9D05" w:rsidR="002C36D0" w:rsidRPr="007F609C" w:rsidRDefault="002259E5" w:rsidP="00A2717D">
      <w:pPr>
        <w:pStyle w:val="Objekt"/>
      </w:pPr>
      <w:r w:rsidRPr="002259E5">
        <w:rPr>
          <w:noProof/>
        </w:rPr>
        <w:drawing>
          <wp:inline distT="0" distB="0" distL="0" distR="0" wp14:anchorId="2E172C3A" wp14:editId="564EC87E">
            <wp:extent cx="4860925" cy="1584325"/>
            <wp:effectExtent l="0" t="0" r="0" b="0"/>
            <wp:docPr id="555714592" name="Obráze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860925" cy="1584325"/>
                    </a:xfrm>
                    <a:prstGeom prst="rect">
                      <a:avLst/>
                    </a:prstGeom>
                    <a:noFill/>
                    <a:ln>
                      <a:noFill/>
                    </a:ln>
                  </pic:spPr>
                </pic:pic>
              </a:graphicData>
            </a:graphic>
          </wp:inline>
        </w:drawing>
      </w:r>
    </w:p>
    <w:p w14:paraId="00DA7EF2" w14:textId="536CD95B" w:rsidR="002C36D0" w:rsidRPr="00DA1105" w:rsidRDefault="002C36D0" w:rsidP="002C36D0">
      <w:pPr>
        <w:rPr>
          <w:vertAlign w:val="subscript"/>
        </w:rPr>
      </w:pPr>
      <w:r w:rsidRPr="00DA1105">
        <w:t xml:space="preserve">Vlastní investiční výdaje jsou kromě investičních transferů kryty částečně i prodejem majetku a ostatními zdroji. V případě </w:t>
      </w:r>
      <w:r w:rsidR="00593F3A">
        <w:t xml:space="preserve">města </w:t>
      </w:r>
      <w:r w:rsidR="00E77FC3">
        <w:t>Chomutov</w:t>
      </w:r>
      <w:r w:rsidRPr="00DA1105">
        <w:t xml:space="preserve"> ostatní zdroje tvoří finanční prostředky z uplynulých let a provozní přebytek (saldo provozního rozpočtu) aktuálního roku. </w:t>
      </w:r>
      <w:r w:rsidRPr="001E07A4">
        <w:t>Prodej majetku tvoří nejmenší část na pokrytí kapitálových výdajů (</w:t>
      </w:r>
      <w:r w:rsidR="00E77FC3" w:rsidRPr="001E07A4">
        <w:t>120,3</w:t>
      </w:r>
      <w:r w:rsidR="00593F3A" w:rsidRPr="001E07A4">
        <w:t xml:space="preserve"> </w:t>
      </w:r>
      <w:r w:rsidRPr="001E07A4">
        <w:t>mil. Kč za upl</w:t>
      </w:r>
      <w:r w:rsidRPr="00DA1105">
        <w:t xml:space="preserve">ynulých 5 let, což průměrně za rok činí jen </w:t>
      </w:r>
      <w:r w:rsidR="00E77FC3">
        <w:t>9,4 %</w:t>
      </w:r>
      <w:r w:rsidRPr="00DA1105">
        <w:t xml:space="preserve"> vynalo</w:t>
      </w:r>
      <w:r w:rsidR="00176F15">
        <w:t>žených prostředků na investice), i</w:t>
      </w:r>
      <w:r w:rsidRPr="00DA1105">
        <w:t>nvestiční transfery</w:t>
      </w:r>
      <w:r w:rsidR="00176F15">
        <w:t xml:space="preserve"> tvoří</w:t>
      </w:r>
      <w:r w:rsidRPr="00DA1105">
        <w:t xml:space="preserve"> </w:t>
      </w:r>
      <w:r w:rsidR="00E77FC3">
        <w:t>16,5 %</w:t>
      </w:r>
      <w:r w:rsidRPr="00DA1105">
        <w:t xml:space="preserve"> celkových finančních prostředků na krytí investic</w:t>
      </w:r>
      <w:r w:rsidR="00176F15">
        <w:t xml:space="preserve"> a z</w:t>
      </w:r>
      <w:r w:rsidRPr="00DA1105">
        <w:t xml:space="preserve">bývajících </w:t>
      </w:r>
      <w:r w:rsidR="00E77FC3">
        <w:t>74,1 %</w:t>
      </w:r>
      <w:r w:rsidRPr="00DA1105">
        <w:t xml:space="preserve"> tvoří ostatní zdroje.</w:t>
      </w:r>
    </w:p>
    <w:bookmarkStart w:id="38" w:name="_Toc180650288"/>
    <w:p w14:paraId="5944BD3D" w14:textId="77777777" w:rsidR="002C36D0" w:rsidRPr="007F7EE4" w:rsidRDefault="00977E0F" w:rsidP="007F7EE4">
      <w:pPr>
        <w:pStyle w:val="Graf0"/>
      </w:pPr>
      <w:r w:rsidRPr="001B58F3">
        <w:rPr>
          <w:rFonts w:ascii="Verdana" w:hAnsi="Verdana"/>
          <w:noProof/>
          <w:sz w:val="19"/>
          <w:highlight w:val="cyan"/>
          <w:lang w:eastAsia="cs-CZ"/>
        </w:rPr>
        <w:lastRenderedPageBreak/>
        <mc:AlternateContent>
          <mc:Choice Requires="wps">
            <w:drawing>
              <wp:anchor distT="0" distB="0" distL="114300" distR="114300" simplePos="0" relativeHeight="251651584" behindDoc="0" locked="0" layoutInCell="1" allowOverlap="1" wp14:anchorId="70B676A1" wp14:editId="0F813700">
                <wp:simplePos x="0" y="0"/>
                <wp:positionH relativeFrom="page">
                  <wp:posOffset>541867</wp:posOffset>
                </wp:positionH>
                <wp:positionV relativeFrom="paragraph">
                  <wp:posOffset>-70062</wp:posOffset>
                </wp:positionV>
                <wp:extent cx="1404000" cy="2061634"/>
                <wp:effectExtent l="0" t="0" r="5715" b="0"/>
                <wp:wrapNone/>
                <wp:docPr id="717"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2061634"/>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56AF0EB1" w14:textId="1FBDA730" w:rsidR="0031735E" w:rsidRPr="00370D4F" w:rsidRDefault="0031735E" w:rsidP="00977E0F">
                            <w:pPr>
                              <w:jc w:val="left"/>
                              <w:rPr>
                                <w:rFonts w:cstheme="minorHAnsi"/>
                                <w:i/>
                                <w:szCs w:val="22"/>
                              </w:rPr>
                            </w:pPr>
                            <w:r>
                              <w:rPr>
                                <w:rStyle w:val="Odkaznakoment"/>
                                <w:rFonts w:cstheme="minorHAnsi"/>
                                <w:i/>
                                <w:sz w:val="20"/>
                                <w:szCs w:val="20"/>
                              </w:rPr>
                              <w:t xml:space="preserve">Nejvíce finančních prostředků na pořízení dlouhodobého majetku směřovalo do Služeb pro </w:t>
                            </w:r>
                            <w:r w:rsidRPr="0044430E">
                              <w:rPr>
                                <w:rStyle w:val="Odkaznakoment"/>
                                <w:rFonts w:cstheme="minorHAnsi"/>
                                <w:i/>
                                <w:sz w:val="20"/>
                                <w:szCs w:val="20"/>
                              </w:rPr>
                              <w:t xml:space="preserve">obyvatelstvo </w:t>
                            </w:r>
                            <w:r w:rsidR="00E77FC3" w:rsidRPr="00E77FC3">
                              <w:rPr>
                                <w:i/>
                                <w:sz w:val="20"/>
                                <w:szCs w:val="20"/>
                              </w:rPr>
                              <w:t>66,7 %</w:t>
                            </w:r>
                            <w:r w:rsidRPr="0044430E">
                              <w:rPr>
                                <w:rStyle w:val="Odkaznakoment"/>
                                <w:rFonts w:cstheme="minorHAnsi"/>
                                <w:i/>
                                <w:sz w:val="20"/>
                                <w:szCs w:val="20"/>
                              </w:rPr>
                              <w:t xml:space="preserve"> (školství, kultura sport, veřejná zeleň) a do Průmyslu a ostatních odvětví hospodářství – </w:t>
                            </w:r>
                            <w:r w:rsidR="00E77FC3" w:rsidRPr="00E77FC3">
                              <w:rPr>
                                <w:i/>
                                <w:sz w:val="20"/>
                                <w:szCs w:val="20"/>
                              </w:rPr>
                              <w:t>29,2 %</w:t>
                            </w:r>
                            <w:r w:rsidRPr="0044430E">
                              <w:rPr>
                                <w:rStyle w:val="Odkaznakoment"/>
                                <w:rFonts w:cstheme="minorHAnsi"/>
                                <w:i/>
                                <w:sz w:val="20"/>
                                <w:szCs w:val="20"/>
                              </w:rPr>
                              <w:t xml:space="preserve"> (doprava, komunikace, odvádění</w:t>
                            </w:r>
                            <w:r>
                              <w:rPr>
                                <w:rStyle w:val="Odkaznakoment"/>
                                <w:rFonts w:cstheme="minorHAnsi"/>
                                <w:i/>
                                <w:sz w:val="20"/>
                                <w:szCs w:val="20"/>
                              </w:rPr>
                              <w:t xml:space="preserve"> a čištění odpadních vod).</w:t>
                            </w:r>
                          </w:p>
                          <w:p w14:paraId="14D37AB7" w14:textId="77777777" w:rsidR="0031735E" w:rsidRPr="001B58F3" w:rsidRDefault="0031735E" w:rsidP="00E03088">
                            <w:pPr>
                              <w:spacing w:after="0"/>
                              <w:jc w:val="left"/>
                              <w:rPr>
                                <w:rFonts w:cstheme="minorHAnsi"/>
                                <w:i/>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70B676A1" id="_x0000_s1042" type="#_x0000_t202" style="position:absolute;left:0;text-align:left;margin-left:42.65pt;margin-top:-5.5pt;width:110.55pt;height:162.35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" fillcolor="white [3201]" stroked="f" strokeweight=".5pt">
                <v:path arrowok="t"/>
                <v:textbox inset="0,0,0,0">
                  <w:txbxContent>
                    <w:p w14:paraId="56AF0EB1" w14:textId="1FBDA730" w:rsidR="0031735E" w:rsidRPr="00370D4F" w:rsidRDefault="0031735E" w:rsidP="00977E0F">
                      <w:pPr>
                        <w:jc w:val="left"/>
                        <w:rPr>
                          <w:rFonts w:cstheme="minorHAnsi"/>
                          <w:i/>
                          <w:szCs w:val="22"/>
                        </w:rPr>
                      </w:pPr>
                      <w:r>
                        <w:rPr>
                          <w:rStyle w:val="Odkaznakoment"/>
                          <w:rFonts w:cstheme="minorHAnsi"/>
                          <w:i/>
                          <w:sz w:val="20"/>
                          <w:szCs w:val="20"/>
                        </w:rPr>
                        <w:t xml:space="preserve">Nejvíce finančních prostředků na pořízení dlouhodobého majetku směřovalo do Služeb pro </w:t>
                      </w:r>
                      <w:r w:rsidRPr="0044430E">
                        <w:rPr>
                          <w:rStyle w:val="Odkaznakoment"/>
                          <w:rFonts w:cstheme="minorHAnsi"/>
                          <w:i/>
                          <w:sz w:val="20"/>
                          <w:szCs w:val="20"/>
                        </w:rPr>
                        <w:t xml:space="preserve">obyvatelstvo </w:t>
                      </w:r>
                      <w:r w:rsidR="00E77FC3" w:rsidRPr="00E77FC3">
                        <w:rPr>
                          <w:i/>
                          <w:sz w:val="20"/>
                          <w:szCs w:val="20"/>
                        </w:rPr>
                        <w:t>66,7 %</w:t>
                      </w:r>
                      <w:r w:rsidRPr="0044430E">
                        <w:rPr>
                          <w:rStyle w:val="Odkaznakoment"/>
                          <w:rFonts w:cstheme="minorHAnsi"/>
                          <w:i/>
                          <w:sz w:val="20"/>
                          <w:szCs w:val="20"/>
                        </w:rPr>
                        <w:t xml:space="preserve"> (školství, kultura sport, veřejná zeleň) a do Průmyslu a ostatních odvětví hospodářství – </w:t>
                      </w:r>
                      <w:r w:rsidR="00E77FC3" w:rsidRPr="00E77FC3">
                        <w:rPr>
                          <w:i/>
                          <w:sz w:val="20"/>
                          <w:szCs w:val="20"/>
                        </w:rPr>
                        <w:t>29,2 %</w:t>
                      </w:r>
                      <w:r w:rsidRPr="0044430E">
                        <w:rPr>
                          <w:rStyle w:val="Odkaznakoment"/>
                          <w:rFonts w:cstheme="minorHAnsi"/>
                          <w:i/>
                          <w:sz w:val="20"/>
                          <w:szCs w:val="20"/>
                        </w:rPr>
                        <w:t xml:space="preserve"> (doprava, komunikace, odvádění</w:t>
                      </w:r>
                      <w:r>
                        <w:rPr>
                          <w:rStyle w:val="Odkaznakoment"/>
                          <w:rFonts w:cstheme="minorHAnsi"/>
                          <w:i/>
                          <w:sz w:val="20"/>
                          <w:szCs w:val="20"/>
                        </w:rPr>
                        <w:t xml:space="preserve"> a čištění odpadních vod).</w:t>
                      </w:r>
                    </w:p>
                    <w:p w14:paraId="14D37AB7" w14:textId="77777777" w:rsidR="0031735E" w:rsidRPr="001B58F3" w:rsidRDefault="0031735E" w:rsidP="00E03088">
                      <w:pPr>
                        <w:spacing w:after="0"/>
                        <w:jc w:val="left"/>
                        <w:rPr>
                          <w:rFonts w:cstheme="minorHAnsi"/>
                          <w:i/>
                          <w:sz w:val="20"/>
                          <w:szCs w:val="20"/>
                        </w:rPr>
                      </w:pPr>
                    </w:p>
                  </w:txbxContent>
                </v:textbox>
                <w10:wrap anchorx="page"/>
              </v:shape>
            </w:pict>
          </mc:Fallback>
        </mc:AlternateContent>
      </w:r>
      <w:r w:rsidR="002C36D0" w:rsidRPr="007F7EE4">
        <w:t>Krytí kapitálových výdajů minulého období</w:t>
      </w:r>
      <w:bookmarkEnd w:id="38"/>
    </w:p>
    <w:p w14:paraId="3D1CB743" w14:textId="72A7A801" w:rsidR="002C36D0" w:rsidRPr="007F609C" w:rsidRDefault="002259E5" w:rsidP="002C36D0">
      <w:pPr>
        <w:pStyle w:val="Objekt"/>
      </w:pPr>
      <w:r w:rsidRPr="002259E5">
        <w:rPr>
          <w:noProof/>
        </w:rPr>
        <w:drawing>
          <wp:inline distT="0" distB="0" distL="0" distR="0" wp14:anchorId="313AEE84" wp14:editId="25DF4611">
            <wp:extent cx="4860925" cy="1577975"/>
            <wp:effectExtent l="0" t="0" r="0" b="0"/>
            <wp:docPr id="1828473013" name="Obráze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60925" cy="1577975"/>
                    </a:xfrm>
                    <a:prstGeom prst="rect">
                      <a:avLst/>
                    </a:prstGeom>
                    <a:noFill/>
                    <a:ln>
                      <a:noFill/>
                    </a:ln>
                  </pic:spPr>
                </pic:pic>
              </a:graphicData>
            </a:graphic>
          </wp:inline>
        </w:drawing>
      </w:r>
    </w:p>
    <w:p w14:paraId="11AF4C13" w14:textId="0A05EBDC" w:rsidR="002C36D0" w:rsidRDefault="002C36D0" w:rsidP="002C36D0">
      <w:r w:rsidRPr="0000386C">
        <w:t xml:space="preserve">Největší podíl </w:t>
      </w:r>
      <w:r w:rsidR="00B642E0" w:rsidRPr="0000386C">
        <w:t xml:space="preserve">na </w:t>
      </w:r>
      <w:r w:rsidR="00B02148" w:rsidRPr="0000386C">
        <w:t xml:space="preserve">seskupení položek 61 </w:t>
      </w:r>
      <w:r w:rsidR="000A1ABF" w:rsidRPr="0000386C">
        <w:t xml:space="preserve">(tj. kapitálové výdaje </w:t>
      </w:r>
      <w:r w:rsidR="00B02148" w:rsidRPr="0000386C">
        <w:t xml:space="preserve">bez investičních finančních a transferových výdajů) </w:t>
      </w:r>
      <w:r w:rsidRPr="0000386C">
        <w:t>směřuje do</w:t>
      </w:r>
      <w:r w:rsidR="00176F15">
        <w:t xml:space="preserve"> odvětvové skupiny</w:t>
      </w:r>
      <w:r w:rsidRPr="0000386C">
        <w:t xml:space="preserve"> </w:t>
      </w:r>
      <w:r w:rsidR="00E77FC3">
        <w:t>Služby pro obyvatelstvo</w:t>
      </w:r>
      <w:r w:rsidRPr="0000386C">
        <w:t xml:space="preserve"> (</w:t>
      </w:r>
      <w:r w:rsidR="00E77FC3">
        <w:t>66,7 %</w:t>
      </w:r>
      <w:r w:rsidRPr="0000386C">
        <w:t xml:space="preserve"> - dominantní jsou zde výdaje na</w:t>
      </w:r>
      <w:r w:rsidR="00FD7C51">
        <w:t xml:space="preserve"> paragrafech</w:t>
      </w:r>
      <w:r w:rsidRPr="0000386C">
        <w:t xml:space="preserve"> </w:t>
      </w:r>
      <w:r w:rsidR="00E77FC3">
        <w:t>Základní školy</w:t>
      </w:r>
      <w:r w:rsidRPr="0000386C">
        <w:t xml:space="preserve"> a </w:t>
      </w:r>
      <w:r w:rsidR="00E77FC3">
        <w:t>Komunální služby a územní rozvoj jinde nezařazené</w:t>
      </w:r>
      <w:r w:rsidRPr="0000386C">
        <w:t xml:space="preserve">) a </w:t>
      </w:r>
      <w:r w:rsidR="00E77FC3">
        <w:t>Průmysl, a ostatní odvětví hospodářství</w:t>
      </w:r>
      <w:r w:rsidRPr="0000386C">
        <w:t xml:space="preserve"> (</w:t>
      </w:r>
      <w:r w:rsidR="00E77FC3">
        <w:t>29,2 %</w:t>
      </w:r>
      <w:r w:rsidRPr="0000386C">
        <w:t xml:space="preserve"> - převažují výdaje na</w:t>
      </w:r>
      <w:r w:rsidR="00FD7C51">
        <w:t xml:space="preserve"> paragrafech</w:t>
      </w:r>
      <w:r w:rsidRPr="0000386C">
        <w:t xml:space="preserve"> </w:t>
      </w:r>
      <w:r w:rsidR="00E77FC3">
        <w:t>Silnice</w:t>
      </w:r>
      <w:r w:rsidR="0000386C" w:rsidRPr="0000386C">
        <w:t xml:space="preserve"> a </w:t>
      </w:r>
      <w:r w:rsidR="00E77FC3">
        <w:t>Ostatní záležitosti pozemních komunikací</w:t>
      </w:r>
      <w:r w:rsidRPr="0000386C">
        <w:t>).</w:t>
      </w:r>
    </w:p>
    <w:p w14:paraId="0D063A5D" w14:textId="77777777" w:rsidR="00B01126" w:rsidRPr="00196194" w:rsidRDefault="00B01126" w:rsidP="00993408">
      <w:pPr>
        <w:pStyle w:val="Nadpis2"/>
      </w:pPr>
      <w:bookmarkStart w:id="39" w:name="_Toc180650319"/>
      <w:r w:rsidRPr="00196194">
        <w:t>Hospodaření</w:t>
      </w:r>
      <w:bookmarkEnd w:id="26"/>
      <w:bookmarkEnd w:id="39"/>
    </w:p>
    <w:p w14:paraId="42F9C3DF" w14:textId="77777777" w:rsidR="00B01126" w:rsidRPr="00196194" w:rsidRDefault="00B01126" w:rsidP="00993408">
      <w:r w:rsidRPr="00196194">
        <w:t>Při vyhodnocování finančního hospodaření municipality si je třeba uvědomit, že rozpočet i střednědobý výhled rozpočtu se skládá z příjmů a výdajů.</w:t>
      </w:r>
    </w:p>
    <w:p w14:paraId="02DC23CC" w14:textId="77777777" w:rsidR="00B01126" w:rsidRPr="00196194" w:rsidRDefault="00B01126" w:rsidP="00993408">
      <w:r w:rsidRPr="00196194">
        <w:t xml:space="preserve">Rozdíl mezi běžnými příjmy a výdaji se nazývá </w:t>
      </w:r>
      <w:r w:rsidRPr="00196194">
        <w:rPr>
          <w:b/>
        </w:rPr>
        <w:t>provozní přebytek</w:t>
      </w:r>
      <w:r w:rsidR="001C3766" w:rsidRPr="00196194">
        <w:rPr>
          <w:b/>
        </w:rPr>
        <w:t xml:space="preserve"> </w:t>
      </w:r>
      <w:r w:rsidR="001C3766" w:rsidRPr="00196194">
        <w:t>(saldo provozního rozpočtu)</w:t>
      </w:r>
      <w:r w:rsidR="00365B4E" w:rsidRPr="00196194">
        <w:t>.</w:t>
      </w:r>
      <w:r w:rsidRPr="00196194">
        <w:t xml:space="preserve"> </w:t>
      </w:r>
      <w:r w:rsidR="00365B4E" w:rsidRPr="00196194">
        <w:t>T</w:t>
      </w:r>
      <w:r w:rsidRPr="00196194">
        <w:t xml:space="preserve">o </w:t>
      </w:r>
      <w:r w:rsidR="00365B4E" w:rsidRPr="00196194">
        <w:t xml:space="preserve">jsou </w:t>
      </w:r>
      <w:r w:rsidRPr="00196194">
        <w:t xml:space="preserve">prostředky, které </w:t>
      </w:r>
      <w:r w:rsidR="001C3766" w:rsidRPr="00196194">
        <w:t xml:space="preserve">ÚSC slouží primárně ke splátkám jistin a </w:t>
      </w:r>
      <w:r w:rsidRPr="00196194">
        <w:t>na financování investičních záměrů obce. Rozdíl mezi veškerými příjmy a všemi výdaji během rozpočtového roku (</w:t>
      </w:r>
      <w:r w:rsidR="00E148AA" w:rsidRPr="00196194">
        <w:t>totožný s kalendářním rokem</w:t>
      </w:r>
      <w:r w:rsidRPr="00196194">
        <w:t xml:space="preserve">) se nazývá </w:t>
      </w:r>
      <w:r w:rsidRPr="00196194">
        <w:rPr>
          <w:b/>
        </w:rPr>
        <w:t xml:space="preserve">saldo </w:t>
      </w:r>
      <w:r w:rsidR="00A05414">
        <w:rPr>
          <w:b/>
        </w:rPr>
        <w:t>bez financování</w:t>
      </w:r>
      <w:r w:rsidRPr="00196194">
        <w:t xml:space="preserve">. Z těchto dvou indikátorů je mnohem </w:t>
      </w:r>
      <w:r w:rsidRPr="00196194">
        <w:rPr>
          <w:b/>
        </w:rPr>
        <w:t>důležitější</w:t>
      </w:r>
      <w:r w:rsidRPr="00196194">
        <w:t xml:space="preserve"> provozní přebytek než saldo rozpočtu. Důležitost monitorování t</w:t>
      </w:r>
      <w:r w:rsidR="00FD7C51">
        <w:t>ěchto indikátorů</w:t>
      </w:r>
      <w:r w:rsidRPr="00196194">
        <w:t xml:space="preserve"> se zvyšuje, pokud indikátory nabývají záporných hodnot. Jestliže je schválen deficitní rozpočet (je realizováno více výdajů než příjmů), může být tento deficit pokryt z </w:t>
      </w:r>
      <w:r w:rsidR="00D9228F">
        <w:t>přebytku</w:t>
      </w:r>
      <w:r w:rsidRPr="00196194">
        <w:t xml:space="preserve"> hospodaření minulých let. Záporný provozní přebytek (provozní saldo) indikuje možné ohrožení hospodaření municipality. Ve svém důsledku tato skutečnost značí, že </w:t>
      </w:r>
      <w:r w:rsidR="001C3766" w:rsidRPr="00196194">
        <w:t>ÚSC</w:t>
      </w:r>
      <w:r w:rsidRPr="00196194">
        <w:t xml:space="preserve"> nemá dostatek provozních příjmů na úhradu svých běžných (provozních) výdajů. Tento provozní schodek pak pokrý</w:t>
      </w:r>
      <w:r w:rsidR="001C3766" w:rsidRPr="00196194">
        <w:t>vá</w:t>
      </w:r>
      <w:r w:rsidRPr="00196194">
        <w:t xml:space="preserve"> buď prodejem majetku nebo úvěrem.</w:t>
      </w:r>
    </w:p>
    <w:p w14:paraId="5255FE28" w14:textId="2C94480D" w:rsidR="002C2863" w:rsidRPr="007F7EE4" w:rsidRDefault="002C2863" w:rsidP="009A770A">
      <w:pPr>
        <w:pStyle w:val="Tabulka"/>
      </w:pPr>
      <w:bookmarkStart w:id="40" w:name="_Toc180650263"/>
      <w:r w:rsidRPr="007F7EE4">
        <w:t>Rekapitulace hospodaření</w:t>
      </w:r>
      <w:bookmarkEnd w:id="40"/>
    </w:p>
    <w:p w14:paraId="48043573" w14:textId="1A1E2F9C" w:rsidR="002C2863" w:rsidRPr="003300CB" w:rsidRDefault="002259E5" w:rsidP="00724EBF">
      <w:pPr>
        <w:pStyle w:val="Objekt"/>
      </w:pPr>
      <w:r w:rsidRPr="002259E5">
        <w:rPr>
          <w:noProof/>
        </w:rPr>
        <w:drawing>
          <wp:inline distT="0" distB="0" distL="0" distR="0" wp14:anchorId="674B93CD" wp14:editId="38011E54">
            <wp:extent cx="4860925" cy="1816735"/>
            <wp:effectExtent l="0" t="0" r="0" b="0"/>
            <wp:docPr id="316942616" name="Obráze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860925" cy="1816735"/>
                    </a:xfrm>
                    <a:prstGeom prst="rect">
                      <a:avLst/>
                    </a:prstGeom>
                    <a:noFill/>
                    <a:ln>
                      <a:noFill/>
                    </a:ln>
                  </pic:spPr>
                </pic:pic>
              </a:graphicData>
            </a:graphic>
          </wp:inline>
        </w:drawing>
      </w:r>
    </w:p>
    <w:p w14:paraId="6483635A" w14:textId="2624485F" w:rsidR="00B01126" w:rsidRPr="00196194" w:rsidRDefault="00B01126" w:rsidP="00993408">
      <w:r w:rsidRPr="00196194">
        <w:t xml:space="preserve">Analýza hospodaření </w:t>
      </w:r>
      <w:r w:rsidR="00111052">
        <w:t>města</w:t>
      </w:r>
      <w:r w:rsidRPr="00196194">
        <w:t xml:space="preserve"> je základním krokem pro sestavení </w:t>
      </w:r>
      <w:r w:rsidR="00F07294" w:rsidRPr="00196194">
        <w:t>SVR</w:t>
      </w:r>
      <w:r w:rsidRPr="00196194">
        <w:t xml:space="preserve">. </w:t>
      </w:r>
      <w:r w:rsidR="007A219F" w:rsidRPr="00196194">
        <w:t>U</w:t>
      </w:r>
      <w:r w:rsidRPr="00196194">
        <w:t xml:space="preserve">kazuje, že město hospodařilo v jednotlivých letech s příjmy v celkových objemech od </w:t>
      </w:r>
      <w:r w:rsidR="00E77FC3">
        <w:t>1 192,6</w:t>
      </w:r>
      <w:r w:rsidR="0000386C">
        <w:t xml:space="preserve"> </w:t>
      </w:r>
      <w:r w:rsidRPr="00196194">
        <w:t xml:space="preserve">mil. Kč </w:t>
      </w:r>
      <w:r w:rsidRPr="00111052">
        <w:lastRenderedPageBreak/>
        <w:t>(</w:t>
      </w:r>
      <w:r w:rsidR="00E77FC3">
        <w:t>2020</w:t>
      </w:r>
      <w:r w:rsidRPr="00111052">
        <w:t>)</w:t>
      </w:r>
      <w:r w:rsidRPr="00196194">
        <w:t xml:space="preserve"> až do </w:t>
      </w:r>
      <w:r w:rsidR="00E77FC3">
        <w:t>1 650,5</w:t>
      </w:r>
      <w:r w:rsidRPr="00196194">
        <w:t xml:space="preserve"> mil. Kč (</w:t>
      </w:r>
      <w:r w:rsidR="00E77FC3">
        <w:t>2023</w:t>
      </w:r>
      <w:r w:rsidRPr="00196194">
        <w:t xml:space="preserve">). Celkový objem výdajů se pohyboval od </w:t>
      </w:r>
      <w:r w:rsidR="00E77FC3">
        <w:t>1 123,9</w:t>
      </w:r>
      <w:r w:rsidR="0000386C">
        <w:t xml:space="preserve"> </w:t>
      </w:r>
      <w:r w:rsidRPr="00196194">
        <w:t>mil. Kč (</w:t>
      </w:r>
      <w:r w:rsidR="00E77FC3">
        <w:t>2020</w:t>
      </w:r>
      <w:r w:rsidRPr="00196194">
        <w:t xml:space="preserve">) do </w:t>
      </w:r>
      <w:r w:rsidR="00E77FC3">
        <w:t>1 781,3</w:t>
      </w:r>
      <w:r w:rsidRPr="00196194">
        <w:t xml:space="preserve"> </w:t>
      </w:r>
      <w:r w:rsidRPr="009F4C5F">
        <w:t>mil. Kč (</w:t>
      </w:r>
      <w:r w:rsidR="00E77FC3">
        <w:t>2023</w:t>
      </w:r>
      <w:r w:rsidRPr="009F4C5F">
        <w:t xml:space="preserve">). V </w:t>
      </w:r>
      <w:r w:rsidR="002C1F00" w:rsidRPr="009F4C5F">
        <w:t>roce</w:t>
      </w:r>
      <w:r w:rsidR="00E77FC3">
        <w:t xml:space="preserve"> 2022 a 2023</w:t>
      </w:r>
      <w:r w:rsidRPr="009F4C5F">
        <w:t xml:space="preserve"> hospodařilo město s</w:t>
      </w:r>
      <w:r w:rsidR="00661259">
        <w:t> </w:t>
      </w:r>
      <w:r w:rsidRPr="009F4C5F">
        <w:t>deficitem</w:t>
      </w:r>
      <w:r w:rsidR="00661259">
        <w:t xml:space="preserve"> </w:t>
      </w:r>
      <w:r w:rsidR="00E77FC3">
        <w:t>24,9, resp. 130,8</w:t>
      </w:r>
      <w:r w:rsidR="00196194" w:rsidRPr="009F4C5F">
        <w:t xml:space="preserve"> mil. Kč</w:t>
      </w:r>
      <w:r w:rsidRPr="009F4C5F">
        <w:t>), v ostatních</w:t>
      </w:r>
      <w:r w:rsidRPr="00196194">
        <w:t xml:space="preserve"> analyzovaných letech vykazovalo přebytek hospodaření. Nejvyššího přebytku město dosáhlo v roce </w:t>
      </w:r>
      <w:r w:rsidR="00E77FC3">
        <w:t>2021</w:t>
      </w:r>
      <w:r w:rsidRPr="00196194">
        <w:t xml:space="preserve">, </w:t>
      </w:r>
      <w:r w:rsidR="00A21376" w:rsidRPr="00196194">
        <w:t xml:space="preserve">a to </w:t>
      </w:r>
      <w:r w:rsidR="00E77FC3">
        <w:t>98,7</w:t>
      </w:r>
      <w:r w:rsidR="0000386C">
        <w:t xml:space="preserve"> </w:t>
      </w:r>
      <w:r w:rsidR="00A21376" w:rsidRPr="00196194">
        <w:t>mil. Kč.</w:t>
      </w:r>
    </w:p>
    <w:bookmarkStart w:id="41" w:name="_Toc428351149"/>
    <w:bookmarkStart w:id="42" w:name="_Toc428357444"/>
    <w:bookmarkStart w:id="43" w:name="_Toc55981679"/>
    <w:bookmarkStart w:id="44" w:name="_Toc180650289"/>
    <w:p w14:paraId="1F876716" w14:textId="77777777" w:rsidR="00B01126" w:rsidRPr="007F7EE4" w:rsidRDefault="00977E0F" w:rsidP="007F7EE4">
      <w:pPr>
        <w:pStyle w:val="Graf0"/>
      </w:pPr>
      <w:r w:rsidRPr="001B58F3">
        <w:rPr>
          <w:rFonts w:ascii="Verdana" w:hAnsi="Verdana"/>
          <w:noProof/>
          <w:sz w:val="19"/>
          <w:highlight w:val="cyan"/>
          <w:lang w:eastAsia="cs-CZ"/>
        </w:rPr>
        <mc:AlternateContent>
          <mc:Choice Requires="wps">
            <w:drawing>
              <wp:anchor distT="0" distB="0" distL="114300" distR="114300" simplePos="0" relativeHeight="251649024" behindDoc="0" locked="0" layoutInCell="1" allowOverlap="1" wp14:anchorId="7FFFA02D" wp14:editId="6B27BC7C">
                <wp:simplePos x="0" y="0"/>
                <wp:positionH relativeFrom="page">
                  <wp:posOffset>541867</wp:posOffset>
                </wp:positionH>
                <wp:positionV relativeFrom="paragraph">
                  <wp:posOffset>-70273</wp:posOffset>
                </wp:positionV>
                <wp:extent cx="1404000" cy="1172633"/>
                <wp:effectExtent l="0" t="0" r="5715" b="8890"/>
                <wp:wrapNone/>
                <wp:docPr id="719"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1172633"/>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00538FAD" w14:textId="7DB4F5F9" w:rsidR="0031735E" w:rsidRPr="00977E0F" w:rsidRDefault="0031735E" w:rsidP="00977E0F">
                            <w:pPr>
                              <w:jc w:val="left"/>
                              <w:rPr>
                                <w:rFonts w:cstheme="minorHAnsi"/>
                                <w:i/>
                                <w:szCs w:val="22"/>
                              </w:rPr>
                            </w:pPr>
                            <w:r w:rsidRPr="001E07A4">
                              <w:rPr>
                                <w:rStyle w:val="Odkaznakoment"/>
                                <w:rFonts w:cstheme="minorHAnsi"/>
                                <w:i/>
                                <w:sz w:val="20"/>
                                <w:szCs w:val="20"/>
                              </w:rPr>
                              <w:t xml:space="preserve">Záporné saldo bez financování v letech </w:t>
                            </w:r>
                            <w:r w:rsidR="00E77FC3" w:rsidRPr="001E07A4">
                              <w:rPr>
                                <w:i/>
                                <w:sz w:val="20"/>
                                <w:szCs w:val="20"/>
                              </w:rPr>
                              <w:t>2022 a 2023</w:t>
                            </w:r>
                            <w:r w:rsidRPr="001E07A4">
                              <w:rPr>
                                <w:rStyle w:val="Odkaznakoment"/>
                                <w:rFonts w:cstheme="minorHAnsi"/>
                                <w:i/>
                                <w:sz w:val="20"/>
                                <w:szCs w:val="20"/>
                              </w:rPr>
                              <w:t xml:space="preserve"> je důsledkem nejvyšších investičních výdajů (</w:t>
                            </w:r>
                            <w:r w:rsidR="00E77FC3" w:rsidRPr="001E07A4">
                              <w:rPr>
                                <w:i/>
                                <w:sz w:val="20"/>
                                <w:szCs w:val="20"/>
                              </w:rPr>
                              <w:t>302,5 a 373,1</w:t>
                            </w:r>
                            <w:r w:rsidRPr="001E07A4">
                              <w:rPr>
                                <w:rStyle w:val="Odkaznakoment"/>
                                <w:rFonts w:cstheme="minorHAnsi"/>
                                <w:i/>
                                <w:sz w:val="20"/>
                                <w:szCs w:val="20"/>
                              </w:rPr>
                              <w:t xml:space="preserve"> mil. Kč) v celém pětiletém</w:t>
                            </w:r>
                            <w:r w:rsidRPr="00BA1316">
                              <w:rPr>
                                <w:rStyle w:val="Odkaznakoment"/>
                                <w:rFonts w:cstheme="minorHAnsi"/>
                                <w:i/>
                                <w:sz w:val="20"/>
                                <w:szCs w:val="20"/>
                              </w:rPr>
                              <w:t xml:space="preserve"> období</w:t>
                            </w: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7FFFA02D" id="_x0000_s1043" type="#_x0000_t202" style="position:absolute;left:0;text-align:left;margin-left:42.65pt;margin-top:-5.55pt;width:110.55pt;height:92.35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" fillcolor="white [3201]" stroked="f" strokeweight=".5pt">
                <v:path arrowok="t"/>
                <v:textbox inset="0,0,0,0">
                  <w:txbxContent>
                    <w:p w14:paraId="00538FAD" w14:textId="7DB4F5F9" w:rsidR="0031735E" w:rsidRPr="00977E0F" w:rsidRDefault="0031735E" w:rsidP="00977E0F">
                      <w:pPr>
                        <w:jc w:val="left"/>
                        <w:rPr>
                          <w:rFonts w:cstheme="minorHAnsi"/>
                          <w:i/>
                          <w:szCs w:val="22"/>
                        </w:rPr>
                      </w:pPr>
                      <w:r w:rsidRPr="001E07A4">
                        <w:rPr>
                          <w:rStyle w:val="Odkaznakoment"/>
                          <w:rFonts w:cstheme="minorHAnsi"/>
                          <w:i/>
                          <w:sz w:val="20"/>
                          <w:szCs w:val="20"/>
                        </w:rPr>
                        <w:t xml:space="preserve">Záporné saldo bez financování v letech </w:t>
                      </w:r>
                      <w:r w:rsidR="00E77FC3" w:rsidRPr="001E07A4">
                        <w:rPr>
                          <w:i/>
                          <w:sz w:val="20"/>
                          <w:szCs w:val="20"/>
                        </w:rPr>
                        <w:t>2022 a 2023</w:t>
                      </w:r>
                      <w:r w:rsidRPr="001E07A4">
                        <w:rPr>
                          <w:rStyle w:val="Odkaznakoment"/>
                          <w:rFonts w:cstheme="minorHAnsi"/>
                          <w:i/>
                          <w:sz w:val="20"/>
                          <w:szCs w:val="20"/>
                        </w:rPr>
                        <w:t xml:space="preserve"> je důsledkem nejvyšších investičních výdajů (</w:t>
                      </w:r>
                      <w:r w:rsidR="00E77FC3" w:rsidRPr="001E07A4">
                        <w:rPr>
                          <w:i/>
                          <w:sz w:val="20"/>
                          <w:szCs w:val="20"/>
                        </w:rPr>
                        <w:t>302,5 a 373,1</w:t>
                      </w:r>
                      <w:r w:rsidRPr="001E07A4">
                        <w:rPr>
                          <w:rStyle w:val="Odkaznakoment"/>
                          <w:rFonts w:cstheme="minorHAnsi"/>
                          <w:i/>
                          <w:sz w:val="20"/>
                          <w:szCs w:val="20"/>
                        </w:rPr>
                        <w:t xml:space="preserve"> mil. Kč) v celém pětiletém</w:t>
                      </w:r>
                      <w:r w:rsidRPr="00BA1316">
                        <w:rPr>
                          <w:rStyle w:val="Odkaznakoment"/>
                          <w:rFonts w:cstheme="minorHAnsi"/>
                          <w:i/>
                          <w:sz w:val="20"/>
                          <w:szCs w:val="20"/>
                        </w:rPr>
                        <w:t xml:space="preserve"> období</w:t>
                      </w:r>
                    </w:p>
                  </w:txbxContent>
                </v:textbox>
                <w10:wrap anchorx="page"/>
              </v:shape>
            </w:pict>
          </mc:Fallback>
        </mc:AlternateContent>
      </w:r>
      <w:r w:rsidR="00B01126" w:rsidRPr="007F7EE4">
        <w:t>Vývoj příjmů, výdajů a salda hospodaření</w:t>
      </w:r>
      <w:bookmarkEnd w:id="41"/>
      <w:bookmarkEnd w:id="42"/>
      <w:bookmarkEnd w:id="43"/>
      <w:bookmarkEnd w:id="44"/>
    </w:p>
    <w:p w14:paraId="288A8658" w14:textId="07C62E9C" w:rsidR="00B01126" w:rsidRPr="003300CB" w:rsidRDefault="002259E5" w:rsidP="008C3DB0">
      <w:pPr>
        <w:pStyle w:val="Objekt"/>
      </w:pPr>
      <w:r w:rsidRPr="002259E5">
        <w:rPr>
          <w:noProof/>
        </w:rPr>
        <w:drawing>
          <wp:inline distT="0" distB="0" distL="0" distR="0" wp14:anchorId="03C5F66A" wp14:editId="0E58C390">
            <wp:extent cx="4860925" cy="2009775"/>
            <wp:effectExtent l="0" t="0" r="0" b="0"/>
            <wp:docPr id="206080352" name="Obráze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860925" cy="2009775"/>
                    </a:xfrm>
                    <a:prstGeom prst="rect">
                      <a:avLst/>
                    </a:prstGeom>
                    <a:noFill/>
                    <a:ln>
                      <a:noFill/>
                    </a:ln>
                  </pic:spPr>
                </pic:pic>
              </a:graphicData>
            </a:graphic>
          </wp:inline>
        </w:drawing>
      </w:r>
    </w:p>
    <w:p w14:paraId="25A3FEE5" w14:textId="651155B7" w:rsidR="0073754C" w:rsidRPr="00AD77E8" w:rsidRDefault="0073754C" w:rsidP="0073754C">
      <w:r w:rsidRPr="0073754C">
        <w:t xml:space="preserve">Pozitivním zjištěním, po analýze hospodaření za uplynulé pětileté období, je skutečnost, že město z provozního rozpočtu (po </w:t>
      </w:r>
      <w:r w:rsidRPr="001E07A4">
        <w:t xml:space="preserve">uhrazení splátek půjčených prostředků) mohlo využít více jak </w:t>
      </w:r>
      <w:r w:rsidR="00E77FC3" w:rsidRPr="001E07A4">
        <w:t>825,0</w:t>
      </w:r>
      <w:r w:rsidRPr="001E07A4">
        <w:t xml:space="preserve"> mil. Kč na svůj rozvoj. Zároveň zůstatek na běžných účtech města </w:t>
      </w:r>
      <w:r w:rsidR="00167C63" w:rsidRPr="001E07A4">
        <w:t>poklesl</w:t>
      </w:r>
      <w:r w:rsidRPr="001E07A4">
        <w:t xml:space="preserve"> od roku </w:t>
      </w:r>
      <w:r w:rsidR="00E77FC3" w:rsidRPr="001E07A4">
        <w:t>2019</w:t>
      </w:r>
      <w:r w:rsidRPr="001E07A4">
        <w:t xml:space="preserve"> do roku </w:t>
      </w:r>
      <w:r w:rsidR="00E77FC3" w:rsidRPr="001E07A4">
        <w:t>2023</w:t>
      </w:r>
      <w:r w:rsidRPr="001E07A4">
        <w:t xml:space="preserve"> </w:t>
      </w:r>
      <w:r w:rsidRPr="001E07A4">
        <w:rPr>
          <w:b/>
          <w:bCs/>
        </w:rPr>
        <w:t xml:space="preserve">o </w:t>
      </w:r>
      <w:r w:rsidR="00E77FC3" w:rsidRPr="001E07A4">
        <w:t>139,4</w:t>
      </w:r>
      <w:r w:rsidRPr="001E07A4">
        <w:t xml:space="preserve"> mil. Kč.</w:t>
      </w:r>
    </w:p>
    <w:p w14:paraId="60F69C6B" w14:textId="77777777" w:rsidR="00B01126" w:rsidRPr="004D0FAA" w:rsidRDefault="00B01126" w:rsidP="004D0FAA">
      <w:pPr>
        <w:pStyle w:val="Nadpis3"/>
      </w:pPr>
      <w:r w:rsidRPr="004D0FAA">
        <w:t>Základní ukazatele hospodaření</w:t>
      </w:r>
    </w:p>
    <w:p w14:paraId="6FDB9B5F" w14:textId="52AA04D5" w:rsidR="00B01126" w:rsidRPr="00660FF6" w:rsidRDefault="00B01126" w:rsidP="00993408">
      <w:r w:rsidRPr="00660FF6">
        <w:t xml:space="preserve">O vztahu mezi provozními </w:t>
      </w:r>
      <w:r w:rsidRPr="001E07A4">
        <w:t xml:space="preserve">příjmy a výdaji nejlépe vypovídá </w:t>
      </w:r>
      <w:r w:rsidRPr="001E07A4">
        <w:rPr>
          <w:b/>
        </w:rPr>
        <w:t>provozní přebytek</w:t>
      </w:r>
      <w:r w:rsidRPr="001E07A4">
        <w:t>. V každém analyzovaném roce nabýval provozní přebytek kladných hodnot. Nejnižší hodnoty tento základní ukazatel dosáhl v</w:t>
      </w:r>
      <w:r w:rsidRPr="00660FF6">
        <w:t xml:space="preserve"> roce </w:t>
      </w:r>
      <w:r w:rsidR="00E77FC3">
        <w:t>2023</w:t>
      </w:r>
      <w:r w:rsidRPr="00660FF6">
        <w:t xml:space="preserve"> (</w:t>
      </w:r>
      <w:r w:rsidR="00E77FC3">
        <w:t>147,9</w:t>
      </w:r>
      <w:r w:rsidRPr="00660FF6">
        <w:t xml:space="preserve"> mil. Kč), nejvyšší pak v roce </w:t>
      </w:r>
      <w:r w:rsidR="00E77FC3">
        <w:t>2022</w:t>
      </w:r>
      <w:r w:rsidRPr="00660FF6">
        <w:t xml:space="preserve"> (</w:t>
      </w:r>
      <w:r w:rsidR="00E77FC3">
        <w:t>243,7</w:t>
      </w:r>
      <w:r w:rsidRPr="00660FF6">
        <w:t xml:space="preserve"> mil. Kč). Průměrná hodnota provozního přebytku ve sledovaném období byla </w:t>
      </w:r>
      <w:r w:rsidR="00E77FC3">
        <w:t>205,9</w:t>
      </w:r>
      <w:r w:rsidRPr="00660FF6">
        <w:t xml:space="preserve"> mil. Kč.</w:t>
      </w:r>
    </w:p>
    <w:bookmarkStart w:id="45" w:name="_Toc428351155"/>
    <w:bookmarkStart w:id="46" w:name="_Toc428357450"/>
    <w:bookmarkStart w:id="47" w:name="_Toc55981686"/>
    <w:bookmarkStart w:id="48" w:name="_Toc180650290"/>
    <w:p w14:paraId="56E477EF" w14:textId="77777777" w:rsidR="00B01126" w:rsidRPr="007F7EE4" w:rsidRDefault="009A041E" w:rsidP="007F7EE4">
      <w:pPr>
        <w:pStyle w:val="Graf0"/>
      </w:pPr>
      <w:r w:rsidRPr="001B58F3">
        <w:rPr>
          <w:rFonts w:ascii="Verdana" w:hAnsi="Verdana"/>
          <w:noProof/>
          <w:sz w:val="19"/>
          <w:highlight w:val="cyan"/>
          <w:lang w:eastAsia="cs-CZ"/>
        </w:rPr>
        <mc:AlternateContent>
          <mc:Choice Requires="wps">
            <w:drawing>
              <wp:anchor distT="0" distB="0" distL="114300" distR="114300" simplePos="0" relativeHeight="251650048" behindDoc="0" locked="0" layoutInCell="1" allowOverlap="1" wp14:anchorId="775AC9E4" wp14:editId="6E76D7CE">
                <wp:simplePos x="0" y="0"/>
                <wp:positionH relativeFrom="page">
                  <wp:posOffset>540385</wp:posOffset>
                </wp:positionH>
                <wp:positionV relativeFrom="paragraph">
                  <wp:posOffset>-71755</wp:posOffset>
                </wp:positionV>
                <wp:extent cx="1404000" cy="1594800"/>
                <wp:effectExtent l="0" t="0" r="5715" b="5715"/>
                <wp:wrapNone/>
                <wp:docPr id="720"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159480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57630513" w14:textId="77777777" w:rsidR="0031735E" w:rsidRPr="00370D4F" w:rsidRDefault="0031735E" w:rsidP="009A041E">
                            <w:pPr>
                              <w:jc w:val="left"/>
                              <w:rPr>
                                <w:rFonts w:cstheme="minorHAnsi"/>
                                <w:i/>
                                <w:szCs w:val="22"/>
                              </w:rPr>
                            </w:pPr>
                            <w:r w:rsidRPr="00BA1316">
                              <w:rPr>
                                <w:rStyle w:val="Odkaznakoment"/>
                                <w:rFonts w:cstheme="minorHAnsi"/>
                                <w:i/>
                                <w:sz w:val="20"/>
                                <w:szCs w:val="20"/>
                              </w:rPr>
                              <w:t xml:space="preserve">V každém roce provozní přebytek dosahuje </w:t>
                            </w:r>
                            <w:r w:rsidRPr="00BA1316">
                              <w:rPr>
                                <w:rStyle w:val="Odkaznakoment"/>
                                <w:rFonts w:cstheme="minorHAnsi"/>
                                <w:b/>
                                <w:i/>
                                <w:sz w:val="20"/>
                                <w:szCs w:val="20"/>
                              </w:rPr>
                              <w:t>kladných hodnot</w:t>
                            </w:r>
                          </w:p>
                          <w:p w14:paraId="0CC68D43" w14:textId="77777777" w:rsidR="0031735E" w:rsidRPr="001B58F3" w:rsidRDefault="0031735E" w:rsidP="00E03088">
                            <w:pPr>
                              <w:spacing w:after="0"/>
                              <w:jc w:val="left"/>
                              <w:rPr>
                                <w:rFonts w:cstheme="minorHAnsi"/>
                                <w:i/>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775AC9E4" id="_x0000_s1044" type="#_x0000_t202" style="position:absolute;left:0;text-align:left;margin-left:42.55pt;margin-top:-5.65pt;width:110.55pt;height:125.55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" fillcolor="white [3201]" stroked="f" strokeweight=".5pt">
                <v:path arrowok="t"/>
                <v:textbox inset="0,0,0,0">
                  <w:txbxContent>
                    <w:p w14:paraId="57630513" w14:textId="77777777" w:rsidR="0031735E" w:rsidRPr="00370D4F" w:rsidRDefault="0031735E" w:rsidP="009A041E">
                      <w:pPr>
                        <w:jc w:val="left"/>
                        <w:rPr>
                          <w:rFonts w:cstheme="minorHAnsi"/>
                          <w:i/>
                          <w:szCs w:val="22"/>
                        </w:rPr>
                      </w:pPr>
                      <w:r w:rsidRPr="00BA1316">
                        <w:rPr>
                          <w:rStyle w:val="Odkaznakoment"/>
                          <w:rFonts w:cstheme="minorHAnsi"/>
                          <w:i/>
                          <w:sz w:val="20"/>
                          <w:szCs w:val="20"/>
                        </w:rPr>
                        <w:t xml:space="preserve">V každém roce provozní přebytek dosahuje </w:t>
                      </w:r>
                      <w:r w:rsidRPr="00BA1316">
                        <w:rPr>
                          <w:rStyle w:val="Odkaznakoment"/>
                          <w:rFonts w:cstheme="minorHAnsi"/>
                          <w:b/>
                          <w:i/>
                          <w:sz w:val="20"/>
                          <w:szCs w:val="20"/>
                        </w:rPr>
                        <w:t>kladných hodnot</w:t>
                      </w:r>
                    </w:p>
                    <w:p w14:paraId="0CC68D43" w14:textId="77777777" w:rsidR="0031735E" w:rsidRPr="001B58F3" w:rsidRDefault="0031735E" w:rsidP="00E03088">
                      <w:pPr>
                        <w:spacing w:after="0"/>
                        <w:jc w:val="left"/>
                        <w:rPr>
                          <w:rFonts w:cstheme="minorHAnsi"/>
                          <w:i/>
                          <w:sz w:val="20"/>
                          <w:szCs w:val="20"/>
                        </w:rPr>
                      </w:pPr>
                    </w:p>
                  </w:txbxContent>
                </v:textbox>
                <w10:wrap anchorx="page"/>
              </v:shape>
            </w:pict>
          </mc:Fallback>
        </mc:AlternateContent>
      </w:r>
      <w:r w:rsidR="00B01126" w:rsidRPr="007F7EE4">
        <w:t>Vývoj běžných příjmů, výdajů a provozního přebytku</w:t>
      </w:r>
      <w:bookmarkEnd w:id="45"/>
      <w:bookmarkEnd w:id="46"/>
      <w:bookmarkEnd w:id="47"/>
      <w:bookmarkEnd w:id="48"/>
    </w:p>
    <w:p w14:paraId="15D9DF5F" w14:textId="0074E87F" w:rsidR="00B01126" w:rsidRPr="003300CB" w:rsidRDefault="002259E5" w:rsidP="008C3DB0">
      <w:pPr>
        <w:pStyle w:val="Objekt"/>
      </w:pPr>
      <w:r w:rsidRPr="002259E5">
        <w:rPr>
          <w:noProof/>
        </w:rPr>
        <w:drawing>
          <wp:inline distT="0" distB="0" distL="0" distR="0" wp14:anchorId="56BAF8DF" wp14:editId="5936DE67">
            <wp:extent cx="4860925" cy="2009775"/>
            <wp:effectExtent l="0" t="0" r="0" b="0"/>
            <wp:docPr id="1658460135" name="Obráze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860925" cy="2009775"/>
                    </a:xfrm>
                    <a:prstGeom prst="rect">
                      <a:avLst/>
                    </a:prstGeom>
                    <a:noFill/>
                    <a:ln>
                      <a:noFill/>
                    </a:ln>
                  </pic:spPr>
                </pic:pic>
              </a:graphicData>
            </a:graphic>
          </wp:inline>
        </w:drawing>
      </w:r>
    </w:p>
    <w:p w14:paraId="625B074B" w14:textId="77777777" w:rsidR="00B01126" w:rsidRPr="00660FF6" w:rsidRDefault="00B01126" w:rsidP="00993408">
      <w:r w:rsidRPr="00660FF6">
        <w:t xml:space="preserve">Další možností, jak zhodnotit hospodaření města, jsou hodnoty </w:t>
      </w:r>
      <w:r w:rsidR="00362A5F" w:rsidRPr="00660FF6">
        <w:t>ukazatele</w:t>
      </w:r>
      <w:r w:rsidRPr="00660FF6">
        <w:t xml:space="preserve"> provozních úspor. </w:t>
      </w:r>
      <w:r w:rsidR="00362A5F" w:rsidRPr="00660FF6">
        <w:t>Ukazatel</w:t>
      </w:r>
      <w:r w:rsidRPr="00660FF6">
        <w:t xml:space="preserve"> vyjadřuje procentuální hodnotu finančních prostředků, které zůstávají z provozních příjmů po úhradě provozních výdajů</w:t>
      </w:r>
      <w:r w:rsidR="00A608C1">
        <w:t xml:space="preserve"> na krytí investi</w:t>
      </w:r>
      <w:r w:rsidR="007E238E">
        <w:t>č</w:t>
      </w:r>
      <w:r w:rsidR="00A608C1">
        <w:t>ních záměrů města</w:t>
      </w:r>
      <w:r w:rsidRPr="00660FF6">
        <w:t xml:space="preserve">. Minimální hodnota ukazatele je 10 %, v ideálním případě se procentuální výše ukazatele má pohybovat </w:t>
      </w:r>
      <w:r w:rsidR="00064180" w:rsidRPr="00660FF6">
        <w:t>okolo hodnoty</w:t>
      </w:r>
      <w:r w:rsidRPr="00660FF6">
        <w:t xml:space="preserve"> 25 %</w:t>
      </w:r>
      <w:r w:rsidR="00064180" w:rsidRPr="00660FF6">
        <w:t>, která i odpovídá celostátnímu průměru v tomto pětiletém období</w:t>
      </w:r>
      <w:r w:rsidRPr="00660FF6">
        <w:t>.</w:t>
      </w:r>
    </w:p>
    <w:bookmarkStart w:id="49" w:name="_Toc428351156"/>
    <w:bookmarkStart w:id="50" w:name="_Toc428357451"/>
    <w:bookmarkStart w:id="51" w:name="_Toc55981687"/>
    <w:bookmarkStart w:id="52" w:name="_Toc180650291"/>
    <w:p w14:paraId="5933A289" w14:textId="77777777" w:rsidR="00B01126" w:rsidRPr="007F7EE4" w:rsidRDefault="009A041E" w:rsidP="007F7EE4">
      <w:pPr>
        <w:pStyle w:val="Graf0"/>
      </w:pPr>
      <w:r w:rsidRPr="001B58F3">
        <w:rPr>
          <w:rFonts w:ascii="Verdana" w:hAnsi="Verdana"/>
          <w:noProof/>
          <w:sz w:val="19"/>
          <w:highlight w:val="cyan"/>
          <w:lang w:eastAsia="cs-CZ"/>
        </w:rPr>
        <w:lastRenderedPageBreak/>
        <mc:AlternateContent>
          <mc:Choice Requires="wps">
            <w:drawing>
              <wp:anchor distT="0" distB="0" distL="114300" distR="114300" simplePos="0" relativeHeight="251651072" behindDoc="0" locked="0" layoutInCell="1" allowOverlap="1" wp14:anchorId="086474B6" wp14:editId="6041F64A">
                <wp:simplePos x="0" y="0"/>
                <wp:positionH relativeFrom="page">
                  <wp:posOffset>542772</wp:posOffset>
                </wp:positionH>
                <wp:positionV relativeFrom="paragraph">
                  <wp:posOffset>-65</wp:posOffset>
                </wp:positionV>
                <wp:extent cx="1404000" cy="1349596"/>
                <wp:effectExtent l="0" t="0" r="5715" b="3175"/>
                <wp:wrapNone/>
                <wp:docPr id="721"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1349596"/>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22A5CB2B" w14:textId="6D3AB0BA" w:rsidR="0031735E" w:rsidRPr="00370D4F" w:rsidRDefault="0031735E" w:rsidP="00973A21">
                            <w:pPr>
                              <w:spacing w:before="0"/>
                              <w:jc w:val="left"/>
                              <w:rPr>
                                <w:rFonts w:cstheme="minorHAnsi"/>
                                <w:i/>
                                <w:szCs w:val="22"/>
                              </w:rPr>
                            </w:pPr>
                            <w:r>
                              <w:rPr>
                                <w:rStyle w:val="Odkaznakoment"/>
                                <w:rFonts w:cstheme="minorHAnsi"/>
                                <w:i/>
                                <w:sz w:val="20"/>
                                <w:szCs w:val="20"/>
                              </w:rPr>
                              <w:t>Hodnoty u</w:t>
                            </w:r>
                            <w:r w:rsidRPr="00BA1316">
                              <w:rPr>
                                <w:rStyle w:val="Odkaznakoment"/>
                                <w:rFonts w:cstheme="minorHAnsi"/>
                                <w:i/>
                                <w:sz w:val="20"/>
                                <w:szCs w:val="20"/>
                              </w:rPr>
                              <w:t>kazatel</w:t>
                            </w:r>
                            <w:r>
                              <w:rPr>
                                <w:rStyle w:val="Odkaznakoment"/>
                                <w:rFonts w:cstheme="minorHAnsi"/>
                                <w:i/>
                                <w:sz w:val="20"/>
                                <w:szCs w:val="20"/>
                              </w:rPr>
                              <w:t>e</w:t>
                            </w:r>
                            <w:r w:rsidRPr="00BA1316">
                              <w:rPr>
                                <w:rStyle w:val="Odkaznakoment"/>
                                <w:rFonts w:cstheme="minorHAnsi"/>
                                <w:i/>
                                <w:sz w:val="20"/>
                                <w:szCs w:val="20"/>
                              </w:rPr>
                              <w:t xml:space="preserve"> provozních úspor </w:t>
                            </w:r>
                            <w:r w:rsidRPr="00A83E2C">
                              <w:rPr>
                                <w:rStyle w:val="Odkaznakoment"/>
                                <w:rFonts w:cstheme="minorHAnsi"/>
                                <w:i/>
                                <w:sz w:val="20"/>
                                <w:szCs w:val="20"/>
                              </w:rPr>
                              <w:t>nejvíce ovlivňují sdílené daně</w:t>
                            </w:r>
                            <w:r w:rsidR="00A83E2C" w:rsidRPr="00A83E2C">
                              <w:rPr>
                                <w:rStyle w:val="Odkaznakoment"/>
                                <w:rFonts w:cstheme="minorHAnsi"/>
                                <w:i/>
                                <w:sz w:val="20"/>
                                <w:szCs w:val="20"/>
                              </w:rPr>
                              <w:t>,</w:t>
                            </w:r>
                            <w:r w:rsidRPr="00A83E2C">
                              <w:rPr>
                                <w:rStyle w:val="Odkaznakoment"/>
                                <w:rFonts w:cstheme="minorHAnsi"/>
                                <w:i/>
                                <w:sz w:val="20"/>
                                <w:szCs w:val="20"/>
                              </w:rPr>
                              <w:t xml:space="preserve"> platy a související výdaje</w:t>
                            </w:r>
                            <w:r w:rsidR="00A83E2C" w:rsidRPr="00A83E2C">
                              <w:rPr>
                                <w:rStyle w:val="Odkaznakoment"/>
                                <w:rFonts w:cstheme="minorHAnsi"/>
                                <w:i/>
                                <w:sz w:val="20"/>
                                <w:szCs w:val="20"/>
                              </w:rPr>
                              <w:t xml:space="preserve"> a </w:t>
                            </w:r>
                            <w:r w:rsidRPr="00A83E2C">
                              <w:rPr>
                                <w:rStyle w:val="Odkaznakoment"/>
                                <w:rFonts w:cstheme="minorHAnsi"/>
                                <w:i/>
                                <w:sz w:val="20"/>
                                <w:szCs w:val="20"/>
                              </w:rPr>
                              <w:t xml:space="preserve">příspěvky PO </w:t>
                            </w: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086474B6" id="_x0000_s1045" type="#_x0000_t202" style="position:absolute;left:0;text-align:left;margin-left:42.75pt;margin-top:0;width:110.55pt;height:106.25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" fillcolor="white [3201]" stroked="f" strokeweight=".5pt">
                <v:path arrowok="t"/>
                <v:textbox inset="0,0,0,0">
                  <w:txbxContent>
                    <w:p w14:paraId="22A5CB2B" w14:textId="6D3AB0BA" w:rsidR="0031735E" w:rsidRPr="00370D4F" w:rsidRDefault="0031735E" w:rsidP="00973A21">
                      <w:pPr>
                        <w:spacing w:before="0"/>
                        <w:jc w:val="left"/>
                        <w:rPr>
                          <w:rFonts w:cstheme="minorHAnsi"/>
                          <w:i/>
                          <w:szCs w:val="22"/>
                        </w:rPr>
                      </w:pPr>
                      <w:r>
                        <w:rPr>
                          <w:rStyle w:val="Odkaznakoment"/>
                          <w:rFonts w:cstheme="minorHAnsi"/>
                          <w:i/>
                          <w:sz w:val="20"/>
                          <w:szCs w:val="20"/>
                        </w:rPr>
                        <w:t>Hodnoty u</w:t>
                      </w:r>
                      <w:r w:rsidRPr="00BA1316">
                        <w:rPr>
                          <w:rStyle w:val="Odkaznakoment"/>
                          <w:rFonts w:cstheme="minorHAnsi"/>
                          <w:i/>
                          <w:sz w:val="20"/>
                          <w:szCs w:val="20"/>
                        </w:rPr>
                        <w:t>kazatel</w:t>
                      </w:r>
                      <w:r>
                        <w:rPr>
                          <w:rStyle w:val="Odkaznakoment"/>
                          <w:rFonts w:cstheme="minorHAnsi"/>
                          <w:i/>
                          <w:sz w:val="20"/>
                          <w:szCs w:val="20"/>
                        </w:rPr>
                        <w:t>e</w:t>
                      </w:r>
                      <w:r w:rsidRPr="00BA1316">
                        <w:rPr>
                          <w:rStyle w:val="Odkaznakoment"/>
                          <w:rFonts w:cstheme="minorHAnsi"/>
                          <w:i/>
                          <w:sz w:val="20"/>
                          <w:szCs w:val="20"/>
                        </w:rPr>
                        <w:t xml:space="preserve"> provozních úspor </w:t>
                      </w:r>
                      <w:r w:rsidRPr="00A83E2C">
                        <w:rPr>
                          <w:rStyle w:val="Odkaznakoment"/>
                          <w:rFonts w:cstheme="minorHAnsi"/>
                          <w:i/>
                          <w:sz w:val="20"/>
                          <w:szCs w:val="20"/>
                        </w:rPr>
                        <w:t>nejvíce ovlivňují sdílené daně</w:t>
                      </w:r>
                      <w:r w:rsidR="00A83E2C" w:rsidRPr="00A83E2C">
                        <w:rPr>
                          <w:rStyle w:val="Odkaznakoment"/>
                          <w:rFonts w:cstheme="minorHAnsi"/>
                          <w:i/>
                          <w:sz w:val="20"/>
                          <w:szCs w:val="20"/>
                        </w:rPr>
                        <w:t>,</w:t>
                      </w:r>
                      <w:r w:rsidRPr="00A83E2C">
                        <w:rPr>
                          <w:rStyle w:val="Odkaznakoment"/>
                          <w:rFonts w:cstheme="minorHAnsi"/>
                          <w:i/>
                          <w:sz w:val="20"/>
                          <w:szCs w:val="20"/>
                        </w:rPr>
                        <w:t xml:space="preserve"> platy a související výdaje</w:t>
                      </w:r>
                      <w:r w:rsidR="00A83E2C" w:rsidRPr="00A83E2C">
                        <w:rPr>
                          <w:rStyle w:val="Odkaznakoment"/>
                          <w:rFonts w:cstheme="minorHAnsi"/>
                          <w:i/>
                          <w:sz w:val="20"/>
                          <w:szCs w:val="20"/>
                        </w:rPr>
                        <w:t xml:space="preserve"> a </w:t>
                      </w:r>
                      <w:r w:rsidRPr="00A83E2C">
                        <w:rPr>
                          <w:rStyle w:val="Odkaznakoment"/>
                          <w:rFonts w:cstheme="minorHAnsi"/>
                          <w:i/>
                          <w:sz w:val="20"/>
                          <w:szCs w:val="20"/>
                        </w:rPr>
                        <w:t xml:space="preserve">příspěvky PO </w:t>
                      </w:r>
                    </w:p>
                  </w:txbxContent>
                </v:textbox>
                <w10:wrap anchorx="page"/>
              </v:shape>
            </w:pict>
          </mc:Fallback>
        </mc:AlternateContent>
      </w:r>
      <w:r w:rsidR="00B01126" w:rsidRPr="007F7EE4">
        <w:t xml:space="preserve">Vývoj </w:t>
      </w:r>
      <w:bookmarkEnd w:id="49"/>
      <w:bookmarkEnd w:id="50"/>
      <w:bookmarkEnd w:id="51"/>
      <w:r w:rsidR="00765C93" w:rsidRPr="007F7EE4">
        <w:t>provozních ukazatelů</w:t>
      </w:r>
      <w:bookmarkEnd w:id="52"/>
    </w:p>
    <w:p w14:paraId="2CEF36E4" w14:textId="40C54BA5" w:rsidR="00B01126" w:rsidRPr="003300CB" w:rsidRDefault="002259E5" w:rsidP="008C3DB0">
      <w:pPr>
        <w:pStyle w:val="Objekt"/>
      </w:pPr>
      <w:r w:rsidRPr="002259E5">
        <w:rPr>
          <w:noProof/>
        </w:rPr>
        <w:drawing>
          <wp:inline distT="0" distB="0" distL="0" distR="0" wp14:anchorId="6DAF98C2" wp14:editId="09B38135">
            <wp:extent cx="4860925" cy="2009775"/>
            <wp:effectExtent l="0" t="0" r="0" b="0"/>
            <wp:docPr id="1491433988" name="Obráze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860925" cy="2009775"/>
                    </a:xfrm>
                    <a:prstGeom prst="rect">
                      <a:avLst/>
                    </a:prstGeom>
                    <a:noFill/>
                    <a:ln>
                      <a:noFill/>
                    </a:ln>
                  </pic:spPr>
                </pic:pic>
              </a:graphicData>
            </a:graphic>
          </wp:inline>
        </w:drawing>
      </w:r>
    </w:p>
    <w:p w14:paraId="6C712F6B" w14:textId="3CE6C43F" w:rsidR="00A83E2C" w:rsidRPr="00926E22" w:rsidRDefault="00A83E2C" w:rsidP="00A83E2C">
      <w:r w:rsidRPr="008A01F2">
        <w:t xml:space="preserve">Předcházející graf ukazuje </w:t>
      </w:r>
      <w:r>
        <w:t>poměrně</w:t>
      </w:r>
      <w:r w:rsidRPr="008A01F2">
        <w:t xml:space="preserve"> dobré hodnoty indexu provozních úspor</w:t>
      </w:r>
      <w:r>
        <w:t>, nedosahují však hodnot optimálních.</w:t>
      </w:r>
      <w:r w:rsidRPr="008A01F2">
        <w:t xml:space="preserve"> </w:t>
      </w:r>
      <w:r>
        <w:t>Přestože sdílené daně v roce 2023 vykázaly relativně nejvyšší růst v celém sledovaném období (118,5 mil. Kč, tj. 13,9 %)</w:t>
      </w:r>
      <w:r w:rsidR="00810B14">
        <w:t>,</w:t>
      </w:r>
      <w:r>
        <w:t xml:space="preserve"> index naopak poklesl po</w:t>
      </w:r>
      <w:r w:rsidR="00810B14">
        <w:t>d</w:t>
      </w:r>
      <w:r>
        <w:t xml:space="preserve"> minimální doporučenou hodnotu 10 %, a to z důvodu zrychleného</w:t>
      </w:r>
      <w:r w:rsidRPr="00926E22">
        <w:t xml:space="preserve"> tempa růstu provozních výdajů</w:t>
      </w:r>
      <w:r>
        <w:t xml:space="preserve"> (</w:t>
      </w:r>
      <w:r w:rsidR="00810B14" w:rsidRPr="00810B14">
        <w:t>Neinv</w:t>
      </w:r>
      <w:r w:rsidR="00810B14">
        <w:t xml:space="preserve">estičních </w:t>
      </w:r>
      <w:r w:rsidR="00810B14" w:rsidRPr="00810B14">
        <w:t>nákup</w:t>
      </w:r>
      <w:r w:rsidR="00810B14">
        <w:t>ů</w:t>
      </w:r>
      <w:r w:rsidR="00810B14" w:rsidRPr="00810B14">
        <w:t xml:space="preserve"> a souvis</w:t>
      </w:r>
      <w:r w:rsidR="00810B14">
        <w:t xml:space="preserve">ejících </w:t>
      </w:r>
      <w:r w:rsidR="00810B14" w:rsidRPr="00810B14">
        <w:t>výdaj</w:t>
      </w:r>
      <w:r w:rsidR="00810B14">
        <w:t>ů -</w:t>
      </w:r>
      <w:r w:rsidR="00810B14" w:rsidRPr="00810B14">
        <w:t xml:space="preserve"> </w:t>
      </w:r>
      <w:r w:rsidR="00810B14">
        <w:t xml:space="preserve">meziroční růst o 66,9 mil. Kč, tj. o 33,5 %, </w:t>
      </w:r>
      <w:r w:rsidRPr="00706C86">
        <w:t>Neinv</w:t>
      </w:r>
      <w:r>
        <w:t xml:space="preserve">estičních </w:t>
      </w:r>
      <w:r w:rsidRPr="00706C86">
        <w:t>transf</w:t>
      </w:r>
      <w:r>
        <w:t xml:space="preserve">erů </w:t>
      </w:r>
      <w:r w:rsidRPr="00706C86">
        <w:t>soukromopráv</w:t>
      </w:r>
      <w:r>
        <w:t xml:space="preserve">ním subjektům – meziroční růst o </w:t>
      </w:r>
      <w:r w:rsidR="00810B14">
        <w:t>68,3</w:t>
      </w:r>
      <w:r>
        <w:t xml:space="preserve"> mil. Kč, tj. o 3</w:t>
      </w:r>
      <w:r w:rsidR="00810B14">
        <w:t>2,</w:t>
      </w:r>
      <w:r>
        <w:t>1 %</w:t>
      </w:r>
      <w:r w:rsidR="00810B14">
        <w:t xml:space="preserve"> a zejména </w:t>
      </w:r>
      <w:r w:rsidR="00810B14" w:rsidRPr="00706C86">
        <w:t>Neinv</w:t>
      </w:r>
      <w:r w:rsidR="00810B14">
        <w:t xml:space="preserve">estičních </w:t>
      </w:r>
      <w:r w:rsidR="00810B14" w:rsidRPr="00706C86">
        <w:t>transf</w:t>
      </w:r>
      <w:r w:rsidR="00810B14">
        <w:t>erů veřejnoprávním subjektům - meziroční růst o 140,5 mil. Kč, tj. o 31,3 %)</w:t>
      </w:r>
      <w:r w:rsidRPr="00926E22">
        <w:t>.</w:t>
      </w:r>
      <w:r>
        <w:t xml:space="preserve"> </w:t>
      </w:r>
      <w:r w:rsidRPr="00926E22">
        <w:t>Pro vývoj indexu je tak zásadní vývoj provozního přebytku, resp. tempo růstu provozního rozpočtu. Poklesem hodnoty tohoto ukazatele v roce 202</w:t>
      </w:r>
      <w:r>
        <w:t>3</w:t>
      </w:r>
      <w:r w:rsidRPr="00926E22">
        <w:t xml:space="preserve"> se budeme podrobněji zabývat v následujícím textu.</w:t>
      </w:r>
    </w:p>
    <w:p w14:paraId="1EBC7740" w14:textId="3B42AF4C" w:rsidR="00B01126" w:rsidRPr="00B92DBB" w:rsidRDefault="00B01126" w:rsidP="00993408">
      <w:r w:rsidRPr="00B92DBB">
        <w:t xml:space="preserve">Pro města s dluhovou službou je důležitým ukazatelem hospodaření </w:t>
      </w:r>
      <w:r w:rsidRPr="00B92DBB">
        <w:rPr>
          <w:b/>
        </w:rPr>
        <w:t>rozdíl provozního přebytku a splátek jistin</w:t>
      </w:r>
      <w:r w:rsidRPr="00B92DBB">
        <w:t>. Pro tento ukazatel platí stejné závěry jako pro provozní přebytek – jeho hodnoty by měly být vždy kladné, protože až po uhrazení splátek jistin v daném roce ukazatel vyjadřuje částku z provozního rozpočtu použitelnou na rozvoj města formou investičních výdajů</w:t>
      </w:r>
      <w:r w:rsidRPr="00941674">
        <w:t>. V analyzovaném období</w:t>
      </w:r>
      <w:r w:rsidR="00810B14">
        <w:t xml:space="preserve"> </w:t>
      </w:r>
      <w:r w:rsidR="00743974" w:rsidRPr="00941674">
        <w:t xml:space="preserve">nabývá </w:t>
      </w:r>
      <w:r w:rsidR="00800FB0" w:rsidRPr="00941674">
        <w:t>tento</w:t>
      </w:r>
      <w:r w:rsidRPr="00941674">
        <w:t xml:space="preserve"> ukazatel </w:t>
      </w:r>
      <w:r w:rsidR="00B92DBB" w:rsidRPr="00941674">
        <w:t>kladných hodnot</w:t>
      </w:r>
      <w:r w:rsidR="00743974" w:rsidRPr="00941674">
        <w:t>.</w:t>
      </w:r>
    </w:p>
    <w:p w14:paraId="3F378906" w14:textId="631CFA7F" w:rsidR="00B01126" w:rsidRPr="00092667" w:rsidRDefault="00B01126" w:rsidP="00993408">
      <w:r w:rsidRPr="00092667">
        <w:t xml:space="preserve">V rámci posouzení hospodaření v minulosti je důležité zaměřit se na plnění a vývoj běžných (provozních) příjmů a výdajů. Pro obecné posouzení dlouhodobé udržitelnosti hospodaření platí, že nárůst běžných příjmů by měl být vyšší než nárůst běžných výdajů. V období let </w:t>
      </w:r>
      <w:proofErr w:type="gramStart"/>
      <w:r w:rsidR="00E77FC3">
        <w:t>2019 - 2023</w:t>
      </w:r>
      <w:proofErr w:type="gramEnd"/>
      <w:r w:rsidRPr="00092667">
        <w:t xml:space="preserve"> byl součet provozních příjmů </w:t>
      </w:r>
      <w:r w:rsidR="00E77FC3">
        <w:t>6 428,1</w:t>
      </w:r>
      <w:r w:rsidRPr="00092667">
        <w:t xml:space="preserve"> mil. Kč, zatímco ve stejném období město utratilo na provozních výdajích </w:t>
      </w:r>
      <w:r w:rsidR="00E77FC3">
        <w:t>5 398,7</w:t>
      </w:r>
      <w:r w:rsidRPr="00092667">
        <w:t xml:space="preserve"> mil. Kč. Jedna z podmínek udržitelného hospodaření </w:t>
      </w:r>
      <w:r w:rsidR="00E77FC3">
        <w:t>byla</w:t>
      </w:r>
      <w:r w:rsidRPr="00094636">
        <w:t xml:space="preserve"> splněna.</w:t>
      </w:r>
    </w:p>
    <w:p w14:paraId="5207111A" w14:textId="11FCAA45" w:rsidR="00D9228F" w:rsidRDefault="007737BD" w:rsidP="00AA37F7">
      <w:r w:rsidRPr="009A041E">
        <w:rPr>
          <w:rFonts w:ascii="Verdana" w:hAnsi="Verdana"/>
          <w:noProof/>
          <w:sz w:val="19"/>
          <w:highlight w:val="cyan"/>
          <w:lang w:eastAsia="cs-CZ"/>
        </w:rPr>
        <mc:AlternateContent>
          <mc:Choice Requires="wps">
            <w:drawing>
              <wp:anchor distT="0" distB="0" distL="114300" distR="114300" simplePos="0" relativeHeight="251655680" behindDoc="0" locked="0" layoutInCell="1" allowOverlap="1" wp14:anchorId="179B85D7" wp14:editId="5D9269D8">
                <wp:simplePos x="0" y="0"/>
                <wp:positionH relativeFrom="page">
                  <wp:posOffset>541655</wp:posOffset>
                </wp:positionH>
                <wp:positionV relativeFrom="paragraph">
                  <wp:posOffset>0</wp:posOffset>
                </wp:positionV>
                <wp:extent cx="1404000" cy="1148400"/>
                <wp:effectExtent l="0" t="0" r="5715" b="0"/>
                <wp:wrapNone/>
                <wp:docPr id="722"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114840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2DC2A506" w14:textId="2E40665C" w:rsidR="0031735E" w:rsidRPr="001B58F3" w:rsidRDefault="0031735E" w:rsidP="00FE6EB6">
                            <w:pPr>
                              <w:jc w:val="left"/>
                              <w:rPr>
                                <w:rFonts w:cstheme="minorHAnsi"/>
                                <w:i/>
                                <w:sz w:val="20"/>
                                <w:szCs w:val="20"/>
                              </w:rPr>
                            </w:pPr>
                            <w:r w:rsidRPr="00FE6EB6">
                              <w:rPr>
                                <w:rStyle w:val="Odkaznakoment"/>
                                <w:rFonts w:cstheme="minorHAnsi"/>
                                <w:i/>
                                <w:sz w:val="20"/>
                                <w:szCs w:val="20"/>
                              </w:rPr>
                              <w:t xml:space="preserve">Oživení ekonomiky v roce </w:t>
                            </w:r>
                            <w:r w:rsidR="00E77FC3" w:rsidRPr="00E77FC3">
                              <w:rPr>
                                <w:i/>
                                <w:iCs/>
                                <w:sz w:val="20"/>
                                <w:szCs w:val="20"/>
                              </w:rPr>
                              <w:t>2023</w:t>
                            </w:r>
                            <w:r w:rsidRPr="00FE6EB6">
                              <w:rPr>
                                <w:rStyle w:val="Odkaznakoment"/>
                                <w:rFonts w:cstheme="minorHAnsi"/>
                                <w:i/>
                                <w:sz w:val="20"/>
                                <w:szCs w:val="20"/>
                              </w:rPr>
                              <w:t>: růst daňových příjmů o</w:t>
                            </w:r>
                            <w:r w:rsidRPr="00122D55">
                              <w:rPr>
                                <w:rStyle w:val="Odkaznakoment"/>
                                <w:rFonts w:cstheme="minorHAnsi"/>
                                <w:i/>
                                <w:sz w:val="20"/>
                                <w:szCs w:val="20"/>
                              </w:rPr>
                              <w:t xml:space="preserve"> </w:t>
                            </w:r>
                            <w:r w:rsidR="00E77FC3" w:rsidRPr="00E77FC3">
                              <w:rPr>
                                <w:i/>
                                <w:sz w:val="20"/>
                                <w:szCs w:val="20"/>
                              </w:rPr>
                              <w:t>119,8</w:t>
                            </w:r>
                            <w:r>
                              <w:rPr>
                                <w:rStyle w:val="Odkaznakoment"/>
                                <w:rFonts w:cstheme="minorHAnsi"/>
                                <w:i/>
                                <w:sz w:val="20"/>
                                <w:szCs w:val="20"/>
                              </w:rPr>
                              <w:t xml:space="preserve"> </w:t>
                            </w:r>
                            <w:r w:rsidRPr="00FE6EB6">
                              <w:rPr>
                                <w:rStyle w:val="Odkaznakoment"/>
                                <w:rFonts w:cstheme="minorHAnsi"/>
                                <w:i/>
                                <w:sz w:val="20"/>
                                <w:szCs w:val="20"/>
                              </w:rPr>
                              <w:t xml:space="preserve">mil. Kč, v investicích nárůst o </w:t>
                            </w:r>
                            <w:r w:rsidR="00E77FC3" w:rsidRPr="00E77FC3">
                              <w:rPr>
                                <w:i/>
                                <w:sz w:val="20"/>
                                <w:szCs w:val="20"/>
                              </w:rPr>
                              <w:t>70,6</w:t>
                            </w:r>
                            <w:r w:rsidRPr="00FE6EB6">
                              <w:rPr>
                                <w:rStyle w:val="Odkaznakoment"/>
                                <w:rFonts w:cstheme="minorHAnsi"/>
                                <w:i/>
                                <w:sz w:val="20"/>
                                <w:szCs w:val="20"/>
                              </w:rPr>
                              <w:t xml:space="preserve"> mil. Kč.</w:t>
                            </w:r>
                          </w:p>
                          <w:p w14:paraId="1F41996B" w14:textId="77777777" w:rsidR="0031735E" w:rsidRPr="001B58F3" w:rsidRDefault="0031735E" w:rsidP="007737BD">
                            <w:pPr>
                              <w:spacing w:before="0"/>
                              <w:jc w:val="left"/>
                              <w:rPr>
                                <w:rFonts w:cstheme="minorHAnsi"/>
                                <w:i/>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179B85D7" id="_x0000_s1046" type="#_x0000_t202" style="position:absolute;left:0;text-align:left;margin-left:42.65pt;margin-top:0;width:110.55pt;height:90.4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" fillcolor="white [3201]" stroked="f" strokeweight=".5pt">
                <v:path arrowok="t"/>
                <v:textbox inset="0,0,0,0">
                  <w:txbxContent>
                    <w:p w14:paraId="2DC2A506" w14:textId="2E40665C" w:rsidR="0031735E" w:rsidRPr="001B58F3" w:rsidRDefault="0031735E" w:rsidP="00FE6EB6">
                      <w:pPr>
                        <w:jc w:val="left"/>
                        <w:rPr>
                          <w:rFonts w:cstheme="minorHAnsi"/>
                          <w:i/>
                          <w:sz w:val="20"/>
                          <w:szCs w:val="20"/>
                        </w:rPr>
                      </w:pPr>
                      <w:r w:rsidRPr="00FE6EB6">
                        <w:rPr>
                          <w:rStyle w:val="Odkaznakoment"/>
                          <w:rFonts w:cstheme="minorHAnsi"/>
                          <w:i/>
                          <w:sz w:val="20"/>
                          <w:szCs w:val="20"/>
                        </w:rPr>
                        <w:t xml:space="preserve">Oživení ekonomiky v roce </w:t>
                      </w:r>
                      <w:r w:rsidR="00E77FC3" w:rsidRPr="00E77FC3">
                        <w:rPr>
                          <w:i/>
                          <w:iCs/>
                          <w:sz w:val="20"/>
                          <w:szCs w:val="20"/>
                        </w:rPr>
                        <w:t>2023</w:t>
                      </w:r>
                      <w:r w:rsidRPr="00FE6EB6">
                        <w:rPr>
                          <w:rStyle w:val="Odkaznakoment"/>
                          <w:rFonts w:cstheme="minorHAnsi"/>
                          <w:i/>
                          <w:sz w:val="20"/>
                          <w:szCs w:val="20"/>
                        </w:rPr>
                        <w:t>: růst daňových příjmů o</w:t>
                      </w:r>
                      <w:r w:rsidRPr="00122D55">
                        <w:rPr>
                          <w:rStyle w:val="Odkaznakoment"/>
                          <w:rFonts w:cstheme="minorHAnsi"/>
                          <w:i/>
                          <w:sz w:val="20"/>
                          <w:szCs w:val="20"/>
                        </w:rPr>
                        <w:t xml:space="preserve"> </w:t>
                      </w:r>
                      <w:r w:rsidR="00E77FC3" w:rsidRPr="00E77FC3">
                        <w:rPr>
                          <w:i/>
                          <w:sz w:val="20"/>
                          <w:szCs w:val="20"/>
                        </w:rPr>
                        <w:t>119,8</w:t>
                      </w:r>
                      <w:r>
                        <w:rPr>
                          <w:rStyle w:val="Odkaznakoment"/>
                          <w:rFonts w:cstheme="minorHAnsi"/>
                          <w:i/>
                          <w:sz w:val="20"/>
                          <w:szCs w:val="20"/>
                        </w:rPr>
                        <w:t xml:space="preserve"> </w:t>
                      </w:r>
                      <w:r w:rsidRPr="00FE6EB6">
                        <w:rPr>
                          <w:rStyle w:val="Odkaznakoment"/>
                          <w:rFonts w:cstheme="minorHAnsi"/>
                          <w:i/>
                          <w:sz w:val="20"/>
                          <w:szCs w:val="20"/>
                        </w:rPr>
                        <w:t xml:space="preserve">mil. Kč, v investicích nárůst o </w:t>
                      </w:r>
                      <w:r w:rsidR="00E77FC3" w:rsidRPr="00E77FC3">
                        <w:rPr>
                          <w:i/>
                          <w:sz w:val="20"/>
                          <w:szCs w:val="20"/>
                        </w:rPr>
                        <w:t>70,6</w:t>
                      </w:r>
                      <w:r w:rsidRPr="00FE6EB6">
                        <w:rPr>
                          <w:rStyle w:val="Odkaznakoment"/>
                          <w:rFonts w:cstheme="minorHAnsi"/>
                          <w:i/>
                          <w:sz w:val="20"/>
                          <w:szCs w:val="20"/>
                        </w:rPr>
                        <w:t xml:space="preserve"> mil. Kč.</w:t>
                      </w:r>
                    </w:p>
                    <w:p w14:paraId="1F41996B" w14:textId="77777777" w:rsidR="0031735E" w:rsidRPr="001B58F3" w:rsidRDefault="0031735E" w:rsidP="007737BD">
                      <w:pPr>
                        <w:spacing w:before="0"/>
                        <w:jc w:val="left"/>
                        <w:rPr>
                          <w:rFonts w:cstheme="minorHAnsi"/>
                          <w:i/>
                          <w:sz w:val="20"/>
                          <w:szCs w:val="20"/>
                        </w:rPr>
                      </w:pPr>
                    </w:p>
                  </w:txbxContent>
                </v:textbox>
                <w10:wrap anchorx="page"/>
              </v:shape>
            </w:pict>
          </mc:Fallback>
        </mc:AlternateContent>
      </w:r>
      <w:r w:rsidR="00E77FC3">
        <w:t>Růst</w:t>
      </w:r>
      <w:r w:rsidR="00AA37F7" w:rsidRPr="00BD6885">
        <w:t xml:space="preserve"> objemu provozních příjmů od roku </w:t>
      </w:r>
      <w:r w:rsidR="00E77FC3">
        <w:t>2019</w:t>
      </w:r>
      <w:r w:rsidR="00AA37F7" w:rsidRPr="00BD6885">
        <w:t xml:space="preserve"> do roku </w:t>
      </w:r>
      <w:r w:rsidR="00E77FC3">
        <w:t>2023</w:t>
      </w:r>
      <w:r w:rsidR="00AA37F7" w:rsidRPr="00BD6885">
        <w:t xml:space="preserve"> byl </w:t>
      </w:r>
      <w:r w:rsidR="00E77FC3">
        <w:t>391,9</w:t>
      </w:r>
      <w:r w:rsidR="00AA37F7" w:rsidRPr="00BD6885">
        <w:t xml:space="preserve"> mil. Kč, zatímco provozní výdaje ve stejném období </w:t>
      </w:r>
      <w:r w:rsidR="00E77FC3">
        <w:t>vzrostly</w:t>
      </w:r>
      <w:r w:rsidR="00AA37F7" w:rsidRPr="00BD6885">
        <w:t xml:space="preserve"> o </w:t>
      </w:r>
      <w:r w:rsidR="00E77FC3">
        <w:t>461,8</w:t>
      </w:r>
      <w:r w:rsidR="00AA37F7" w:rsidRPr="00BD6885">
        <w:t xml:space="preserve"> mil. Kč. </w:t>
      </w:r>
      <w:r w:rsidR="00AA37F7" w:rsidRPr="00AD6F0D">
        <w:t xml:space="preserve">Je zřejmé, že objem prostředků v absolutním vyjádření ve sledovaném období </w:t>
      </w:r>
      <w:r w:rsidR="00B92DBB" w:rsidRPr="00AD6F0D">
        <w:t>roste</w:t>
      </w:r>
      <w:r w:rsidR="00AA37F7" w:rsidRPr="00AD6F0D">
        <w:t xml:space="preserve">, přičemž provozní příjmy rostly </w:t>
      </w:r>
      <w:r w:rsidR="00E77FC3" w:rsidRPr="00AD6F0D">
        <w:t>pomalejším</w:t>
      </w:r>
      <w:r w:rsidR="00AA37F7" w:rsidRPr="00AD6F0D">
        <w:t xml:space="preserve"> tempem než provozní výdaje. </w:t>
      </w:r>
      <w:r w:rsidR="00B4578B" w:rsidRPr="00AD6F0D">
        <w:t xml:space="preserve">Tento stav je </w:t>
      </w:r>
      <w:r w:rsidR="00BD6885" w:rsidRPr="00AD6F0D">
        <w:t>platný i</w:t>
      </w:r>
      <w:r w:rsidR="00995C0C" w:rsidRPr="00AD6F0D">
        <w:t xml:space="preserve"> </w:t>
      </w:r>
      <w:r w:rsidR="00FD7C51" w:rsidRPr="00AD6F0D">
        <w:t>díky</w:t>
      </w:r>
      <w:r w:rsidR="00B4578B" w:rsidRPr="00AD6F0D">
        <w:t xml:space="preserve"> několikrát</w:t>
      </w:r>
      <w:r w:rsidR="00B4578B" w:rsidRPr="00733506">
        <w:t xml:space="preserve"> zmiňovan</w:t>
      </w:r>
      <w:r w:rsidR="00FD7C51">
        <w:t>é</w:t>
      </w:r>
      <w:r w:rsidR="00B4578B" w:rsidRPr="00733506">
        <w:t xml:space="preserve"> </w:t>
      </w:r>
      <w:r w:rsidR="00AD6F0D">
        <w:t>vysoké</w:t>
      </w:r>
      <w:r w:rsidR="00FE6EB6" w:rsidRPr="00FE6EB6">
        <w:t xml:space="preserve"> inflaci.</w:t>
      </w:r>
    </w:p>
    <w:p w14:paraId="482F7DF3" w14:textId="77777777" w:rsidR="0073754C" w:rsidRPr="004D0FAA" w:rsidRDefault="0073754C" w:rsidP="0073754C">
      <w:pPr>
        <w:pStyle w:val="Nadpis3"/>
      </w:pPr>
      <w:r w:rsidRPr="004D0FAA">
        <w:t>Posouzení krátkodobého plánování</w:t>
      </w:r>
    </w:p>
    <w:p w14:paraId="05B9AD56" w14:textId="25C29E3D" w:rsidR="00477F85" w:rsidRPr="000434DD" w:rsidRDefault="00477F85" w:rsidP="00477F85">
      <w:r w:rsidRPr="000434DD">
        <w:t xml:space="preserve">Rozpočet obce je finanční plán, který sestavuje obec na rozpočtové období (kalendářní rok). Při zpracování rozpočtu obce se vychází ze střednědobého výhledu rozpočtu, tak </w:t>
      </w:r>
      <w:r w:rsidRPr="000434DD">
        <w:lastRenderedPageBreak/>
        <w:t xml:space="preserve">jak definuje zákon (č. 250/2000 Sb., o rozpočtových pravidlech územních rozpočtů). Pro sestavení SVR platí obrácené pravidlo, tj základem pro sestavení SVR je aktuálně platný rozpočet. Už při sestavování rozpočtu je proto nutné dodržovat </w:t>
      </w:r>
      <w:r w:rsidRPr="000434DD">
        <w:rPr>
          <w:b/>
          <w:bCs/>
        </w:rPr>
        <w:t>pravidlo rychlejšího růstu běžných příjmů než provozních výdajů</w:t>
      </w:r>
      <w:r w:rsidRPr="000434DD">
        <w:t>. Opačný případ, kdy běžné výdaje rostou rychleji než běžné příjmy, je dlouhodobě neudržitelný. Proto je důležité věnovat náležitou pozornost sestavení střednědobému výhledu rozpočtu. Kvalitně sestavený střednědobý výhled rozpočtu, tedy vlastně víceletý finanční plán, pomáhá lépe zvládat hospodaření ÚSC a tím i eliminovat takové sestavení rozpočtu, které by mohlo ohrozit hospodaření municipality.</w:t>
      </w:r>
    </w:p>
    <w:p w14:paraId="3F3B7CE8" w14:textId="77777777" w:rsidR="00477F85" w:rsidRPr="000434DD" w:rsidRDefault="00477F85" w:rsidP="00477F85">
      <w:r w:rsidRPr="000434DD">
        <w:t>Posouzení p</w:t>
      </w:r>
      <w:r>
        <w:t>l</w:t>
      </w:r>
      <w:r w:rsidRPr="000434DD">
        <w:t>atného rozpočtu je rozděleno na část provozních hodnot a část investičních (kapitálových) hodnot, protože v kapitálové části rozpočtu zpravidla dochází během roku k velkým změnám v důsledku celé řady okolností v oblasti příprav, realizace i změn v investičních prioritách.</w:t>
      </w:r>
    </w:p>
    <w:p w14:paraId="1FAAE91A" w14:textId="6569B0F1" w:rsidR="00477F85" w:rsidRPr="007F7EE4" w:rsidRDefault="00477F85" w:rsidP="00477F85">
      <w:pPr>
        <w:pStyle w:val="Tabulka"/>
      </w:pPr>
      <w:bookmarkStart w:id="53" w:name="_Toc157684777"/>
      <w:bookmarkStart w:id="54" w:name="_Toc180650264"/>
      <w:r>
        <w:t xml:space="preserve">Porovnání </w:t>
      </w:r>
      <w:r w:rsidRPr="007F7EE4">
        <w:t>rozpoč</w:t>
      </w:r>
      <w:r>
        <w:t>tu</w:t>
      </w:r>
      <w:r w:rsidRPr="007F7EE4">
        <w:t xml:space="preserve"> a skutečnost</w:t>
      </w:r>
      <w:r>
        <w:t>i</w:t>
      </w:r>
      <w:r w:rsidRPr="007F7EE4">
        <w:t xml:space="preserve"> minulého období</w:t>
      </w:r>
      <w:r>
        <w:t xml:space="preserve"> (provozní)</w:t>
      </w:r>
      <w:bookmarkEnd w:id="53"/>
      <w:bookmarkEnd w:id="54"/>
    </w:p>
    <w:p w14:paraId="7ABD4DE1" w14:textId="1D2DD3E8" w:rsidR="00477F85" w:rsidRDefault="002259E5" w:rsidP="00477F85">
      <w:r w:rsidRPr="002259E5">
        <w:rPr>
          <w:noProof/>
        </w:rPr>
        <w:drawing>
          <wp:inline distT="0" distB="0" distL="0" distR="0" wp14:anchorId="758DFB39" wp14:editId="6411B76B">
            <wp:extent cx="4860925" cy="943610"/>
            <wp:effectExtent l="0" t="0" r="0" b="8890"/>
            <wp:docPr id="1212760030" name="Obrázek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860925" cy="943610"/>
                    </a:xfrm>
                    <a:prstGeom prst="rect">
                      <a:avLst/>
                    </a:prstGeom>
                    <a:noFill/>
                    <a:ln>
                      <a:noFill/>
                    </a:ln>
                  </pic:spPr>
                </pic:pic>
              </a:graphicData>
            </a:graphic>
          </wp:inline>
        </w:drawing>
      </w:r>
    </w:p>
    <w:p w14:paraId="25F18DB7" w14:textId="2FC25721" w:rsidR="00CC7627" w:rsidRPr="000434DD" w:rsidRDefault="00CC7627" w:rsidP="00CC7627">
      <w:bookmarkStart w:id="55" w:name="_Toc157684810"/>
      <w:r w:rsidRPr="000434DD">
        <w:t>V</w:t>
      </w:r>
      <w:r>
        <w:t> předcházející tabulce</w:t>
      </w:r>
      <w:r w:rsidRPr="000434DD">
        <w:t xml:space="preserve"> jsou porovnány účetní hodnoty roku </w:t>
      </w:r>
      <w:r w:rsidR="00E77FC3">
        <w:t>2023</w:t>
      </w:r>
      <w:r w:rsidRPr="000434DD">
        <w:t xml:space="preserve"> s hodnotami platného rozpočtu roku </w:t>
      </w:r>
      <w:r w:rsidR="00E77FC3">
        <w:t>2024</w:t>
      </w:r>
      <w:r w:rsidRPr="000434DD">
        <w:t>. V </w:t>
      </w:r>
      <w:r>
        <w:t xml:space="preserve">provozní </w:t>
      </w:r>
      <w:r w:rsidRPr="000434DD">
        <w:t>příjmové oblasti</w:t>
      </w:r>
      <w:r w:rsidR="0057324B">
        <w:t xml:space="preserve"> rostou</w:t>
      </w:r>
      <w:r>
        <w:t xml:space="preserve"> jak Daňové (</w:t>
      </w:r>
      <w:r w:rsidR="00E77FC3">
        <w:t>65,6</w:t>
      </w:r>
      <w:r w:rsidR="00B15BB2">
        <w:t xml:space="preserve"> </w:t>
      </w:r>
      <w:r>
        <w:t>mil. Kč), tak Nedaňové příjmy (</w:t>
      </w:r>
      <w:r w:rsidR="00E77FC3">
        <w:t>14,2</w:t>
      </w:r>
      <w:r w:rsidR="00B15BB2">
        <w:t xml:space="preserve"> </w:t>
      </w:r>
      <w:r>
        <w:t>mil. Kč)</w:t>
      </w:r>
      <w:r w:rsidRPr="000434DD">
        <w:t xml:space="preserve"> </w:t>
      </w:r>
      <w:r>
        <w:t>a</w:t>
      </w:r>
      <w:r w:rsidR="0057324B">
        <w:t xml:space="preserve"> naopak pokles vykazují</w:t>
      </w:r>
      <w:r>
        <w:t xml:space="preserve"> Neinvestiční </w:t>
      </w:r>
      <w:r w:rsidR="0057324B">
        <w:t xml:space="preserve">přijaté </w:t>
      </w:r>
      <w:r>
        <w:t>transfery (</w:t>
      </w:r>
      <w:r w:rsidR="00E77FC3">
        <w:t>-44,3</w:t>
      </w:r>
      <w:r w:rsidR="00B15BB2">
        <w:t xml:space="preserve"> </w:t>
      </w:r>
      <w:r>
        <w:t>mil. Kč)</w:t>
      </w:r>
      <w:r w:rsidRPr="000434DD">
        <w:t xml:space="preserve">, avšak </w:t>
      </w:r>
      <w:r w:rsidR="0057324B">
        <w:t>vysoký</w:t>
      </w:r>
      <w:r w:rsidRPr="000434DD">
        <w:t xml:space="preserve"> </w:t>
      </w:r>
      <w:r w:rsidR="00E77FC3">
        <w:t>nárůst</w:t>
      </w:r>
      <w:r w:rsidRPr="000434DD">
        <w:t xml:space="preserve"> vykázaly </w:t>
      </w:r>
      <w:r>
        <w:t>provozní výdaje</w:t>
      </w:r>
      <w:r w:rsidRPr="007E21C0">
        <w:t xml:space="preserve"> </w:t>
      </w:r>
      <w:r w:rsidRPr="000434DD">
        <w:t>(</w:t>
      </w:r>
      <w:r w:rsidR="00E77FC3">
        <w:t>74,7</w:t>
      </w:r>
      <w:r w:rsidRPr="000434DD">
        <w:t xml:space="preserve"> mil. Kč). Pokles v oblasti neinvestičních transferů je </w:t>
      </w:r>
      <w:r w:rsidRPr="00B51BC5">
        <w:t>zapříčiněn platnou metodikou (do konce roku 2024) začleňován</w:t>
      </w:r>
      <w:r w:rsidRPr="000434DD">
        <w:t xml:space="preserve">í transferů do rozpočtu (evidence v rozpočtu je možná až po „přiznání“ dotace). Provozní rozpočet díky těmto skutečnostem </w:t>
      </w:r>
      <w:r w:rsidR="00E77FC3">
        <w:t>klesá</w:t>
      </w:r>
      <w:r w:rsidRPr="000434DD">
        <w:t xml:space="preserve"> </w:t>
      </w:r>
      <w:r>
        <w:t>o</w:t>
      </w:r>
      <w:r w:rsidRPr="000434DD">
        <w:t xml:space="preserve"> </w:t>
      </w:r>
      <w:r w:rsidR="00E77FC3">
        <w:t>-39,3</w:t>
      </w:r>
      <w:r w:rsidRPr="000434DD">
        <w:t xml:space="preserve"> mil. Kč.</w:t>
      </w:r>
    </w:p>
    <w:p w14:paraId="6C456C44" w14:textId="25B8BFFA" w:rsidR="00477F85" w:rsidRPr="007F7EE4" w:rsidRDefault="00477F85" w:rsidP="00477F85">
      <w:pPr>
        <w:pStyle w:val="Graf0"/>
      </w:pPr>
      <w:bookmarkStart w:id="56" w:name="_Toc180650292"/>
      <w:r>
        <w:t xml:space="preserve">Porovnání </w:t>
      </w:r>
      <w:r w:rsidRPr="007F7EE4">
        <w:t>rozpoč</w:t>
      </w:r>
      <w:r>
        <w:t>tu</w:t>
      </w:r>
      <w:r w:rsidRPr="007F7EE4">
        <w:t xml:space="preserve"> a skutečnost</w:t>
      </w:r>
      <w:r>
        <w:t>i</w:t>
      </w:r>
      <w:r w:rsidRPr="007F7EE4">
        <w:t xml:space="preserve"> minulého období</w:t>
      </w:r>
      <w:r>
        <w:t xml:space="preserve"> (provozní)</w:t>
      </w:r>
      <w:bookmarkEnd w:id="55"/>
      <w:bookmarkEnd w:id="56"/>
    </w:p>
    <w:p w14:paraId="3E576C02" w14:textId="3F1E0C8F" w:rsidR="00477F85" w:rsidRDefault="00AD6F0D" w:rsidP="00AC0403">
      <w:pPr>
        <w:tabs>
          <w:tab w:val="left" w:pos="208"/>
        </w:tabs>
      </w:pPr>
      <w:r w:rsidRPr="00AD6F0D">
        <w:rPr>
          <w:noProof/>
        </w:rPr>
        <w:drawing>
          <wp:inline distT="0" distB="0" distL="0" distR="0" wp14:anchorId="642A84F3" wp14:editId="6A4EDDEB">
            <wp:extent cx="4860925" cy="1593850"/>
            <wp:effectExtent l="0" t="0" r="0" b="6350"/>
            <wp:docPr id="653230371"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860925" cy="1593850"/>
                    </a:xfrm>
                    <a:prstGeom prst="rect">
                      <a:avLst/>
                    </a:prstGeom>
                    <a:noFill/>
                    <a:ln>
                      <a:noFill/>
                    </a:ln>
                  </pic:spPr>
                </pic:pic>
              </a:graphicData>
            </a:graphic>
          </wp:inline>
        </w:drawing>
      </w:r>
    </w:p>
    <w:p w14:paraId="3AD75395" w14:textId="4B776788" w:rsidR="00477F85" w:rsidRPr="000434DD" w:rsidRDefault="00477F85" w:rsidP="00477F85">
      <w:r w:rsidRPr="000434DD">
        <w:t>V procentuálním vyjádření mají v</w:t>
      </w:r>
      <w:r w:rsidR="00104CAA">
        <w:t xml:space="preserve"> provozní </w:t>
      </w:r>
      <w:r w:rsidRPr="000434DD">
        <w:t xml:space="preserve">příjmové oblasti </w:t>
      </w:r>
      <w:r w:rsidR="00E77FC3">
        <w:t>Nedaňové příjmy</w:t>
      </w:r>
      <w:r w:rsidRPr="000434DD">
        <w:t xml:space="preserve"> </w:t>
      </w:r>
      <w:r>
        <w:t xml:space="preserve">nejvyšší nárůst </w:t>
      </w:r>
      <w:r w:rsidRPr="000434DD">
        <w:t>(</w:t>
      </w:r>
      <w:r w:rsidR="00E77FC3">
        <w:t>7,1</w:t>
      </w:r>
      <w:r w:rsidR="00AD6F0D">
        <w:t xml:space="preserve"> </w:t>
      </w:r>
      <w:r w:rsidR="00E77FC3">
        <w:t>%</w:t>
      </w:r>
      <w:r w:rsidRPr="000434DD">
        <w:t xml:space="preserve">), </w:t>
      </w:r>
      <w:r w:rsidR="00AD6F0D">
        <w:t xml:space="preserve">běžné příjmy jako celek rostou o 2,3 %, </w:t>
      </w:r>
      <w:r w:rsidRPr="000434DD">
        <w:t xml:space="preserve">zatím co běžné výdaje </w:t>
      </w:r>
      <w:r w:rsidR="00AD6F0D">
        <w:t>rostou</w:t>
      </w:r>
      <w:r w:rsidR="00206E2E">
        <w:t xml:space="preserve"> </w:t>
      </w:r>
      <w:r w:rsidRPr="000434DD">
        <w:t xml:space="preserve">o </w:t>
      </w:r>
      <w:r w:rsidR="00E77FC3">
        <w:t>5,3</w:t>
      </w:r>
      <w:r w:rsidR="00AD6F0D">
        <w:t xml:space="preserve"> </w:t>
      </w:r>
      <w:r w:rsidR="00E77FC3">
        <w:t>%</w:t>
      </w:r>
      <w:r w:rsidRPr="000434DD">
        <w:t>.</w:t>
      </w:r>
    </w:p>
    <w:p w14:paraId="3747C7F4" w14:textId="77777777" w:rsidR="00477F85" w:rsidRPr="00BE44FA" w:rsidRDefault="00477F85" w:rsidP="00477F85">
      <w:r w:rsidRPr="00BE44FA">
        <w:t>Posouzení kapitálového (investičního) rozpočtu je uváděno pro celkový přehled samostatně, protože během celého rozpočtového roku dochází k podstatným změnám a u této kategorie záleží zejména na investičních záměrech ÚSC.</w:t>
      </w:r>
    </w:p>
    <w:p w14:paraId="57CEBC26" w14:textId="4BEF9B3F" w:rsidR="00477F85" w:rsidRPr="007F7EE4" w:rsidRDefault="00477F85" w:rsidP="00477F85">
      <w:pPr>
        <w:pStyle w:val="Tabulka"/>
      </w:pPr>
      <w:bookmarkStart w:id="57" w:name="_Toc157684778"/>
      <w:bookmarkStart w:id="58" w:name="_Toc180650265"/>
      <w:r>
        <w:lastRenderedPageBreak/>
        <w:t xml:space="preserve">Porovnání </w:t>
      </w:r>
      <w:r w:rsidRPr="007F7EE4">
        <w:t>rozpoč</w:t>
      </w:r>
      <w:r>
        <w:t>tu</w:t>
      </w:r>
      <w:r w:rsidRPr="007F7EE4">
        <w:t xml:space="preserve"> a skutečnost</w:t>
      </w:r>
      <w:r>
        <w:t>i</w:t>
      </w:r>
      <w:r w:rsidRPr="007F7EE4">
        <w:t xml:space="preserve"> minulého období</w:t>
      </w:r>
      <w:r>
        <w:t xml:space="preserve"> (investiční)</w:t>
      </w:r>
      <w:bookmarkEnd w:id="57"/>
      <w:bookmarkEnd w:id="58"/>
    </w:p>
    <w:p w14:paraId="3114D5D9" w14:textId="5144047F" w:rsidR="00477F85" w:rsidRDefault="002259E5" w:rsidP="00477F85">
      <w:r w:rsidRPr="002259E5">
        <w:rPr>
          <w:noProof/>
        </w:rPr>
        <w:drawing>
          <wp:inline distT="0" distB="0" distL="0" distR="0" wp14:anchorId="2C22F46C" wp14:editId="7D37110A">
            <wp:extent cx="4860925" cy="751205"/>
            <wp:effectExtent l="0" t="0" r="0" b="0"/>
            <wp:docPr id="1764848853" name="Obráze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860925" cy="751205"/>
                    </a:xfrm>
                    <a:prstGeom prst="rect">
                      <a:avLst/>
                    </a:prstGeom>
                    <a:noFill/>
                    <a:ln>
                      <a:noFill/>
                    </a:ln>
                  </pic:spPr>
                </pic:pic>
              </a:graphicData>
            </a:graphic>
          </wp:inline>
        </w:drawing>
      </w:r>
    </w:p>
    <w:p w14:paraId="6178B836" w14:textId="650079D2" w:rsidR="00DA6164" w:rsidRPr="00BC42F8" w:rsidRDefault="00DA6164" w:rsidP="00DA6164">
      <w:r w:rsidRPr="00BC42F8">
        <w:t>O kvalitě rozpočtu vypovídají ukazatele, poměřující základní hodnoty vztažené k velikosti provozního, resp. celkového rozpočtu.</w:t>
      </w:r>
    </w:p>
    <w:p w14:paraId="7FD15537" w14:textId="57950245" w:rsidR="00B51BC5" w:rsidRPr="000B62BA" w:rsidRDefault="00B51BC5" w:rsidP="00B51BC5">
      <w:r w:rsidRPr="00BC42F8">
        <w:t>V následujícím grafu hodnoty analyzovaných ukazatelů dokládají dobře sestavený rozpočet. Je třeba zmínit, že hodnoty dluhových ukazatelů jsou optimální díky n</w:t>
      </w:r>
      <w:r w:rsidR="006C3F95" w:rsidRPr="00BC42F8">
        <w:t>ízké dluhové službě</w:t>
      </w:r>
      <w:r w:rsidRPr="00BC42F8">
        <w:t xml:space="preserve">. </w:t>
      </w:r>
      <w:r w:rsidR="006C3F95" w:rsidRPr="00BC42F8">
        <w:t xml:space="preserve">Ta je důsledkem zohlednění pouze úrokových nákladů emise dluhopisů, jejichž hodnota se v ukazateli neprojevuje. </w:t>
      </w:r>
      <w:r w:rsidRPr="00BC42F8">
        <w:t xml:space="preserve">Ukazatel provozních úspor se však pohybuje </w:t>
      </w:r>
      <w:r w:rsidR="006C3F95" w:rsidRPr="00BC42F8">
        <w:t>pod</w:t>
      </w:r>
      <w:r w:rsidRPr="00BC42F8">
        <w:t xml:space="preserve"> minimální úrovní. Z hodnot ukazatelů vyplývá, že rozpočet je sestaven a aktualizován v </w:t>
      </w:r>
      <w:r w:rsidR="006C3F95" w:rsidRPr="00BC42F8">
        <w:t>dostačující</w:t>
      </w:r>
      <w:r w:rsidRPr="00BC42F8">
        <w:t xml:space="preserve"> kvalitě a odpovídá požadavkům města</w:t>
      </w:r>
      <w:r w:rsidR="006C3F95" w:rsidRPr="00BC42F8">
        <w:t>,</w:t>
      </w:r>
      <w:r w:rsidRPr="00BC42F8">
        <w:t xml:space="preserve"> hodnotám rozpočtů v minulosti ve stejném ročním období</w:t>
      </w:r>
      <w:r w:rsidR="006C3F95" w:rsidRPr="00BC42F8">
        <w:t xml:space="preserve"> a opatrnostnímu přístupu</w:t>
      </w:r>
      <w:r w:rsidRPr="00BC42F8">
        <w:t>.</w:t>
      </w:r>
    </w:p>
    <w:p w14:paraId="5AFBBFFB" w14:textId="24D30C26" w:rsidR="0093420B" w:rsidRPr="007F7EE4" w:rsidRDefault="006E3BD2" w:rsidP="00AC0403">
      <w:pPr>
        <w:pStyle w:val="Graf0"/>
      </w:pPr>
      <w:bookmarkStart w:id="59" w:name="_Toc180650293"/>
      <w:r>
        <w:t>Hodnocení vybraných ukazatelů</w:t>
      </w:r>
      <w:bookmarkEnd w:id="59"/>
    </w:p>
    <w:p w14:paraId="0EB38368" w14:textId="12A7A174" w:rsidR="00DA6164" w:rsidRDefault="002259E5" w:rsidP="00DA6164">
      <w:r w:rsidRPr="002259E5">
        <w:rPr>
          <w:noProof/>
        </w:rPr>
        <w:drawing>
          <wp:inline distT="0" distB="0" distL="0" distR="0" wp14:anchorId="0CFD0B76" wp14:editId="11180A76">
            <wp:extent cx="4860925" cy="2009775"/>
            <wp:effectExtent l="0" t="0" r="0" b="9525"/>
            <wp:docPr id="1534069402" name="Obrázek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860925" cy="2009775"/>
                    </a:xfrm>
                    <a:prstGeom prst="rect">
                      <a:avLst/>
                    </a:prstGeom>
                    <a:noFill/>
                    <a:ln>
                      <a:noFill/>
                    </a:ln>
                  </pic:spPr>
                </pic:pic>
              </a:graphicData>
            </a:graphic>
          </wp:inline>
        </w:drawing>
      </w:r>
    </w:p>
    <w:p w14:paraId="49947F01" w14:textId="5DEFD1CF" w:rsidR="00477F85" w:rsidRPr="00BC42F8" w:rsidRDefault="00477F85" w:rsidP="00477F85">
      <w:r w:rsidRPr="001B3CED">
        <w:t xml:space="preserve">Z předcházejícího plyne, že </w:t>
      </w:r>
      <w:r w:rsidR="006C3F95">
        <w:t xml:space="preserve">hodnoty </w:t>
      </w:r>
      <w:r w:rsidR="006C3F95" w:rsidRPr="001B3CED">
        <w:t>finanční</w:t>
      </w:r>
      <w:r w:rsidR="006C3F95">
        <w:t>ho</w:t>
      </w:r>
      <w:r w:rsidR="006C3F95" w:rsidRPr="001B3CED">
        <w:t xml:space="preserve"> </w:t>
      </w:r>
      <w:r w:rsidR="006C3F95" w:rsidRPr="006C3F95">
        <w:t>plánu v šestém měsíci rozpočtového roku</w:t>
      </w:r>
      <w:r w:rsidRPr="006C3F95">
        <w:t xml:space="preserve"> </w:t>
      </w:r>
      <w:r w:rsidR="00E77FC3" w:rsidRPr="006C3F95">
        <w:t>2024</w:t>
      </w:r>
      <w:r w:rsidRPr="006C3F95">
        <w:t xml:space="preserve"> nejsou konečné. Je třeba si uvědomit, že v průběhu rozpočtového roku dochází ke změnám rozpočtu, zejména v </w:t>
      </w:r>
      <w:r w:rsidRPr="00BC42F8">
        <w:t xml:space="preserve">dotační oblasti, a tato skutečnost v konečném důsledku mění základní ekonomické ukazatele a tím i celkové hospodaření města. </w:t>
      </w:r>
    </w:p>
    <w:p w14:paraId="3B5B55C9" w14:textId="77777777" w:rsidR="00B01126" w:rsidRPr="007F7EE4" w:rsidRDefault="00AA37F7" w:rsidP="009A770A">
      <w:pPr>
        <w:pStyle w:val="Tabulka"/>
      </w:pPr>
      <w:bookmarkStart w:id="60" w:name="_Toc428951044"/>
      <w:bookmarkStart w:id="61" w:name="_Toc55981699"/>
      <w:bookmarkStart w:id="62" w:name="_Toc180650266"/>
      <w:r w:rsidRPr="00BC42F8">
        <w:t>U</w:t>
      </w:r>
      <w:r w:rsidR="00B01126" w:rsidRPr="00BC42F8">
        <w:t>praven</w:t>
      </w:r>
      <w:r w:rsidRPr="00BC42F8">
        <w:t>ý</w:t>
      </w:r>
      <w:r w:rsidR="00B01126" w:rsidRPr="00BC42F8">
        <w:t xml:space="preserve"> rozpoč</w:t>
      </w:r>
      <w:r w:rsidRPr="00BC42F8">
        <w:t>e</w:t>
      </w:r>
      <w:r w:rsidR="00B01126" w:rsidRPr="00BC42F8">
        <w:t>t a skutečnost</w:t>
      </w:r>
      <w:bookmarkEnd w:id="60"/>
      <w:bookmarkEnd w:id="61"/>
      <w:r w:rsidR="001766C4" w:rsidRPr="007F7EE4">
        <w:t xml:space="preserve"> minulého období</w:t>
      </w:r>
      <w:bookmarkEnd w:id="62"/>
    </w:p>
    <w:p w14:paraId="39F6DA29" w14:textId="79CB384F" w:rsidR="00551164" w:rsidRPr="003300CB" w:rsidRDefault="002259E5" w:rsidP="00551164">
      <w:pPr>
        <w:pStyle w:val="Objekt"/>
      </w:pPr>
      <w:r w:rsidRPr="002259E5">
        <w:rPr>
          <w:noProof/>
        </w:rPr>
        <w:drawing>
          <wp:inline distT="0" distB="0" distL="0" distR="0" wp14:anchorId="708C6344" wp14:editId="655ED3E6">
            <wp:extent cx="4860925" cy="955675"/>
            <wp:effectExtent l="0" t="0" r="0" b="0"/>
            <wp:docPr id="52052143" name="Obráze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860925" cy="955675"/>
                    </a:xfrm>
                    <a:prstGeom prst="rect">
                      <a:avLst/>
                    </a:prstGeom>
                    <a:noFill/>
                    <a:ln>
                      <a:noFill/>
                    </a:ln>
                  </pic:spPr>
                </pic:pic>
              </a:graphicData>
            </a:graphic>
          </wp:inline>
        </w:drawing>
      </w:r>
    </w:p>
    <w:p w14:paraId="4E1C1E13" w14:textId="3D498F04" w:rsidR="00B01126" w:rsidRPr="00522B81" w:rsidRDefault="005319BF" w:rsidP="00522B81">
      <w:pPr>
        <w:pStyle w:val="Poznmka"/>
      </w:pPr>
      <w:r>
        <w:t>Poznámka: H</w:t>
      </w:r>
      <w:r w:rsidR="00B01126" w:rsidRPr="00522B81">
        <w:t xml:space="preserve">odnoty upraveného rozpočtu jsou za </w:t>
      </w:r>
      <w:r w:rsidR="00E77FC3" w:rsidRPr="003F608E">
        <w:t>červen</w:t>
      </w:r>
      <w:r w:rsidR="00B01126" w:rsidRPr="00522B81">
        <w:t xml:space="preserve"> jednotlivých let</w:t>
      </w:r>
    </w:p>
    <w:p w14:paraId="27BAAE2C" w14:textId="65CED55D" w:rsidR="00AB6D18" w:rsidRDefault="006B672D" w:rsidP="00AB6D18">
      <w:r w:rsidRPr="00347EF2">
        <w:t>Dokladem</w:t>
      </w:r>
      <w:r w:rsidR="00F005FB">
        <w:t xml:space="preserve"> zlepšeného plnění rozpočt</w:t>
      </w:r>
      <w:r w:rsidR="00DE1B94">
        <w:t>u</w:t>
      </w:r>
      <w:r w:rsidRPr="00347EF2">
        <w:t xml:space="preserve"> </w:t>
      </w:r>
      <w:r w:rsidR="00DE1B94">
        <w:t xml:space="preserve">v průběhu roku </w:t>
      </w:r>
      <w:r w:rsidRPr="00347EF2">
        <w:t>jsou hodnoty zobrazené v předcházející tabulce.</w:t>
      </w:r>
      <w:r w:rsidR="000111C0" w:rsidRPr="00347EF2">
        <w:t xml:space="preserve"> </w:t>
      </w:r>
      <w:r w:rsidR="00C84546" w:rsidRPr="003F608E">
        <w:t>Největší rozdíl</w:t>
      </w:r>
      <w:r w:rsidR="003E289D" w:rsidRPr="00347EF2">
        <w:t xml:space="preserve"> </w:t>
      </w:r>
      <w:r w:rsidR="00C84546" w:rsidRPr="00571D3B">
        <w:t xml:space="preserve">mezi </w:t>
      </w:r>
      <w:r w:rsidR="000111C0" w:rsidRPr="00571D3B">
        <w:t xml:space="preserve">skutečnou </w:t>
      </w:r>
      <w:r w:rsidR="00DE1B94">
        <w:t xml:space="preserve">hodnotou </w:t>
      </w:r>
      <w:r w:rsidR="00DE1B94" w:rsidRPr="00571D3B">
        <w:t xml:space="preserve">na konci roku </w:t>
      </w:r>
      <w:r w:rsidR="00F005FB">
        <w:t xml:space="preserve">a </w:t>
      </w:r>
      <w:r w:rsidR="00F005FB" w:rsidRPr="00571D3B">
        <w:t xml:space="preserve">rozpočtovanou </w:t>
      </w:r>
      <w:r w:rsidR="0038254D">
        <w:t>č</w:t>
      </w:r>
      <w:r w:rsidR="00DE1B94">
        <w:t>ástkou</w:t>
      </w:r>
      <w:r w:rsidR="000111C0" w:rsidRPr="00571D3B">
        <w:t xml:space="preserve"> </w:t>
      </w:r>
      <w:r w:rsidR="00CF1E7C" w:rsidRPr="00571D3B">
        <w:t>v</w:t>
      </w:r>
      <w:r w:rsidR="00362A5F" w:rsidRPr="00571D3B">
        <w:t> </w:t>
      </w:r>
      <w:r w:rsidR="00CF1E7C" w:rsidRPr="00571D3B">
        <w:t>průměru</w:t>
      </w:r>
      <w:r w:rsidR="00362A5F" w:rsidRPr="00571D3B">
        <w:t xml:space="preserve"> </w:t>
      </w:r>
      <w:r w:rsidR="00BC0607" w:rsidRPr="00571D3B">
        <w:t xml:space="preserve">dosahují </w:t>
      </w:r>
      <w:r w:rsidR="00571D3B" w:rsidRPr="00571D3B">
        <w:t xml:space="preserve">neinvestiční </w:t>
      </w:r>
      <w:r w:rsidR="000111C0" w:rsidRPr="008D6209">
        <w:t>transfery (</w:t>
      </w:r>
      <w:r w:rsidR="00E77FC3">
        <w:t>31,4 %</w:t>
      </w:r>
      <w:r w:rsidR="000111C0" w:rsidRPr="008D6209">
        <w:t>).</w:t>
      </w:r>
      <w:r w:rsidR="000111C0" w:rsidRPr="00347EF2">
        <w:t xml:space="preserve"> </w:t>
      </w:r>
      <w:r w:rsidR="00DE1B94">
        <w:t xml:space="preserve">Je to z </w:t>
      </w:r>
      <w:r w:rsidR="00DE1B94" w:rsidRPr="00347EF2">
        <w:t xml:space="preserve">důvodu nemožnosti rozpočtovat </w:t>
      </w:r>
      <w:r w:rsidR="00DE1B94" w:rsidRPr="00571D3B">
        <w:t>tyto hodnoty do obdržení rozhodnutí o přidělení dotace</w:t>
      </w:r>
      <w:r w:rsidR="00CF14D3">
        <w:t xml:space="preserve"> </w:t>
      </w:r>
      <w:r w:rsidR="00CF14D3" w:rsidRPr="00AE2A71">
        <w:t>(zřejmý je také vliv kompenzačních bonusů spojených s pandemií)</w:t>
      </w:r>
      <w:r w:rsidR="00DE1B94">
        <w:t>. Zlepšené plnění</w:t>
      </w:r>
      <w:r w:rsidR="00D53E85" w:rsidRPr="00462E68">
        <w:t xml:space="preserve"> </w:t>
      </w:r>
      <w:r w:rsidR="00DE1B94">
        <w:t xml:space="preserve">je možné sledovat také u </w:t>
      </w:r>
      <w:r w:rsidR="00D53E85" w:rsidRPr="00462E68">
        <w:t>daňov</w:t>
      </w:r>
      <w:r w:rsidR="00DE1B94">
        <w:t>ých</w:t>
      </w:r>
      <w:r w:rsidR="00BC42F8">
        <w:t xml:space="preserve"> příjmů</w:t>
      </w:r>
      <w:r w:rsidR="00D53E85" w:rsidRPr="00462E68">
        <w:t xml:space="preserve"> (</w:t>
      </w:r>
      <w:r w:rsidR="00BC42F8">
        <w:t xml:space="preserve">o </w:t>
      </w:r>
      <w:r w:rsidR="00E77FC3">
        <w:t>4,0 %</w:t>
      </w:r>
      <w:r w:rsidR="00D53E85" w:rsidRPr="00462E68">
        <w:t>)</w:t>
      </w:r>
      <w:r w:rsidR="00BC42F8">
        <w:t xml:space="preserve">, naopak </w:t>
      </w:r>
      <w:r w:rsidR="00DE1B94">
        <w:t>nedaňov</w:t>
      </w:r>
      <w:r w:rsidR="00BC42F8">
        <w:t xml:space="preserve">é příjmy jsou spíše </w:t>
      </w:r>
      <w:r w:rsidR="00BC42F8">
        <w:lastRenderedPageBreak/>
        <w:t>nadhodnocovány</w:t>
      </w:r>
      <w:r w:rsidR="00D53E85" w:rsidRPr="00462E68">
        <w:t xml:space="preserve"> (</w:t>
      </w:r>
      <w:r w:rsidR="00BC42F8">
        <w:t xml:space="preserve">o </w:t>
      </w:r>
      <w:r w:rsidR="00E77FC3">
        <w:t>15,6 %</w:t>
      </w:r>
      <w:r w:rsidR="00D53E85" w:rsidRPr="00462E68">
        <w:t>). Kapitálová</w:t>
      </w:r>
      <w:r w:rsidR="00D53E85">
        <w:t xml:space="preserve"> část rozpočtu není uváděna záměrně, protože při porovnání rozpočtu se skutečností zpravidla dochází k </w:t>
      </w:r>
      <w:r w:rsidR="00AB6D18" w:rsidRPr="004B4DD5">
        <w:t>velk</w:t>
      </w:r>
      <w:r w:rsidR="00D53E85">
        <w:t xml:space="preserve">ým </w:t>
      </w:r>
      <w:r w:rsidR="00AB6D18" w:rsidRPr="004B4DD5">
        <w:t>rozdí</w:t>
      </w:r>
      <w:r w:rsidR="00D53E85">
        <w:t>lům</w:t>
      </w:r>
      <w:r w:rsidR="00AB6D18" w:rsidRPr="004B4DD5">
        <w:t xml:space="preserve"> </w:t>
      </w:r>
      <w:r w:rsidR="00D53E85">
        <w:t xml:space="preserve">v </w:t>
      </w:r>
      <w:r w:rsidR="00AB6D18" w:rsidRPr="004B4DD5">
        <w:t>důsledk</w:t>
      </w:r>
      <w:r w:rsidR="00414CC4">
        <w:t>u</w:t>
      </w:r>
      <w:r w:rsidR="00AB6D18" w:rsidRPr="004B4DD5">
        <w:t xml:space="preserve"> celé řady okolností v oblasti příprav, realizace i změn v</w:t>
      </w:r>
      <w:r w:rsidR="00CB6EE3">
        <w:t xml:space="preserve"> investičních </w:t>
      </w:r>
      <w:r w:rsidR="00AB6D18" w:rsidRPr="004B4DD5">
        <w:t>prioritách během roku.</w:t>
      </w:r>
    </w:p>
    <w:p w14:paraId="62C3A5F5" w14:textId="4ADC2E5F" w:rsidR="00477F85" w:rsidRPr="00BC42F8" w:rsidRDefault="00477F85" w:rsidP="00477F85">
      <w:r w:rsidRPr="00BC42F8">
        <w:t>Hodnoty ukazatelů v roce 2020 jsou ovlivněny pandemickou krizí, která propukla v březnu téhož roku. Proto je upravený rozpočet v tomto roce specifický a hodnoty nedaňových příjmů se jeví jako nadhodnocené. Výše neinvestičních transferů je pak ovlivněna výplatou kompenzačního bonusu, který částečně eliminoval pokles na položce 1111 (</w:t>
      </w:r>
      <w:proofErr w:type="spellStart"/>
      <w:r w:rsidRPr="00BC42F8">
        <w:t>DPFO</w:t>
      </w:r>
      <w:r w:rsidRPr="00BC42F8">
        <w:rPr>
          <w:vertAlign w:val="subscript"/>
        </w:rPr>
        <w:t>zč</w:t>
      </w:r>
      <w:proofErr w:type="spellEnd"/>
      <w:r w:rsidRPr="00BC42F8">
        <w:t>).</w:t>
      </w:r>
    </w:p>
    <w:p w14:paraId="3FB89DB5" w14:textId="3E3327C2" w:rsidR="00CF14D3" w:rsidRDefault="00B01126" w:rsidP="00CF14D3">
      <w:r w:rsidRPr="00BC42F8">
        <w:t xml:space="preserve">Porovnání upraveného rozpočtu za stejné období s účetními výsledky v rámci minulých let pak poukazuje na skutečnost, že </w:t>
      </w:r>
      <w:r w:rsidR="000111C0" w:rsidRPr="00BC42F8">
        <w:t>platný</w:t>
      </w:r>
      <w:r w:rsidRPr="00BC42F8">
        <w:t xml:space="preserve"> rozpo</w:t>
      </w:r>
      <w:r w:rsidR="005F2E00" w:rsidRPr="00BC42F8">
        <w:t xml:space="preserve">čet odráží </w:t>
      </w:r>
      <w:r w:rsidRPr="00BC42F8">
        <w:t xml:space="preserve">určitou míru </w:t>
      </w:r>
      <w:proofErr w:type="gramStart"/>
      <w:r w:rsidRPr="00BC42F8">
        <w:t>opatrnosti</w:t>
      </w:r>
      <w:proofErr w:type="gramEnd"/>
      <w:r w:rsidR="003F608E">
        <w:t xml:space="preserve"> </w:t>
      </w:r>
      <w:r w:rsidRPr="00BC42F8">
        <w:t>a tu</w:t>
      </w:r>
      <w:r w:rsidR="005F2E00" w:rsidRPr="00BC42F8">
        <w:t xml:space="preserve">díž plánované běžné příjmy jsou </w:t>
      </w:r>
      <w:r w:rsidRPr="00BC42F8">
        <w:t>podhodnocené (</w:t>
      </w:r>
      <w:r w:rsidR="00B72F5C" w:rsidRPr="00BC42F8">
        <w:t xml:space="preserve">v průměru o </w:t>
      </w:r>
      <w:r w:rsidR="00E77FC3" w:rsidRPr="00BC42F8">
        <w:t>4,6 %</w:t>
      </w:r>
      <w:r w:rsidRPr="00BC42F8">
        <w:t xml:space="preserve">) a </w:t>
      </w:r>
      <w:r w:rsidR="0038254D" w:rsidRPr="00BC42F8">
        <w:t>běž</w:t>
      </w:r>
      <w:r w:rsidR="00DE1B94" w:rsidRPr="00BC42F8">
        <w:t xml:space="preserve">né </w:t>
      </w:r>
      <w:r w:rsidRPr="00BC42F8">
        <w:t xml:space="preserve">výdaje </w:t>
      </w:r>
      <w:r w:rsidR="00B72F5C" w:rsidRPr="00BC42F8">
        <w:t xml:space="preserve">pak jsou predikovány </w:t>
      </w:r>
      <w:r w:rsidR="00C63D5C" w:rsidRPr="00BC42F8">
        <w:t>nadhodnocen</w:t>
      </w:r>
      <w:r w:rsidR="007E238E" w:rsidRPr="00BC42F8">
        <w:t>é</w:t>
      </w:r>
      <w:r w:rsidRPr="00BC42F8">
        <w:t xml:space="preserve"> (</w:t>
      </w:r>
      <w:r w:rsidR="00B72F5C" w:rsidRPr="00BC42F8">
        <w:t xml:space="preserve">v průměru jsou nadhodnocené o </w:t>
      </w:r>
      <w:r w:rsidR="00E77FC3" w:rsidRPr="00BC42F8">
        <w:t>7,4 %</w:t>
      </w:r>
      <w:r w:rsidR="00B72F5C" w:rsidRPr="00BC42F8">
        <w:t>)</w:t>
      </w:r>
      <w:r w:rsidRPr="00BC42F8">
        <w:t>.</w:t>
      </w:r>
      <w:r w:rsidR="00CF14D3" w:rsidRPr="00BC42F8">
        <w:t xml:space="preserve"> V konečném výsledku ovšem výsledek hospodaření dosahuje optimističtějších hodnot oproti plánu na počátku rozpočtového období.</w:t>
      </w:r>
    </w:p>
    <w:p w14:paraId="6687B9EE" w14:textId="7A4B9004" w:rsidR="004C4A1D" w:rsidRPr="003171E6" w:rsidRDefault="002E6336" w:rsidP="004C4A1D">
      <w:pPr>
        <w:rPr>
          <w:u w:val="single"/>
        </w:rPr>
      </w:pPr>
      <w:r w:rsidRPr="00A3662B">
        <w:rPr>
          <w:rFonts w:ascii="Verdana" w:hAnsi="Verdana"/>
          <w:b/>
          <w:noProof/>
          <w:sz w:val="19"/>
          <w:lang w:eastAsia="cs-CZ"/>
        </w:rPr>
        <mc:AlternateContent>
          <mc:Choice Requires="wps">
            <w:drawing>
              <wp:anchor distT="0" distB="0" distL="114300" distR="114300" simplePos="0" relativeHeight="251663360" behindDoc="0" locked="0" layoutInCell="1" allowOverlap="1" wp14:anchorId="47903FE9" wp14:editId="0DA0C763">
                <wp:simplePos x="0" y="0"/>
                <wp:positionH relativeFrom="page">
                  <wp:posOffset>540385</wp:posOffset>
                </wp:positionH>
                <wp:positionV relativeFrom="paragraph">
                  <wp:posOffset>0</wp:posOffset>
                </wp:positionV>
                <wp:extent cx="1404000" cy="1440000"/>
                <wp:effectExtent l="0" t="0" r="5715" b="8255"/>
                <wp:wrapNone/>
                <wp:docPr id="2101182179" name="MG H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144000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366CAC2F" w14:textId="22E3E6CD" w:rsidR="002E6336" w:rsidRPr="00193D74" w:rsidRDefault="002259E5" w:rsidP="002E6336">
                            <w:pPr>
                              <w:jc w:val="center"/>
                              <w:rPr>
                                <w:rFonts w:cstheme="minorHAnsi"/>
                                <w:sz w:val="20"/>
                                <w:szCs w:val="20"/>
                              </w:rPr>
                            </w:pPr>
                            <w:r w:rsidRPr="002259E5">
                              <w:rPr>
                                <w:rFonts w:cstheme="minorHAnsi"/>
                                <w:noProof/>
                                <w:sz w:val="20"/>
                                <w:szCs w:val="20"/>
                              </w:rPr>
                              <w:drawing>
                                <wp:inline distT="0" distB="0" distL="0" distR="0" wp14:anchorId="0969521B" wp14:editId="7C09E6B0">
                                  <wp:extent cx="1317625" cy="1189355"/>
                                  <wp:effectExtent l="0" t="0" r="0" b="0"/>
                                  <wp:docPr id="448334838" name="Obrázek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317625" cy="118935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47903FE9" id="MG H9" o:spid="_x0000_s1047" type="#_x0000_t202" style="position:absolute;left:0;text-align:left;margin-left:42.55pt;margin-top:0;width:110.55pt;height:113.4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" fillcolor="white [3201]" stroked="f" strokeweight=".5pt">
                <v:path arrowok="t"/>
                <v:textbox inset="0,0,0,0">
                  <w:txbxContent>
                    <w:p w14:paraId="366CAC2F" w14:textId="22E3E6CD" w:rsidR="002E6336" w:rsidRPr="00193D74" w:rsidRDefault="002259E5" w:rsidP="002E6336">
                      <w:pPr>
                        <w:jc w:val="center"/>
                        <w:rPr>
                          <w:rFonts w:cstheme="minorHAnsi"/>
                          <w:sz w:val="20"/>
                          <w:szCs w:val="20"/>
                        </w:rPr>
                      </w:pPr>
                      <w:r w:rsidRPr="002259E5">
                        <w:rPr>
                          <w:rFonts w:cstheme="minorHAnsi"/>
                          <w:noProof/>
                          <w:sz w:val="20"/>
                          <w:szCs w:val="20"/>
                        </w:rPr>
                        <w:drawing>
                          <wp:inline distT="0" distB="0" distL="0" distR="0" wp14:anchorId="0969521B" wp14:editId="7C09E6B0">
                            <wp:extent cx="1317625" cy="1189355"/>
                            <wp:effectExtent l="0" t="0" r="0" b="0"/>
                            <wp:docPr id="448334838" name="Obrázek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317625" cy="1189355"/>
                                    </a:xfrm>
                                    <a:prstGeom prst="rect">
                                      <a:avLst/>
                                    </a:prstGeom>
                                    <a:noFill/>
                                    <a:ln>
                                      <a:noFill/>
                                    </a:ln>
                                  </pic:spPr>
                                </pic:pic>
                              </a:graphicData>
                            </a:graphic>
                          </wp:inline>
                        </w:drawing>
                      </w:r>
                    </w:p>
                  </w:txbxContent>
                </v:textbox>
                <w10:wrap anchorx="page"/>
              </v:shape>
            </w:pict>
          </mc:Fallback>
        </mc:AlternateContent>
      </w:r>
      <w:r w:rsidR="004C4A1D" w:rsidRPr="00A3662B">
        <w:t xml:space="preserve"> Závěr posouzení aktuálního rozpočtu: Pozornost musí být primárně soustředěna na sestavení plánovacího dokumentu (rozpočtu), ze kterého vychází SVR. V rámci analýzy minulého období jsme posuzovali také rozpočet na aktuální rok. Při absolutním meziročním porovnání dle tříd rozpočtové skladby dosahuje pozitivního vývoje pouze třída daňových</w:t>
      </w:r>
      <w:r w:rsidR="00BC42F8" w:rsidRPr="00A3662B">
        <w:t xml:space="preserve"> a</w:t>
      </w:r>
      <w:r w:rsidR="004C4A1D" w:rsidRPr="00A3662B">
        <w:t xml:space="preserve"> nedaňových příjmů. Razantní pokles přijatých transferů je zapříčiněn zapojováním financí do rozpočtu až v průběhu roku (po obdržení rozhodnutí od poskytovatele dotace). </w:t>
      </w:r>
      <w:r w:rsidRPr="00A3662B">
        <w:t xml:space="preserve">Provozní příjmy mírně </w:t>
      </w:r>
      <w:r w:rsidR="00E77FC3" w:rsidRPr="00A3662B">
        <w:t>rostou</w:t>
      </w:r>
      <w:r w:rsidRPr="00A3662B">
        <w:t xml:space="preserve"> (o </w:t>
      </w:r>
      <w:r w:rsidR="00E77FC3" w:rsidRPr="00A3662B">
        <w:t>35,4</w:t>
      </w:r>
      <w:r w:rsidR="003171E6" w:rsidRPr="00A3662B">
        <w:t xml:space="preserve"> </w:t>
      </w:r>
      <w:r w:rsidRPr="00A3662B">
        <w:t xml:space="preserve">mil. Kč), ale </w:t>
      </w:r>
      <w:r w:rsidR="003171E6" w:rsidRPr="00A3662B">
        <w:t>c</w:t>
      </w:r>
      <w:r w:rsidR="004C4A1D" w:rsidRPr="00A3662B">
        <w:t>elkov</w:t>
      </w:r>
      <w:r w:rsidR="003F608E">
        <w:t>é</w:t>
      </w:r>
      <w:r w:rsidR="004C4A1D" w:rsidRPr="00A3662B">
        <w:t xml:space="preserve"> příjm</w:t>
      </w:r>
      <w:r w:rsidR="003F608E">
        <w:t>y</w:t>
      </w:r>
      <w:r w:rsidR="004C4A1D" w:rsidRPr="00A3662B">
        <w:t xml:space="preserve"> dosahuj</w:t>
      </w:r>
      <w:r w:rsidR="003F608E">
        <w:t>í</w:t>
      </w:r>
      <w:r w:rsidR="004C4A1D" w:rsidRPr="00A3662B">
        <w:t xml:space="preserve"> </w:t>
      </w:r>
      <w:r w:rsidR="00BC42F8" w:rsidRPr="00A3662B">
        <w:t>pokles</w:t>
      </w:r>
      <w:r w:rsidR="004C4A1D" w:rsidRPr="00A3662B">
        <w:t xml:space="preserve"> </w:t>
      </w:r>
      <w:r w:rsidR="00E77FC3" w:rsidRPr="00A3662B">
        <w:t>2,8</w:t>
      </w:r>
      <w:r w:rsidR="002C3A1E" w:rsidRPr="00A3662B">
        <w:t xml:space="preserve"> </w:t>
      </w:r>
      <w:r w:rsidR="004C4A1D" w:rsidRPr="00A3662B">
        <w:t xml:space="preserve">mil. Kč. Výdaje </w:t>
      </w:r>
      <w:r w:rsidR="00BC42F8" w:rsidRPr="00A3662B">
        <w:t>rostou</w:t>
      </w:r>
      <w:r w:rsidR="004C4A1D" w:rsidRPr="00A3662B">
        <w:t xml:space="preserve"> </w:t>
      </w:r>
      <w:r w:rsidR="00BC42F8" w:rsidRPr="00A3662B">
        <w:t xml:space="preserve">zejména </w:t>
      </w:r>
      <w:r w:rsidR="004C4A1D" w:rsidRPr="00A3662B">
        <w:t>v</w:t>
      </w:r>
      <w:r w:rsidR="00BC42F8" w:rsidRPr="00A3662B">
        <w:t> </w:t>
      </w:r>
      <w:r w:rsidR="004C4A1D" w:rsidRPr="00A3662B">
        <w:t>provozní</w:t>
      </w:r>
      <w:r w:rsidR="00BC42F8" w:rsidRPr="00A3662B">
        <w:t>, ale také</w:t>
      </w:r>
      <w:r w:rsidR="004C4A1D" w:rsidRPr="00A3662B">
        <w:t xml:space="preserve"> kapitálové části rozpočtu, </w:t>
      </w:r>
      <w:r w:rsidR="00A3662B" w:rsidRPr="00A3662B">
        <w:t xml:space="preserve">růst </w:t>
      </w:r>
      <w:r w:rsidR="004C4A1D" w:rsidRPr="00A3662B">
        <w:t xml:space="preserve">celkový výdajů je </w:t>
      </w:r>
      <w:r w:rsidR="00A3662B" w:rsidRPr="00A3662B">
        <w:t>107,1</w:t>
      </w:r>
      <w:r w:rsidR="004C4A1D" w:rsidRPr="00A3662B">
        <w:t xml:space="preserve"> mil. Kč.</w:t>
      </w:r>
    </w:p>
    <w:p w14:paraId="4EF44F2D" w14:textId="3D640CF4" w:rsidR="00DD612D" w:rsidRPr="00BD4596" w:rsidRDefault="002E6336" w:rsidP="00DD612D">
      <w:pPr>
        <w:rPr>
          <w:i/>
          <w:iCs/>
        </w:rPr>
      </w:pPr>
      <w:r w:rsidRPr="003171E6">
        <w:rPr>
          <w:rFonts w:ascii="Verdana" w:hAnsi="Verdana"/>
          <w:noProof/>
          <w:sz w:val="19"/>
          <w:highlight w:val="cyan"/>
          <w:shd w:val="clear" w:color="auto" w:fill="B6DDE8" w:themeFill="accent5" w:themeFillTint="66"/>
          <w:lang w:eastAsia="cs-CZ"/>
        </w:rPr>
        <mc:AlternateContent>
          <mc:Choice Requires="wps">
            <w:drawing>
              <wp:anchor distT="0" distB="0" distL="114300" distR="114300" simplePos="0" relativeHeight="251658240" behindDoc="0" locked="0" layoutInCell="1" allowOverlap="1" wp14:anchorId="55555918" wp14:editId="4C4A6B46">
                <wp:simplePos x="0" y="0"/>
                <wp:positionH relativeFrom="page">
                  <wp:posOffset>540385</wp:posOffset>
                </wp:positionH>
                <wp:positionV relativeFrom="paragraph">
                  <wp:posOffset>0</wp:posOffset>
                </wp:positionV>
                <wp:extent cx="1404000" cy="1015200"/>
                <wp:effectExtent l="0" t="0" r="5715" b="0"/>
                <wp:wrapNone/>
                <wp:docPr id="1897148581" name="Textové pole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1015200"/>
                        </a:xfrm>
                        <a:prstGeom prst="rect">
                          <a:avLst/>
                        </a:prstGeom>
                        <a:solidFill>
                          <a:schemeClr val="lt1">
                            <a:lumMod val="100000"/>
                            <a:lumOff val="0"/>
                          </a:schemeClr>
                        </a:solidFill>
                        <a:ln>
                          <a:noFill/>
                        </a:ln>
                      </wps:spPr>
                      <wps:txbx>
                        <w:txbxContent>
                          <w:p w14:paraId="4647BF51" w14:textId="77777777" w:rsidR="00DD612D" w:rsidRPr="001B58F3" w:rsidRDefault="00DD612D" w:rsidP="00DD612D">
                            <w:pPr>
                              <w:spacing w:before="0"/>
                              <w:jc w:val="left"/>
                              <w:rPr>
                                <w:rFonts w:cstheme="minorHAnsi"/>
                                <w:i/>
                                <w:sz w:val="20"/>
                                <w:szCs w:val="20"/>
                              </w:rPr>
                            </w:pPr>
                            <w:r>
                              <w:rPr>
                                <w:rStyle w:val="Odkaznakoment"/>
                                <w:rFonts w:cstheme="minorHAnsi"/>
                                <w:i/>
                                <w:sz w:val="20"/>
                                <w:szCs w:val="20"/>
                              </w:rPr>
                              <w:t xml:space="preserve">Nutný </w:t>
                            </w:r>
                            <w:r w:rsidRPr="00152853">
                              <w:rPr>
                                <w:rStyle w:val="Odkaznakoment"/>
                                <w:rFonts w:cstheme="minorHAnsi"/>
                                <w:b/>
                                <w:i/>
                                <w:sz w:val="20"/>
                                <w:szCs w:val="20"/>
                              </w:rPr>
                              <w:t>důsledný</w:t>
                            </w:r>
                            <w:r>
                              <w:rPr>
                                <w:rStyle w:val="Odkaznakoment"/>
                                <w:rFonts w:cstheme="minorHAnsi"/>
                                <w:i/>
                                <w:sz w:val="20"/>
                                <w:szCs w:val="20"/>
                              </w:rPr>
                              <w:t xml:space="preserve"> monitoring plnění rozpočtu – </w:t>
                            </w:r>
                            <w:r w:rsidRPr="00152853">
                              <w:rPr>
                                <w:rStyle w:val="Odkaznakoment"/>
                                <w:rFonts w:cstheme="minorHAnsi"/>
                                <w:b/>
                                <w:i/>
                                <w:sz w:val="20"/>
                                <w:szCs w:val="20"/>
                              </w:rPr>
                              <w:t>okamžité</w:t>
                            </w:r>
                            <w:r>
                              <w:rPr>
                                <w:rStyle w:val="Odkaznakoment"/>
                                <w:rFonts w:cstheme="minorHAnsi"/>
                                <w:i/>
                                <w:sz w:val="20"/>
                                <w:szCs w:val="20"/>
                              </w:rPr>
                              <w:t xml:space="preserve"> reagování na odchylky od platného rozpočtu.</w:t>
                            </w: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55555918" id="Textové pole 4" o:spid="_x0000_s1048" type="#_x0000_t202" style="position:absolute;left:0;text-align:left;margin-left:42.55pt;margin-top:0;width:110.55pt;height:79.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" fillcolor="white [3201]" stroked="f">
                <v:textbox inset="0,0,0,0">
                  <w:txbxContent>
                    <w:p w14:paraId="4647BF51" w14:textId="77777777" w:rsidR="00DD612D" w:rsidRPr="001B58F3" w:rsidRDefault="00DD612D" w:rsidP="00DD612D">
                      <w:pPr>
                        <w:spacing w:before="0"/>
                        <w:jc w:val="left"/>
                        <w:rPr>
                          <w:rFonts w:cstheme="minorHAnsi"/>
                          <w:i/>
                          <w:sz w:val="20"/>
                          <w:szCs w:val="20"/>
                        </w:rPr>
                      </w:pPr>
                      <w:r>
                        <w:rPr>
                          <w:rStyle w:val="Odkaznakoment"/>
                          <w:rFonts w:cstheme="minorHAnsi"/>
                          <w:i/>
                          <w:sz w:val="20"/>
                          <w:szCs w:val="20"/>
                        </w:rPr>
                        <w:t xml:space="preserve">Nutný </w:t>
                      </w:r>
                      <w:r w:rsidRPr="00152853">
                        <w:rPr>
                          <w:rStyle w:val="Odkaznakoment"/>
                          <w:rFonts w:cstheme="minorHAnsi"/>
                          <w:b/>
                          <w:i/>
                          <w:sz w:val="20"/>
                          <w:szCs w:val="20"/>
                        </w:rPr>
                        <w:t>důsledný</w:t>
                      </w:r>
                      <w:r>
                        <w:rPr>
                          <w:rStyle w:val="Odkaznakoment"/>
                          <w:rFonts w:cstheme="minorHAnsi"/>
                          <w:i/>
                          <w:sz w:val="20"/>
                          <w:szCs w:val="20"/>
                        </w:rPr>
                        <w:t xml:space="preserve"> monitoring plnění rozpočtu – </w:t>
                      </w:r>
                      <w:r w:rsidRPr="00152853">
                        <w:rPr>
                          <w:rStyle w:val="Odkaznakoment"/>
                          <w:rFonts w:cstheme="minorHAnsi"/>
                          <w:b/>
                          <w:i/>
                          <w:sz w:val="20"/>
                          <w:szCs w:val="20"/>
                        </w:rPr>
                        <w:t>okamžité</w:t>
                      </w:r>
                      <w:r>
                        <w:rPr>
                          <w:rStyle w:val="Odkaznakoment"/>
                          <w:rFonts w:cstheme="minorHAnsi"/>
                          <w:i/>
                          <w:sz w:val="20"/>
                          <w:szCs w:val="20"/>
                        </w:rPr>
                        <w:t xml:space="preserve"> reagování na odchylky od platného rozpočtu.</w:t>
                      </w:r>
                    </w:p>
                  </w:txbxContent>
                </v:textbox>
                <w10:wrap anchorx="page"/>
              </v:shape>
            </w:pict>
          </mc:Fallback>
        </mc:AlternateContent>
      </w:r>
      <w:r w:rsidR="00DD612D" w:rsidRPr="003171E6">
        <w:t xml:space="preserve">Posuzovali jsme hodnoty platného rozpočtu s dosaženými hodnotami účetní skutečnosti na konci rozpočtového roku. Bylo konstatováno, že rozpočet odráží určitou </w:t>
      </w:r>
      <w:r w:rsidR="00DD612D" w:rsidRPr="003171E6">
        <w:rPr>
          <w:b/>
          <w:bCs/>
        </w:rPr>
        <w:t>míru opatrnosti</w:t>
      </w:r>
      <w:r w:rsidR="00DD612D" w:rsidRPr="003171E6">
        <w:t xml:space="preserve"> (podhodnocené příjmy a mírně nadhodnocené výdaje). Je třeba ale dodržovat jedno důležité pravidlo – provozní (běžné) výdaje </w:t>
      </w:r>
      <w:r w:rsidR="00DD612D" w:rsidRPr="003171E6">
        <w:rPr>
          <w:b/>
          <w:bCs/>
        </w:rPr>
        <w:t xml:space="preserve">nesmí </w:t>
      </w:r>
      <w:r w:rsidR="00A3662B" w:rsidRPr="000212FC">
        <w:rPr>
          <w:b/>
          <w:bCs/>
        </w:rPr>
        <w:t>dlouhodobě</w:t>
      </w:r>
      <w:r w:rsidR="00A3662B">
        <w:rPr>
          <w:b/>
          <w:bCs/>
        </w:rPr>
        <w:t xml:space="preserve"> </w:t>
      </w:r>
      <w:r w:rsidR="00DD612D" w:rsidRPr="003171E6">
        <w:rPr>
          <w:b/>
          <w:bCs/>
        </w:rPr>
        <w:t>růst rychleji</w:t>
      </w:r>
      <w:r w:rsidR="00DD612D" w:rsidRPr="003171E6">
        <w:t xml:space="preserve"> než provozní (běžné) příjmy.</w:t>
      </w:r>
    </w:p>
    <w:p w14:paraId="1EA9A426" w14:textId="77777777" w:rsidR="00B01126" w:rsidRPr="00493382" w:rsidRDefault="00B01126" w:rsidP="00993408">
      <w:pPr>
        <w:pStyle w:val="Nadpis2"/>
      </w:pPr>
      <w:bookmarkStart w:id="63" w:name="_Toc62211718"/>
      <w:bookmarkStart w:id="64" w:name="_Toc180650320"/>
      <w:r w:rsidRPr="00493382">
        <w:t>Monitoring hospodaření</w:t>
      </w:r>
      <w:bookmarkEnd w:id="63"/>
      <w:bookmarkEnd w:id="64"/>
    </w:p>
    <w:p w14:paraId="6D0AFEF9" w14:textId="77777777" w:rsidR="00B01126" w:rsidRPr="00493382" w:rsidRDefault="00B01126" w:rsidP="00993408">
      <w:r w:rsidRPr="00493382">
        <w:t xml:space="preserve">S cílem zabezpečit rozpočtovou disciplínu, omezit dlouhodobě deficitní hospodaření financované z cizích zdrojů a posílit spoluzodpovědnost za vývoj veřejných financí, byl s účinností od roku 2018 přijat zákon č. 23/2017 Sb., o pravidlech rozpočtové odpovědnosti. Zákon </w:t>
      </w:r>
      <w:r w:rsidRPr="00493382">
        <w:rPr>
          <w:bCs/>
        </w:rPr>
        <w:t>mimo jiné</w:t>
      </w:r>
      <w:r w:rsidRPr="00493382">
        <w:rPr>
          <w:b/>
          <w:bCs/>
        </w:rPr>
        <w:t xml:space="preserve"> </w:t>
      </w:r>
      <w:r w:rsidR="00EC2FAD" w:rsidRPr="00493382">
        <w:t>definuje tzv.</w:t>
      </w:r>
      <w:r w:rsidRPr="00493382">
        <w:t xml:space="preserve"> fiskální pravidlo, podle kterého musí ÚSC hospodařit tak, aby výše jeho dluhu nepřesáhla 60 % průměru jeho příjmů za poslední 4 rozpočtové roky. Pokud je tato hranice překročena:</w:t>
      </w:r>
    </w:p>
    <w:p w14:paraId="59E48700" w14:textId="77777777" w:rsidR="00054C2C" w:rsidRPr="00493382" w:rsidRDefault="00B01126" w:rsidP="00CB6EE3">
      <w:pPr>
        <w:pStyle w:val="Kaskda0"/>
        <w:numPr>
          <w:ilvl w:val="0"/>
          <w:numId w:val="39"/>
        </w:numPr>
      </w:pPr>
      <w:r w:rsidRPr="00493382">
        <w:t xml:space="preserve">ÚSC má povinnost postupně splácet předchozí </w:t>
      </w:r>
      <w:r w:rsidRPr="007604F7">
        <w:t xml:space="preserve">dluhy </w:t>
      </w:r>
      <w:r w:rsidR="007604F7" w:rsidRPr="007604F7">
        <w:t xml:space="preserve">ve výši nejméně </w:t>
      </w:r>
      <w:r w:rsidRPr="007604F7">
        <w:t>5 % z rozdílu mezi výší dluhu a 60 % jeho průměrných příjmů za poslední</w:t>
      </w:r>
      <w:r w:rsidRPr="00493382">
        <w:t xml:space="preserve"> 4 rozpočtové ro</w:t>
      </w:r>
      <w:r w:rsidR="00054C2C" w:rsidRPr="00493382">
        <w:t>ky.</w:t>
      </w:r>
    </w:p>
    <w:p w14:paraId="2F1BDE3F" w14:textId="77777777" w:rsidR="00B01126" w:rsidRPr="004D0FAA" w:rsidRDefault="00B01126" w:rsidP="00CB6EE3">
      <w:pPr>
        <w:pStyle w:val="Kaskda0"/>
        <w:numPr>
          <w:ilvl w:val="0"/>
          <w:numId w:val="39"/>
        </w:numPr>
      </w:pPr>
      <w:r w:rsidRPr="00493382">
        <w:t>Pokud ÚSC nesnižuje dluhy alespoň o zákonné minimum, MF ČR v následujícím kalendářním roce rozhodne o pozastavení převodu jeho podílu na výnosu daní.</w:t>
      </w:r>
    </w:p>
    <w:bookmarkStart w:id="65" w:name="_Toc180650267"/>
    <w:p w14:paraId="5B29E928" w14:textId="77777777" w:rsidR="00596EF5" w:rsidRPr="007F7EE4" w:rsidRDefault="00973A21" w:rsidP="009A770A">
      <w:pPr>
        <w:pStyle w:val="Tabulka"/>
      </w:pPr>
      <w:r w:rsidRPr="001B58F3">
        <w:rPr>
          <w:rFonts w:ascii="Verdana" w:hAnsi="Verdana"/>
          <w:noProof/>
          <w:sz w:val="19"/>
          <w:highlight w:val="cyan"/>
          <w:lang w:eastAsia="cs-CZ"/>
        </w:rPr>
        <w:lastRenderedPageBreak/>
        <mc:AlternateContent>
          <mc:Choice Requires="wps">
            <w:drawing>
              <wp:anchor distT="0" distB="0" distL="114300" distR="114300" simplePos="0" relativeHeight="251656704" behindDoc="0" locked="0" layoutInCell="1" allowOverlap="1" wp14:anchorId="6276B113" wp14:editId="54F37210">
                <wp:simplePos x="0" y="0"/>
                <wp:positionH relativeFrom="page">
                  <wp:posOffset>541655</wp:posOffset>
                </wp:positionH>
                <wp:positionV relativeFrom="paragraph">
                  <wp:posOffset>0</wp:posOffset>
                </wp:positionV>
                <wp:extent cx="1404000" cy="849600"/>
                <wp:effectExtent l="0" t="0" r="5715" b="8255"/>
                <wp:wrapNone/>
                <wp:docPr id="724"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84960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0BBE2F1C" w14:textId="21AAD58A" w:rsidR="0031735E" w:rsidRPr="00741CB5" w:rsidRDefault="0031735E" w:rsidP="00A1183E">
                            <w:pPr>
                              <w:spacing w:after="0"/>
                              <w:jc w:val="left"/>
                              <w:rPr>
                                <w:b/>
                                <w:i/>
                                <w:color w:val="548DD4" w:themeColor="text2" w:themeTint="99"/>
                                <w:sz w:val="28"/>
                                <w:szCs w:val="28"/>
                              </w:rPr>
                            </w:pPr>
                            <w:r>
                              <w:rPr>
                                <w:rStyle w:val="Odkaznakoment"/>
                                <w:rFonts w:cstheme="minorHAnsi"/>
                                <w:i/>
                                <w:sz w:val="20"/>
                                <w:szCs w:val="20"/>
                              </w:rPr>
                              <w:t>Z pohledu pravidla rozpočtové odpovědnosti je strop pro výši dluhu v</w:t>
                            </w:r>
                            <w:r w:rsidR="00A0542A">
                              <w:rPr>
                                <w:rStyle w:val="Odkaznakoment"/>
                                <w:rFonts w:cstheme="minorHAnsi"/>
                                <w:i/>
                                <w:sz w:val="20"/>
                                <w:szCs w:val="20"/>
                              </w:rPr>
                              <w:t> </w:t>
                            </w:r>
                            <w:r w:rsidRPr="00855C6C">
                              <w:rPr>
                                <w:rStyle w:val="Odkaznakoment"/>
                                <w:rFonts w:cstheme="minorHAnsi"/>
                                <w:i/>
                                <w:sz w:val="20"/>
                                <w:szCs w:val="20"/>
                              </w:rPr>
                              <w:t>roce</w:t>
                            </w:r>
                            <w:r w:rsidR="00A0542A">
                              <w:rPr>
                                <w:rStyle w:val="Odkaznakoment"/>
                                <w:rFonts w:cstheme="minorHAnsi"/>
                                <w:i/>
                                <w:sz w:val="20"/>
                                <w:szCs w:val="20"/>
                              </w:rPr>
                              <w:t xml:space="preserve"> </w:t>
                            </w:r>
                            <w:r w:rsidR="00E77FC3" w:rsidRPr="00E77FC3">
                              <w:rPr>
                                <w:i/>
                                <w:sz w:val="20"/>
                                <w:szCs w:val="20"/>
                              </w:rPr>
                              <w:t>2023</w:t>
                            </w:r>
                            <w:r w:rsidRPr="00A1183E">
                              <w:rPr>
                                <w:b/>
                                <w:i/>
                                <w:color w:val="548DD4" w:themeColor="text2" w:themeTint="99"/>
                                <w:sz w:val="20"/>
                                <w:szCs w:val="20"/>
                              </w:rPr>
                              <w:t xml:space="preserve"> </w:t>
                            </w:r>
                            <w:r w:rsidR="00E77FC3" w:rsidRPr="00E77FC3">
                              <w:rPr>
                                <w:b/>
                                <w:i/>
                                <w:color w:val="548DD4" w:themeColor="text2" w:themeTint="99"/>
                                <w:sz w:val="28"/>
                                <w:szCs w:val="28"/>
                              </w:rPr>
                              <w:t>819,4</w:t>
                            </w:r>
                            <w:r w:rsidR="00A0542A">
                              <w:rPr>
                                <w:b/>
                                <w:color w:val="548DD4" w:themeColor="text2" w:themeTint="99"/>
                                <w:sz w:val="28"/>
                                <w:szCs w:val="28"/>
                              </w:rPr>
                              <w:t xml:space="preserve"> </w:t>
                            </w:r>
                            <w:r w:rsidRPr="00855C6C">
                              <w:rPr>
                                <w:b/>
                                <w:i/>
                                <w:color w:val="548DD4" w:themeColor="text2" w:themeTint="99"/>
                                <w:sz w:val="28"/>
                                <w:szCs w:val="28"/>
                              </w:rPr>
                              <w:t>mil. Kč</w:t>
                            </w:r>
                          </w:p>
                          <w:p w14:paraId="1A21F115" w14:textId="77777777" w:rsidR="0031735E" w:rsidRPr="001B58F3" w:rsidRDefault="0031735E" w:rsidP="00E03088">
                            <w:pPr>
                              <w:spacing w:after="0"/>
                              <w:jc w:val="left"/>
                              <w:rPr>
                                <w:rFonts w:cstheme="minorHAnsi"/>
                                <w:i/>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6276B113" id="_x0000_s1049" type="#_x0000_t202" style="position:absolute;left:0;text-align:left;margin-left:42.65pt;margin-top:0;width:110.55pt;height:66.9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" fillcolor="white [3201]" stroked="f" strokeweight=".5pt">
                <v:path arrowok="t"/>
                <v:textbox inset="0,0,0,0">
                  <w:txbxContent>
                    <w:p w14:paraId="0BBE2F1C" w14:textId="21AAD58A" w:rsidR="0031735E" w:rsidRPr="00741CB5" w:rsidRDefault="0031735E" w:rsidP="00A1183E">
                      <w:pPr>
                        <w:spacing w:after="0"/>
                        <w:jc w:val="left"/>
                        <w:rPr>
                          <w:b/>
                          <w:i/>
                          <w:color w:val="548DD4" w:themeColor="text2" w:themeTint="99"/>
                          <w:sz w:val="28"/>
                          <w:szCs w:val="28"/>
                        </w:rPr>
                      </w:pPr>
                      <w:r>
                        <w:rPr>
                          <w:rStyle w:val="Odkaznakoment"/>
                          <w:rFonts w:cstheme="minorHAnsi"/>
                          <w:i/>
                          <w:sz w:val="20"/>
                          <w:szCs w:val="20"/>
                        </w:rPr>
                        <w:t>Z pohledu pravidla rozpočtové odpovědnosti je strop pro výši dluhu v</w:t>
                      </w:r>
                      <w:r w:rsidR="00A0542A">
                        <w:rPr>
                          <w:rStyle w:val="Odkaznakoment"/>
                          <w:rFonts w:cstheme="minorHAnsi"/>
                          <w:i/>
                          <w:sz w:val="20"/>
                          <w:szCs w:val="20"/>
                        </w:rPr>
                        <w:t> </w:t>
                      </w:r>
                      <w:r w:rsidRPr="00855C6C">
                        <w:rPr>
                          <w:rStyle w:val="Odkaznakoment"/>
                          <w:rFonts w:cstheme="minorHAnsi"/>
                          <w:i/>
                          <w:sz w:val="20"/>
                          <w:szCs w:val="20"/>
                        </w:rPr>
                        <w:t>roce</w:t>
                      </w:r>
                      <w:r w:rsidR="00A0542A">
                        <w:rPr>
                          <w:rStyle w:val="Odkaznakoment"/>
                          <w:rFonts w:cstheme="minorHAnsi"/>
                          <w:i/>
                          <w:sz w:val="20"/>
                          <w:szCs w:val="20"/>
                        </w:rPr>
                        <w:t xml:space="preserve"> </w:t>
                      </w:r>
                      <w:r w:rsidR="00E77FC3" w:rsidRPr="00E77FC3">
                        <w:rPr>
                          <w:i/>
                          <w:sz w:val="20"/>
                          <w:szCs w:val="20"/>
                        </w:rPr>
                        <w:t>2023</w:t>
                      </w:r>
                      <w:r w:rsidRPr="00A1183E">
                        <w:rPr>
                          <w:b/>
                          <w:i/>
                          <w:color w:val="548DD4" w:themeColor="text2" w:themeTint="99"/>
                          <w:sz w:val="20"/>
                          <w:szCs w:val="20"/>
                        </w:rPr>
                        <w:t xml:space="preserve"> </w:t>
                      </w:r>
                      <w:r w:rsidR="00E77FC3" w:rsidRPr="00E77FC3">
                        <w:rPr>
                          <w:b/>
                          <w:i/>
                          <w:color w:val="548DD4" w:themeColor="text2" w:themeTint="99"/>
                          <w:sz w:val="28"/>
                          <w:szCs w:val="28"/>
                        </w:rPr>
                        <w:t>819,4</w:t>
                      </w:r>
                      <w:r w:rsidR="00A0542A">
                        <w:rPr>
                          <w:b/>
                          <w:color w:val="548DD4" w:themeColor="text2" w:themeTint="99"/>
                          <w:sz w:val="28"/>
                          <w:szCs w:val="28"/>
                        </w:rPr>
                        <w:t xml:space="preserve"> </w:t>
                      </w:r>
                      <w:r w:rsidRPr="00855C6C">
                        <w:rPr>
                          <w:b/>
                          <w:i/>
                          <w:color w:val="548DD4" w:themeColor="text2" w:themeTint="99"/>
                          <w:sz w:val="28"/>
                          <w:szCs w:val="28"/>
                        </w:rPr>
                        <w:t>mil. Kč</w:t>
                      </w:r>
                    </w:p>
                    <w:p w14:paraId="1A21F115" w14:textId="77777777" w:rsidR="0031735E" w:rsidRPr="001B58F3" w:rsidRDefault="0031735E" w:rsidP="00E03088">
                      <w:pPr>
                        <w:spacing w:after="0"/>
                        <w:jc w:val="left"/>
                        <w:rPr>
                          <w:rFonts w:cstheme="minorHAnsi"/>
                          <w:i/>
                          <w:sz w:val="20"/>
                          <w:szCs w:val="20"/>
                        </w:rPr>
                      </w:pPr>
                    </w:p>
                  </w:txbxContent>
                </v:textbox>
                <w10:wrap anchorx="page"/>
              </v:shape>
            </w:pict>
          </mc:Fallback>
        </mc:AlternateContent>
      </w:r>
      <w:r w:rsidR="00596EF5">
        <w:t>Fiskální pravidlo hospodaření</w:t>
      </w:r>
      <w:bookmarkEnd w:id="65"/>
    </w:p>
    <w:p w14:paraId="71E28E4D" w14:textId="5AB92F90" w:rsidR="00596EF5" w:rsidRPr="003300CB" w:rsidRDefault="002259E5" w:rsidP="00596EF5">
      <w:pPr>
        <w:pStyle w:val="Objekt"/>
      </w:pPr>
      <w:r w:rsidRPr="002259E5">
        <w:rPr>
          <w:noProof/>
        </w:rPr>
        <w:drawing>
          <wp:inline distT="0" distB="0" distL="0" distR="0" wp14:anchorId="3EC5F78E" wp14:editId="5E69F210">
            <wp:extent cx="4860925" cy="799465"/>
            <wp:effectExtent l="0" t="0" r="0" b="635"/>
            <wp:docPr id="1811304010" name="Obráze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860925" cy="799465"/>
                    </a:xfrm>
                    <a:prstGeom prst="rect">
                      <a:avLst/>
                    </a:prstGeom>
                    <a:noFill/>
                    <a:ln>
                      <a:noFill/>
                    </a:ln>
                  </pic:spPr>
                </pic:pic>
              </a:graphicData>
            </a:graphic>
          </wp:inline>
        </w:drawing>
      </w:r>
    </w:p>
    <w:p w14:paraId="1B7A19F5" w14:textId="66AC9264" w:rsidR="00B01126" w:rsidRPr="00347EF2" w:rsidRDefault="00B01126" w:rsidP="00942739">
      <w:r w:rsidRPr="004D0FAA">
        <w:t>Z výše uvedené tabulky je zřejmé,</w:t>
      </w:r>
      <w:r w:rsidR="008D1CFB" w:rsidRPr="004D0FAA">
        <w:t xml:space="preserve"> </w:t>
      </w:r>
      <w:r w:rsidRPr="004D0FAA">
        <w:t xml:space="preserve">že dluh </w:t>
      </w:r>
      <w:r w:rsidR="00BC2E0A">
        <w:t>města</w:t>
      </w:r>
      <w:r w:rsidRPr="004D0FAA">
        <w:t xml:space="preserve"> povolenou 60% hranici</w:t>
      </w:r>
      <w:r w:rsidR="00055184">
        <w:t xml:space="preserve"> nepřekračuje</w:t>
      </w:r>
      <w:r w:rsidRPr="004D0FAA">
        <w:t>. Strop</w:t>
      </w:r>
      <w:r w:rsidRPr="00347EF2">
        <w:t xml:space="preserve"> pro výši dluhu</w:t>
      </w:r>
      <w:r w:rsidR="00AD77E8">
        <w:t xml:space="preserve"> v roce </w:t>
      </w:r>
      <w:r w:rsidR="00E77FC3">
        <w:t>2023</w:t>
      </w:r>
      <w:r w:rsidRPr="00347EF2">
        <w:t xml:space="preserve"> je </w:t>
      </w:r>
      <w:r w:rsidR="00E77FC3">
        <w:t>819,4</w:t>
      </w:r>
      <w:r w:rsidRPr="00347EF2">
        <w:t xml:space="preserve"> mil. Kč</w:t>
      </w:r>
      <w:r w:rsidR="00347EF2" w:rsidRPr="00347EF2">
        <w:t>.</w:t>
      </w:r>
    </w:p>
    <w:p w14:paraId="36429AC1" w14:textId="77777777" w:rsidR="00B01126" w:rsidRPr="00493382" w:rsidRDefault="00B01126" w:rsidP="00993408">
      <w:r w:rsidRPr="00493382">
        <w:t xml:space="preserve">Pravidlo rozpočtové odpovědnosti je jedním ze tří monitorujících ukazatelů Ministerstva financí ČR. </w:t>
      </w:r>
      <w:r w:rsidR="00354EEA" w:rsidRPr="00493382">
        <w:t>Zbylými dvěma jsou:</w:t>
      </w:r>
    </w:p>
    <w:p w14:paraId="3437B448" w14:textId="77777777" w:rsidR="00B01126" w:rsidRPr="00493382" w:rsidRDefault="00B01126" w:rsidP="00CB6EE3">
      <w:pPr>
        <w:pStyle w:val="Kaskda0"/>
        <w:numPr>
          <w:ilvl w:val="0"/>
          <w:numId w:val="40"/>
        </w:numPr>
      </w:pPr>
      <w:r w:rsidRPr="00493382">
        <w:rPr>
          <w:b/>
        </w:rPr>
        <w:t xml:space="preserve">Podíl cizích zdrojů k celkovým </w:t>
      </w:r>
      <w:proofErr w:type="gramStart"/>
      <w:r w:rsidRPr="00493382">
        <w:rPr>
          <w:b/>
        </w:rPr>
        <w:t>aktivům -</w:t>
      </w:r>
      <w:r w:rsidRPr="00493382">
        <w:t xml:space="preserve"> Ukazatel</w:t>
      </w:r>
      <w:proofErr w:type="gramEnd"/>
      <w:r w:rsidRPr="00493382">
        <w:t xml:space="preserve"> vyjadřuje poměr zadlužení k celkovému majetku </w:t>
      </w:r>
      <w:r w:rsidR="008D1CFB" w:rsidRPr="00493382">
        <w:t>ÚSC</w:t>
      </w:r>
      <w:r w:rsidRPr="00493382">
        <w:t>. Za rizikovou hodnotu je považován ukazatel vyšší než 25 %.</w:t>
      </w:r>
    </w:p>
    <w:p w14:paraId="580C03A6" w14:textId="77777777" w:rsidR="00B01126" w:rsidRPr="00493382" w:rsidRDefault="00B01126" w:rsidP="00CB6EE3">
      <w:pPr>
        <w:pStyle w:val="Kaskda0"/>
        <w:numPr>
          <w:ilvl w:val="0"/>
          <w:numId w:val="40"/>
        </w:numPr>
      </w:pPr>
      <w:r w:rsidRPr="00493382">
        <w:rPr>
          <w:b/>
        </w:rPr>
        <w:t xml:space="preserve">Celková </w:t>
      </w:r>
      <w:proofErr w:type="gramStart"/>
      <w:r w:rsidRPr="00493382">
        <w:rPr>
          <w:b/>
        </w:rPr>
        <w:t>likvidita</w:t>
      </w:r>
      <w:r w:rsidRPr="00493382">
        <w:t xml:space="preserve"> - Ukazatel</w:t>
      </w:r>
      <w:proofErr w:type="gramEnd"/>
      <w:r w:rsidRPr="00493382">
        <w:t xml:space="preserve"> stanovuje poměr, kterým je </w:t>
      </w:r>
      <w:r w:rsidR="009E2467">
        <w:t>město</w:t>
      </w:r>
      <w:r w:rsidRPr="00493382">
        <w:t xml:space="preserve"> schopn</w:t>
      </w:r>
      <w:r w:rsidR="009E2467">
        <w:t>o</w:t>
      </w:r>
      <w:r w:rsidRPr="00493382">
        <w:t xml:space="preserve"> krýt své krátkodobé závazky především prostředky na bankovních účtech a hotovostí. Za rizikovou hodnotu se považuje hodnota menší než 1.</w:t>
      </w:r>
    </w:p>
    <w:p w14:paraId="5FF4DACF" w14:textId="77777777" w:rsidR="00B01126" w:rsidRPr="00493382" w:rsidRDefault="00B01126" w:rsidP="00993408">
      <w:r w:rsidRPr="00493382">
        <w:t>Kromě uvedených monitorujících je sledována také soustava informativních ukazatelů. Mezi vybrané informativní ukazatele s úzkou vazbou na dluhové hospodaření dále patří:</w:t>
      </w:r>
    </w:p>
    <w:p w14:paraId="4F7B196E" w14:textId="77777777" w:rsidR="00B01126" w:rsidRPr="00493382" w:rsidRDefault="00B01126" w:rsidP="00CB6EE3">
      <w:pPr>
        <w:pStyle w:val="Kaskda0"/>
        <w:numPr>
          <w:ilvl w:val="0"/>
          <w:numId w:val="41"/>
        </w:numPr>
      </w:pPr>
      <w:r w:rsidRPr="00493382">
        <w:rPr>
          <w:b/>
        </w:rPr>
        <w:t xml:space="preserve">Ukazatel dluhové </w:t>
      </w:r>
      <w:proofErr w:type="gramStart"/>
      <w:r w:rsidRPr="00493382">
        <w:rPr>
          <w:b/>
        </w:rPr>
        <w:t>služby</w:t>
      </w:r>
      <w:r w:rsidRPr="00493382">
        <w:t xml:space="preserve"> - Ukazatel</w:t>
      </w:r>
      <w:proofErr w:type="gramEnd"/>
      <w:r w:rsidRPr="00493382">
        <w:t xml:space="preserve"> stanovuje poměr, kterým je obec schopna krýt svou roční dluhovou službu svými celkovými příjmy. Za rizikovou hodnotu je považován ukazatel vyšší než 25 %.</w:t>
      </w:r>
    </w:p>
    <w:p w14:paraId="408B6FD2" w14:textId="77777777" w:rsidR="00596EF5" w:rsidRPr="00596EF5" w:rsidRDefault="00596EF5" w:rsidP="009A770A">
      <w:pPr>
        <w:pStyle w:val="Tabulka"/>
      </w:pPr>
      <w:bookmarkStart w:id="66" w:name="_Toc180650268"/>
      <w:r w:rsidRPr="00596EF5">
        <w:t>Vývoj ukazatelů dluhového hospodaření</w:t>
      </w:r>
      <w:bookmarkEnd w:id="66"/>
      <w:r w:rsidRPr="00596EF5">
        <w:t xml:space="preserve"> </w:t>
      </w:r>
    </w:p>
    <w:p w14:paraId="404DA37B" w14:textId="5C32C522" w:rsidR="00596EF5" w:rsidRPr="003300CB" w:rsidRDefault="002259E5" w:rsidP="00596EF5">
      <w:pPr>
        <w:pStyle w:val="Objekt"/>
      </w:pPr>
      <w:r w:rsidRPr="002259E5">
        <w:rPr>
          <w:noProof/>
        </w:rPr>
        <w:drawing>
          <wp:inline distT="0" distB="0" distL="0" distR="0" wp14:anchorId="2875953B" wp14:editId="26B87AB2">
            <wp:extent cx="4860925" cy="799465"/>
            <wp:effectExtent l="0" t="0" r="0" b="635"/>
            <wp:docPr id="290821560" name="Obrázek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860925" cy="799465"/>
                    </a:xfrm>
                    <a:prstGeom prst="rect">
                      <a:avLst/>
                    </a:prstGeom>
                    <a:noFill/>
                    <a:ln>
                      <a:noFill/>
                    </a:ln>
                  </pic:spPr>
                </pic:pic>
              </a:graphicData>
            </a:graphic>
          </wp:inline>
        </w:drawing>
      </w:r>
    </w:p>
    <w:p w14:paraId="7D857780" w14:textId="2ABFCDD6" w:rsidR="002F34F8" w:rsidRPr="00DD3AA3" w:rsidRDefault="00B01126" w:rsidP="008C3DB0">
      <w:r w:rsidRPr="00DD3AA3">
        <w:t xml:space="preserve">Překročení hraničních hodnot u všech tří monitorujících ukazatelů současně pouze indikuje možné riziko hospodářských </w:t>
      </w:r>
      <w:r w:rsidRPr="00A3662B">
        <w:t xml:space="preserve">problémů, ale nutně neznamená, že je </w:t>
      </w:r>
      <w:r w:rsidR="00354EEA" w:rsidRPr="00A3662B">
        <w:t>město</w:t>
      </w:r>
      <w:r w:rsidRPr="00A3662B">
        <w:t xml:space="preserve"> v </w:t>
      </w:r>
      <w:r w:rsidR="00642F56" w:rsidRPr="00A3662B">
        <w:t>nepříznivé</w:t>
      </w:r>
      <w:r w:rsidRPr="00A3662B">
        <w:t xml:space="preserve"> finanční situaci. Pro </w:t>
      </w:r>
      <w:r w:rsidR="00BC2E0A" w:rsidRPr="00A3662B">
        <w:t xml:space="preserve">město </w:t>
      </w:r>
      <w:r w:rsidR="00E77FC3" w:rsidRPr="00A3662B">
        <w:t>Chomutov</w:t>
      </w:r>
      <w:r w:rsidRPr="00A3662B">
        <w:t xml:space="preserve"> </w:t>
      </w:r>
      <w:r w:rsidR="002F34F8" w:rsidRPr="00A3662B">
        <w:t>jsou</w:t>
      </w:r>
      <w:r w:rsidRPr="00A3662B">
        <w:t xml:space="preserve"> </w:t>
      </w:r>
      <w:r w:rsidR="002F34F8" w:rsidRPr="00A3662B">
        <w:t xml:space="preserve">příznivé </w:t>
      </w:r>
      <w:r w:rsidRPr="00A3662B">
        <w:t>hodnoty</w:t>
      </w:r>
      <w:r w:rsidR="002F34F8" w:rsidRPr="00A3662B">
        <w:t xml:space="preserve"> </w:t>
      </w:r>
      <w:r w:rsidR="00382F4A" w:rsidRPr="00A3662B">
        <w:t>všech ukazatelů.</w:t>
      </w:r>
    </w:p>
    <w:p w14:paraId="04467732" w14:textId="77777777" w:rsidR="00B01126" w:rsidRPr="002F34F8" w:rsidRDefault="00B01126" w:rsidP="00993408">
      <w:pPr>
        <w:pStyle w:val="Nadpis2"/>
      </w:pPr>
      <w:bookmarkStart w:id="67" w:name="_Toc62211719"/>
      <w:bookmarkStart w:id="68" w:name="_Toc180650321"/>
      <w:bookmarkStart w:id="69" w:name="_Toc354550546"/>
      <w:r w:rsidRPr="002F34F8">
        <w:t>Analýza cash flow</w:t>
      </w:r>
      <w:bookmarkEnd w:id="67"/>
      <w:bookmarkEnd w:id="68"/>
    </w:p>
    <w:bookmarkEnd w:id="69"/>
    <w:p w14:paraId="1E5758DC" w14:textId="77777777" w:rsidR="00B01126" w:rsidRPr="002F34F8" w:rsidRDefault="00B01126" w:rsidP="00993408">
      <w:r w:rsidRPr="002F34F8">
        <w:t xml:space="preserve">Problematika cash </w:t>
      </w:r>
      <w:proofErr w:type="spellStart"/>
      <w:r w:rsidRPr="005336E6">
        <w:t>flow</w:t>
      </w:r>
      <w:proofErr w:type="spellEnd"/>
      <w:r w:rsidRPr="002F34F8">
        <w:t xml:space="preserve"> města je úzce spojena s uvolňováním finančních prostředků náležejících obci jako podíl na daňovém výnosu a ostatních, zejména mandatorních</w:t>
      </w:r>
      <w:r w:rsidR="00BC0607" w:rsidRPr="002F34F8">
        <w:t>,</w:t>
      </w:r>
      <w:r w:rsidRPr="002F34F8">
        <w:t xml:space="preserve"> příjmech. Tento systém zjišťování finančního toku nepokrývá zcela finanční potřeby municipalit v průběhu roku a vytváří tak tlaky na efektivní řízení krátkodobého financování rozpočtových výdajů. Proto není výjimkou, že hodnoty cash </w:t>
      </w:r>
      <w:proofErr w:type="spellStart"/>
      <w:r w:rsidRPr="005336E6">
        <w:t>flow</w:t>
      </w:r>
      <w:proofErr w:type="spellEnd"/>
      <w:r w:rsidRPr="002F34F8">
        <w:t xml:space="preserve"> </w:t>
      </w:r>
      <w:r w:rsidR="00BC0607" w:rsidRPr="002F34F8">
        <w:t>jsou záporné</w:t>
      </w:r>
      <w:r w:rsidRPr="002F34F8">
        <w:t>, jak dokumentuje následující graf.</w:t>
      </w:r>
    </w:p>
    <w:p w14:paraId="17F8C365" w14:textId="77777777" w:rsidR="00B01126" w:rsidRPr="00BF2726" w:rsidRDefault="00512630" w:rsidP="007F7EE4">
      <w:pPr>
        <w:pStyle w:val="Graf0"/>
      </w:pPr>
      <w:bookmarkStart w:id="70" w:name="_Toc180650294"/>
      <w:r w:rsidRPr="00BF2726">
        <w:lastRenderedPageBreak/>
        <w:t>Průměrné m</w:t>
      </w:r>
      <w:r w:rsidR="00B01126" w:rsidRPr="00BF2726">
        <w:t xml:space="preserve">ěsíční cash </w:t>
      </w:r>
      <w:proofErr w:type="spellStart"/>
      <w:r w:rsidR="00B01126" w:rsidRPr="00BF2726">
        <w:t>flow</w:t>
      </w:r>
      <w:bookmarkEnd w:id="70"/>
      <w:proofErr w:type="spellEnd"/>
      <w:r w:rsidR="00B01126" w:rsidRPr="00BF2726">
        <w:t xml:space="preserve"> </w:t>
      </w:r>
    </w:p>
    <w:p w14:paraId="3D6CBA81" w14:textId="0C0AB01F" w:rsidR="005F2E00" w:rsidRPr="003300CB" w:rsidRDefault="002259E5" w:rsidP="005F2E00">
      <w:pPr>
        <w:pStyle w:val="Objekt"/>
      </w:pPr>
      <w:r w:rsidRPr="002259E5">
        <w:rPr>
          <w:noProof/>
        </w:rPr>
        <w:drawing>
          <wp:inline distT="0" distB="0" distL="0" distR="0" wp14:anchorId="7FF23B52" wp14:editId="75871D1D">
            <wp:extent cx="4860925" cy="2009775"/>
            <wp:effectExtent l="0" t="0" r="0" b="9525"/>
            <wp:docPr id="1283059385" name="Obrázek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860925" cy="2009775"/>
                    </a:xfrm>
                    <a:prstGeom prst="rect">
                      <a:avLst/>
                    </a:prstGeom>
                    <a:noFill/>
                    <a:ln>
                      <a:noFill/>
                    </a:ln>
                  </pic:spPr>
                </pic:pic>
              </a:graphicData>
            </a:graphic>
          </wp:inline>
        </w:drawing>
      </w:r>
    </w:p>
    <w:p w14:paraId="0F3BC547" w14:textId="30616E0B" w:rsidR="00512630" w:rsidRDefault="00512630" w:rsidP="00512630">
      <w:pPr>
        <w:pStyle w:val="Poznmka"/>
      </w:pPr>
      <w:r>
        <w:t xml:space="preserve">Poznámka: Hodnoty jsou vypočteny jako průměr za roky </w:t>
      </w:r>
      <w:proofErr w:type="gramStart"/>
      <w:r w:rsidR="00E77FC3">
        <w:t>2019</w:t>
      </w:r>
      <w:r>
        <w:t xml:space="preserve"> - </w:t>
      </w:r>
      <w:r w:rsidR="00E77FC3">
        <w:t>2023</w:t>
      </w:r>
      <w:proofErr w:type="gramEnd"/>
    </w:p>
    <w:p w14:paraId="030BE32D" w14:textId="77777777" w:rsidR="00B01126" w:rsidRPr="0000725A" w:rsidRDefault="00434F92" w:rsidP="00993408">
      <w:r w:rsidRPr="001B58F3">
        <w:rPr>
          <w:rFonts w:ascii="Verdana" w:hAnsi="Verdana"/>
          <w:noProof/>
          <w:sz w:val="19"/>
          <w:highlight w:val="cyan"/>
          <w:lang w:eastAsia="cs-CZ"/>
        </w:rPr>
        <mc:AlternateContent>
          <mc:Choice Requires="wps">
            <w:drawing>
              <wp:anchor distT="0" distB="0" distL="114300" distR="114300" simplePos="0" relativeHeight="251667968" behindDoc="0" locked="0" layoutInCell="1" allowOverlap="1" wp14:anchorId="5D652DAF" wp14:editId="776B79A6">
                <wp:simplePos x="0" y="0"/>
                <wp:positionH relativeFrom="page">
                  <wp:posOffset>541867</wp:posOffset>
                </wp:positionH>
                <wp:positionV relativeFrom="paragraph">
                  <wp:posOffset>-211</wp:posOffset>
                </wp:positionV>
                <wp:extent cx="1404000" cy="660400"/>
                <wp:effectExtent l="0" t="0" r="5715" b="6350"/>
                <wp:wrapNone/>
                <wp:docPr id="748"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66040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2F258E41" w14:textId="77777777" w:rsidR="0031735E" w:rsidRPr="00434F92" w:rsidRDefault="0031735E" w:rsidP="00434F92">
                            <w:pPr>
                              <w:jc w:val="left"/>
                              <w:rPr>
                                <w:rFonts w:cstheme="minorHAnsi"/>
                                <w:i/>
                                <w:szCs w:val="22"/>
                              </w:rPr>
                            </w:pPr>
                            <w:r>
                              <w:rPr>
                                <w:rStyle w:val="Odkaznakoment"/>
                                <w:rFonts w:cstheme="minorHAnsi"/>
                                <w:i/>
                                <w:sz w:val="20"/>
                                <w:szCs w:val="20"/>
                              </w:rPr>
                              <w:t>Výše vlastních finančních prostředků je závislá na investiční aktivitě města</w:t>
                            </w:r>
                          </w:p>
                          <w:p w14:paraId="4ECF225D" w14:textId="77777777" w:rsidR="0031735E" w:rsidRPr="001B58F3" w:rsidRDefault="0031735E" w:rsidP="00E03088">
                            <w:pPr>
                              <w:spacing w:after="0"/>
                              <w:jc w:val="left"/>
                              <w:rPr>
                                <w:rFonts w:cstheme="minorHAnsi"/>
                                <w:i/>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5D652DAF" id="_x0000_s1050" type="#_x0000_t202" style="position:absolute;left:0;text-align:left;margin-left:42.65pt;margin-top:0;width:110.55pt;height:52pt;z-index:2516679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" fillcolor="white [3201]" stroked="f" strokeweight=".5pt">
                <v:path arrowok="t"/>
                <v:textbox inset="0,0,0,0">
                  <w:txbxContent>
                    <w:p w14:paraId="2F258E41" w14:textId="77777777" w:rsidR="0031735E" w:rsidRPr="00434F92" w:rsidRDefault="0031735E" w:rsidP="00434F92">
                      <w:pPr>
                        <w:jc w:val="left"/>
                        <w:rPr>
                          <w:rFonts w:cstheme="minorHAnsi"/>
                          <w:i/>
                          <w:szCs w:val="22"/>
                        </w:rPr>
                      </w:pPr>
                      <w:r>
                        <w:rPr>
                          <w:rStyle w:val="Odkaznakoment"/>
                          <w:rFonts w:cstheme="minorHAnsi"/>
                          <w:i/>
                          <w:sz w:val="20"/>
                          <w:szCs w:val="20"/>
                        </w:rPr>
                        <w:t>Výše vlastních finančních prostředků je závislá na investiční aktivitě města</w:t>
                      </w:r>
                    </w:p>
                    <w:p w14:paraId="4ECF225D" w14:textId="77777777" w:rsidR="0031735E" w:rsidRPr="001B58F3" w:rsidRDefault="0031735E" w:rsidP="00E03088">
                      <w:pPr>
                        <w:spacing w:after="0"/>
                        <w:jc w:val="left"/>
                        <w:rPr>
                          <w:rFonts w:cstheme="minorHAnsi"/>
                          <w:i/>
                          <w:sz w:val="20"/>
                          <w:szCs w:val="20"/>
                        </w:rPr>
                      </w:pPr>
                    </w:p>
                  </w:txbxContent>
                </v:textbox>
                <w10:wrap anchorx="page"/>
              </v:shape>
            </w:pict>
          </mc:Fallback>
        </mc:AlternateContent>
      </w:r>
      <w:r w:rsidR="00B01126" w:rsidRPr="002F34F8">
        <w:t>Pro hodnocení finanční stability města je však důležité, aby hodnota</w:t>
      </w:r>
      <w:r w:rsidR="00AD1CC1" w:rsidRPr="002F34F8">
        <w:t xml:space="preserve"> vlastních</w:t>
      </w:r>
      <w:r w:rsidR="00B01126" w:rsidRPr="002F34F8">
        <w:t xml:space="preserve"> </w:t>
      </w:r>
      <w:r w:rsidR="00AD1CC1" w:rsidRPr="002F34F8">
        <w:t>finančních prostředků</w:t>
      </w:r>
      <w:r w:rsidR="00B01126" w:rsidRPr="002F34F8">
        <w:t xml:space="preserve"> na konci rozpočtového roku </w:t>
      </w:r>
      <w:r w:rsidR="00D9228F">
        <w:t>pokrývala</w:t>
      </w:r>
      <w:r w:rsidR="00B01126" w:rsidRPr="002F34F8">
        <w:t xml:space="preserve"> financování základních potřeb města. </w:t>
      </w:r>
      <w:r w:rsidR="00D173A9" w:rsidRPr="002F34F8">
        <w:t>Následující graf</w:t>
      </w:r>
      <w:r w:rsidR="00B01126" w:rsidRPr="002F34F8">
        <w:t xml:space="preserve"> </w:t>
      </w:r>
      <w:r w:rsidR="00B01126" w:rsidRPr="0000725A">
        <w:t xml:space="preserve">znázorňuje danou situaci města. </w:t>
      </w:r>
    </w:p>
    <w:p w14:paraId="7A16F987" w14:textId="77777777" w:rsidR="00B01126" w:rsidRPr="0000725A" w:rsidRDefault="0034130A" w:rsidP="007F7EE4">
      <w:pPr>
        <w:pStyle w:val="Graf0"/>
      </w:pPr>
      <w:bookmarkStart w:id="71" w:name="_Toc180650295"/>
      <w:r w:rsidRPr="0000725A">
        <w:t xml:space="preserve">Vývoj cash </w:t>
      </w:r>
      <w:proofErr w:type="spellStart"/>
      <w:r w:rsidR="008C4D93" w:rsidRPr="0000725A">
        <w:t>flow</w:t>
      </w:r>
      <w:bookmarkEnd w:id="71"/>
      <w:proofErr w:type="spellEnd"/>
    </w:p>
    <w:p w14:paraId="5E6FBB7C" w14:textId="374BEA7A" w:rsidR="0035714F" w:rsidRPr="0000725A" w:rsidRDefault="002259E5" w:rsidP="005F2E00">
      <w:pPr>
        <w:pStyle w:val="Objekt"/>
      </w:pPr>
      <w:r w:rsidRPr="002259E5">
        <w:rPr>
          <w:noProof/>
        </w:rPr>
        <w:drawing>
          <wp:inline distT="0" distB="0" distL="0" distR="0" wp14:anchorId="228F29CD" wp14:editId="7D23D543">
            <wp:extent cx="4860925" cy="2009775"/>
            <wp:effectExtent l="0" t="0" r="0" b="9525"/>
            <wp:docPr id="266268708" name="Obráze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860925" cy="2009775"/>
                    </a:xfrm>
                    <a:prstGeom prst="rect">
                      <a:avLst/>
                    </a:prstGeom>
                    <a:noFill/>
                    <a:ln>
                      <a:noFill/>
                    </a:ln>
                  </pic:spPr>
                </pic:pic>
              </a:graphicData>
            </a:graphic>
          </wp:inline>
        </w:drawing>
      </w:r>
    </w:p>
    <w:p w14:paraId="7F787629" w14:textId="77777777" w:rsidR="00B01126" w:rsidRPr="003C2C43" w:rsidRDefault="00B01126" w:rsidP="00993408">
      <w:pPr>
        <w:pStyle w:val="Zkladntext"/>
        <w:rPr>
          <w:b/>
          <w:lang w:val="cs-CZ"/>
        </w:rPr>
      </w:pPr>
      <w:r w:rsidRPr="0000725A">
        <w:rPr>
          <w:lang w:val="cs-CZ"/>
        </w:rPr>
        <w:t>Hodnoty cash</w:t>
      </w:r>
      <w:r w:rsidR="0034130A" w:rsidRPr="0000725A">
        <w:rPr>
          <w:lang w:val="cs-CZ"/>
        </w:rPr>
        <w:t xml:space="preserve"> </w:t>
      </w:r>
      <w:proofErr w:type="spellStart"/>
      <w:r w:rsidR="004E7AD1" w:rsidRPr="0000725A">
        <w:rPr>
          <w:lang w:val="cs-CZ"/>
        </w:rPr>
        <w:t>flow</w:t>
      </w:r>
      <w:proofErr w:type="spellEnd"/>
      <w:r w:rsidR="004E7AD1" w:rsidRPr="0000725A">
        <w:rPr>
          <w:lang w:val="cs-CZ"/>
        </w:rPr>
        <w:t xml:space="preserve"> </w:t>
      </w:r>
      <w:r w:rsidRPr="0000725A">
        <w:rPr>
          <w:lang w:val="cs-CZ"/>
        </w:rPr>
        <w:t>vycházejí ze schválených závěrečných</w:t>
      </w:r>
      <w:r w:rsidRPr="003C2C43">
        <w:rPr>
          <w:lang w:val="cs-CZ"/>
        </w:rPr>
        <w:t xml:space="preserve"> účtů města a jsou zobrazeny v</w:t>
      </w:r>
      <w:r w:rsidR="00AD1CC1" w:rsidRPr="003C2C43">
        <w:rPr>
          <w:lang w:val="cs-CZ"/>
        </w:rPr>
        <w:t xml:space="preserve"> následující</w:t>
      </w:r>
      <w:r w:rsidRPr="003C2C43">
        <w:rPr>
          <w:lang w:val="cs-CZ"/>
        </w:rPr>
        <w:t> tabulce.</w:t>
      </w:r>
    </w:p>
    <w:p w14:paraId="4B59F53C" w14:textId="77777777" w:rsidR="00B01126" w:rsidRPr="007F7EE4" w:rsidRDefault="00B01126" w:rsidP="009A770A">
      <w:pPr>
        <w:pStyle w:val="Tabulka"/>
      </w:pPr>
      <w:bookmarkStart w:id="72" w:name="_Toc180650269"/>
      <w:r w:rsidRPr="007F7EE4">
        <w:t>Vývoj cash</w:t>
      </w:r>
      <w:r w:rsidR="0081069F" w:rsidRPr="007F7EE4">
        <w:t xml:space="preserve"> </w:t>
      </w:r>
      <w:proofErr w:type="spellStart"/>
      <w:r w:rsidR="004E7AD1" w:rsidRPr="007F7EE4">
        <w:t>flow</w:t>
      </w:r>
      <w:proofErr w:type="spellEnd"/>
      <w:r w:rsidR="004E7AD1" w:rsidRPr="007F7EE4">
        <w:t xml:space="preserve"> </w:t>
      </w:r>
      <w:r w:rsidR="0035714F" w:rsidRPr="007F7EE4">
        <w:t>a platební schopnost</w:t>
      </w:r>
      <w:r w:rsidR="00B51330">
        <w:t>i</w:t>
      </w:r>
      <w:bookmarkEnd w:id="72"/>
    </w:p>
    <w:p w14:paraId="5521DFD4" w14:textId="726BFEF9" w:rsidR="0035714F" w:rsidRPr="003300CB" w:rsidRDefault="002259E5" w:rsidP="00EE3CAF">
      <w:pPr>
        <w:pStyle w:val="Objekt"/>
      </w:pPr>
      <w:r w:rsidRPr="002259E5">
        <w:rPr>
          <w:noProof/>
        </w:rPr>
        <w:drawing>
          <wp:inline distT="0" distB="0" distL="0" distR="0" wp14:anchorId="54BF857E" wp14:editId="6E2CEC81">
            <wp:extent cx="4860925" cy="1322070"/>
            <wp:effectExtent l="0" t="0" r="0" b="0"/>
            <wp:docPr id="394992301" name="Obráze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860925" cy="1322070"/>
                    </a:xfrm>
                    <a:prstGeom prst="rect">
                      <a:avLst/>
                    </a:prstGeom>
                    <a:noFill/>
                    <a:ln>
                      <a:noFill/>
                    </a:ln>
                  </pic:spPr>
                </pic:pic>
              </a:graphicData>
            </a:graphic>
          </wp:inline>
        </w:drawing>
      </w:r>
    </w:p>
    <w:p w14:paraId="0F94AA7A" w14:textId="06855AD5" w:rsidR="00B01126" w:rsidRDefault="002F34F8" w:rsidP="00993408">
      <w:r w:rsidRPr="00A3662B">
        <w:t>V</w:t>
      </w:r>
      <w:r w:rsidR="00AD1CC1" w:rsidRPr="00A3662B">
        <w:t xml:space="preserve"> analyzovaných</w:t>
      </w:r>
      <w:r w:rsidR="00B01126" w:rsidRPr="00A3662B">
        <w:t xml:space="preserve"> letech vykazuje stav peněžních prostředků běžného roku </w:t>
      </w:r>
      <w:r w:rsidR="00DE1B94" w:rsidRPr="00A3662B">
        <w:t>z</w:t>
      </w:r>
      <w:r w:rsidR="00AD1CC1" w:rsidRPr="00A3662B">
        <w:t>áporn</w:t>
      </w:r>
      <w:r w:rsidR="00B51330" w:rsidRPr="00A3662B">
        <w:t>é saldo</w:t>
      </w:r>
      <w:r w:rsidR="00B01126" w:rsidRPr="00A3662B">
        <w:t xml:space="preserve"> </w:t>
      </w:r>
      <w:r w:rsidR="00AD1CC1" w:rsidRPr="00A3662B">
        <w:t>v</w:t>
      </w:r>
      <w:r w:rsidR="00A3662B" w:rsidRPr="00A3662B">
        <w:t xml:space="preserve"> </w:t>
      </w:r>
      <w:r w:rsidRPr="00A3662B">
        <w:t>letech</w:t>
      </w:r>
      <w:r w:rsidR="00DE1B94" w:rsidRPr="00A3662B">
        <w:t xml:space="preserve"> </w:t>
      </w:r>
      <w:r w:rsidR="00E77FC3" w:rsidRPr="00A3662B">
        <w:t>2022 a 2023</w:t>
      </w:r>
      <w:r w:rsidR="005D10E1" w:rsidRPr="00A3662B">
        <w:t>, což</w:t>
      </w:r>
      <w:r w:rsidR="00DE1B94" w:rsidRPr="00A3662B">
        <w:t xml:space="preserve"> </w:t>
      </w:r>
      <w:r w:rsidR="00B01126" w:rsidRPr="00A3662B">
        <w:t>je způsoben</w:t>
      </w:r>
      <w:r w:rsidR="00D044BA" w:rsidRPr="00A3662B">
        <w:t>o</w:t>
      </w:r>
      <w:r w:rsidR="00B01126" w:rsidRPr="00A3662B">
        <w:t xml:space="preserve"> </w:t>
      </w:r>
      <w:r w:rsidRPr="00A3662B">
        <w:t>zvýšenou</w:t>
      </w:r>
      <w:r w:rsidR="00B01126" w:rsidRPr="00A3662B">
        <w:t xml:space="preserve"> investiční činností města.</w:t>
      </w:r>
      <w:r w:rsidR="00856682" w:rsidRPr="00A3662B">
        <w:t xml:space="preserve"> </w:t>
      </w:r>
      <w:r w:rsidR="00B01126" w:rsidRPr="00A3662B">
        <w:t xml:space="preserve">K vyrovnání hospodaření </w:t>
      </w:r>
      <w:r w:rsidR="00206A05" w:rsidRPr="00A3662B">
        <w:t>těchto let</w:t>
      </w:r>
      <w:r w:rsidR="004E7AD1" w:rsidRPr="00A3662B">
        <w:t xml:space="preserve"> město zpravidla</w:t>
      </w:r>
      <w:r w:rsidR="00B01126" w:rsidRPr="00A3662B">
        <w:t xml:space="preserve"> zapoj</w:t>
      </w:r>
      <w:r w:rsidR="004E7AD1" w:rsidRPr="00A3662B">
        <w:t>ova</w:t>
      </w:r>
      <w:r w:rsidR="005229FC" w:rsidRPr="00A3662B">
        <w:t>lo</w:t>
      </w:r>
      <w:r w:rsidR="00B01126" w:rsidRPr="00A3662B">
        <w:t xml:space="preserve"> přebytek finančních prostředků z</w:t>
      </w:r>
      <w:r w:rsidR="004E7AD1" w:rsidRPr="00A3662B">
        <w:t> předcházející</w:t>
      </w:r>
      <w:r w:rsidR="00B51330" w:rsidRPr="00A3662B">
        <w:t>ch</w:t>
      </w:r>
      <w:r w:rsidR="004E7AD1" w:rsidRPr="00A3662B">
        <w:t xml:space="preserve"> </w:t>
      </w:r>
      <w:r w:rsidR="00B51330" w:rsidRPr="00A3662B">
        <w:t>let</w:t>
      </w:r>
      <w:r w:rsidR="00856682" w:rsidRPr="00A3662B">
        <w:t>, kdy investovalo méně a vytvářelo si finanční rezervu právě pro tyto případy.</w:t>
      </w:r>
    </w:p>
    <w:p w14:paraId="555CB15B" w14:textId="5D5AC9F1" w:rsidR="00B51330" w:rsidRPr="004F4117" w:rsidRDefault="00B51330" w:rsidP="00993408">
      <w:pPr>
        <w:rPr>
          <w:highlight w:val="yellow"/>
        </w:rPr>
      </w:pPr>
      <w:r w:rsidRPr="00B51330">
        <w:lastRenderedPageBreak/>
        <w:t>Finanční stabilitu a schopnost města plnit svoje závazky lze posoudit na základě ukazatele platební schopnosti prvního řádu (optimum pod hranicí 2, maximální přípustná hodnota 6) a platební schopnosti druhého řádu (pod 20</w:t>
      </w:r>
      <w:r>
        <w:t xml:space="preserve"> </w:t>
      </w:r>
      <w:r w:rsidRPr="00B51330">
        <w:t>% optimální stav, do 40</w:t>
      </w:r>
      <w:r>
        <w:t xml:space="preserve"> </w:t>
      </w:r>
      <w:r w:rsidRPr="00B51330">
        <w:t>% stav uspokojivý</w:t>
      </w:r>
      <w:r w:rsidR="00D044BA">
        <w:t>).</w:t>
      </w:r>
    </w:p>
    <w:bookmarkStart w:id="73" w:name="_Toc62211721"/>
    <w:bookmarkStart w:id="74" w:name="_Toc180650322"/>
    <w:p w14:paraId="600CE23F" w14:textId="4F7F7E62" w:rsidR="00B01126" w:rsidRPr="0069225D" w:rsidRDefault="00D20167" w:rsidP="00993408">
      <w:pPr>
        <w:pStyle w:val="Nadpis2"/>
      </w:pPr>
      <w:r w:rsidRPr="008923AE">
        <w:rPr>
          <w:rFonts w:ascii="Verdana" w:hAnsi="Verdana"/>
          <w:b w:val="0"/>
          <w:noProof/>
          <w:sz w:val="19"/>
          <w:highlight w:val="cyan"/>
          <w:lang w:eastAsia="cs-CZ"/>
        </w:rPr>
        <mc:AlternateContent>
          <mc:Choice Requires="wps">
            <w:drawing>
              <wp:anchor distT="0" distB="0" distL="114300" distR="114300" simplePos="0" relativeHeight="251678208" behindDoc="0" locked="0" layoutInCell="1" allowOverlap="1" wp14:anchorId="3EC672E3" wp14:editId="19BC5AE5">
                <wp:simplePos x="0" y="0"/>
                <wp:positionH relativeFrom="page">
                  <wp:posOffset>540385</wp:posOffset>
                </wp:positionH>
                <wp:positionV relativeFrom="paragraph">
                  <wp:posOffset>360045</wp:posOffset>
                </wp:positionV>
                <wp:extent cx="1404000" cy="1440000"/>
                <wp:effectExtent l="0" t="0" r="5715" b="8255"/>
                <wp:wrapNone/>
                <wp:docPr id="66484036" name="MG 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144000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7BE617CB" w14:textId="50E8D694" w:rsidR="00D20167" w:rsidRPr="00193D74" w:rsidRDefault="00151D5F" w:rsidP="00D20167">
                            <w:pPr>
                              <w:jc w:val="center"/>
                              <w:rPr>
                                <w:rFonts w:cstheme="minorHAnsi"/>
                                <w:sz w:val="20"/>
                                <w:szCs w:val="20"/>
                              </w:rPr>
                            </w:pPr>
                            <w:r w:rsidRPr="00151D5F">
                              <w:rPr>
                                <w:noProof/>
                              </w:rPr>
                              <w:drawing>
                                <wp:inline distT="0" distB="0" distL="0" distR="0" wp14:anchorId="66E7E414" wp14:editId="431327C0">
                                  <wp:extent cx="1339215" cy="1172210"/>
                                  <wp:effectExtent l="0" t="0" r="0" b="8890"/>
                                  <wp:docPr id="1074893965" name="Obráze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339215" cy="117221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3EC672E3" id="MG R" o:spid="_x0000_s1051" type="#_x0000_t202" style="position:absolute;left:0;text-align:left;margin-left:42.55pt;margin-top:28.35pt;width:110.55pt;height:113.4pt;z-index:251678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" fillcolor="white [3201]" stroked="f" strokeweight=".5pt">
                <v:path arrowok="t"/>
                <v:textbox inset="0,0,0,0">
                  <w:txbxContent>
                    <w:p w14:paraId="7BE617CB" w14:textId="50E8D694" w:rsidR="00D20167" w:rsidRPr="00193D74" w:rsidRDefault="00151D5F" w:rsidP="00D20167">
                      <w:pPr>
                        <w:jc w:val="center"/>
                        <w:rPr>
                          <w:rFonts w:cstheme="minorHAnsi"/>
                          <w:sz w:val="20"/>
                          <w:szCs w:val="20"/>
                        </w:rPr>
                      </w:pPr>
                      <w:r w:rsidRPr="00151D5F">
                        <w:rPr>
                          <w:noProof/>
                        </w:rPr>
                        <w:drawing>
                          <wp:inline distT="0" distB="0" distL="0" distR="0" wp14:anchorId="66E7E414" wp14:editId="431327C0">
                            <wp:extent cx="1339215" cy="1172210"/>
                            <wp:effectExtent l="0" t="0" r="0" b="8890"/>
                            <wp:docPr id="1074893965" name="Obráze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339215" cy="1172210"/>
                                    </a:xfrm>
                                    <a:prstGeom prst="rect">
                                      <a:avLst/>
                                    </a:prstGeom>
                                    <a:noFill/>
                                    <a:ln>
                                      <a:noFill/>
                                    </a:ln>
                                  </pic:spPr>
                                </pic:pic>
                              </a:graphicData>
                            </a:graphic>
                          </wp:inline>
                        </w:drawing>
                      </w:r>
                    </w:p>
                  </w:txbxContent>
                </v:textbox>
                <w10:wrap anchorx="page"/>
              </v:shape>
            </w:pict>
          </mc:Fallback>
        </mc:AlternateContent>
      </w:r>
      <w:r w:rsidR="00B01126" w:rsidRPr="0069225D">
        <w:t>Závěry analýzy</w:t>
      </w:r>
      <w:bookmarkEnd w:id="73"/>
      <w:r w:rsidR="00F4496F" w:rsidRPr="0069225D">
        <w:t xml:space="preserve"> hospodaření</w:t>
      </w:r>
      <w:bookmarkEnd w:id="74"/>
    </w:p>
    <w:p w14:paraId="69508432" w14:textId="3C1155A7" w:rsidR="00263135" w:rsidRPr="0069225D" w:rsidRDefault="00263135" w:rsidP="00263135">
      <w:r w:rsidRPr="0069225D">
        <w:t xml:space="preserve">Město v období </w:t>
      </w:r>
      <w:proofErr w:type="gramStart"/>
      <w:r w:rsidR="00E77FC3">
        <w:t>2019 - 2023</w:t>
      </w:r>
      <w:proofErr w:type="gramEnd"/>
      <w:r w:rsidRPr="0069225D">
        <w:t xml:space="preserve"> disponovalo zůstatky na účtech ve výši </w:t>
      </w:r>
      <w:r w:rsidR="00E77FC3">
        <w:t>325,4</w:t>
      </w:r>
      <w:r w:rsidRPr="0069225D">
        <w:t xml:space="preserve"> mil. Kč (</w:t>
      </w:r>
      <w:r w:rsidR="00E77FC3">
        <w:t>2023</w:t>
      </w:r>
      <w:r w:rsidRPr="0069225D">
        <w:t xml:space="preserve">) až </w:t>
      </w:r>
      <w:r w:rsidR="00E77FC3">
        <w:t>735,9</w:t>
      </w:r>
      <w:r w:rsidRPr="0069225D">
        <w:t xml:space="preserve"> mil. Kč (</w:t>
      </w:r>
      <w:r w:rsidR="00E77FC3">
        <w:t>2021</w:t>
      </w:r>
      <w:r w:rsidRPr="0069225D">
        <w:t xml:space="preserve">). Úroveň dlouhodobých pohledávek </w:t>
      </w:r>
      <w:r w:rsidR="0024338B">
        <w:t>se</w:t>
      </w:r>
      <w:r w:rsidRPr="0069225D">
        <w:t xml:space="preserve"> v celém sledovaném období pohybovala v intervalu </w:t>
      </w:r>
      <w:r w:rsidR="0069225D" w:rsidRPr="0069225D">
        <w:t xml:space="preserve">od </w:t>
      </w:r>
      <w:r w:rsidR="00151D5F">
        <w:t>nulové výše (2023)</w:t>
      </w:r>
      <w:r w:rsidRPr="0069225D">
        <w:t xml:space="preserve"> </w:t>
      </w:r>
      <w:r w:rsidR="0069225D" w:rsidRPr="0069225D">
        <w:t>do</w:t>
      </w:r>
      <w:r w:rsidR="00D43A01" w:rsidRPr="0069225D">
        <w:t xml:space="preserve"> </w:t>
      </w:r>
      <w:r w:rsidR="00E77FC3">
        <w:t>11,6</w:t>
      </w:r>
      <w:r w:rsidRPr="0069225D">
        <w:t xml:space="preserve"> mil. Kč</w:t>
      </w:r>
      <w:r w:rsidR="00D43A01" w:rsidRPr="0069225D">
        <w:t xml:space="preserve"> (</w:t>
      </w:r>
      <w:r w:rsidR="00E77FC3">
        <w:t>2019</w:t>
      </w:r>
      <w:r w:rsidR="00D43A01" w:rsidRPr="0069225D">
        <w:t>)</w:t>
      </w:r>
      <w:r w:rsidRPr="0069225D">
        <w:t xml:space="preserve">. </w:t>
      </w:r>
      <w:r w:rsidR="0024338B">
        <w:t>O</w:t>
      </w:r>
      <w:r w:rsidRPr="0069225D">
        <w:t>bjem dlouhodobých závazků</w:t>
      </w:r>
      <w:r w:rsidR="0024338B">
        <w:t xml:space="preserve"> se</w:t>
      </w:r>
      <w:r w:rsidRPr="0069225D">
        <w:t xml:space="preserve"> pohyboval </w:t>
      </w:r>
      <w:r w:rsidR="00151D5F">
        <w:t>v celém sledovaném období v nulové výši</w:t>
      </w:r>
      <w:r w:rsidRPr="0069225D">
        <w:t xml:space="preserve">. Stav nesplacených úvěrů </w:t>
      </w:r>
      <w:r w:rsidR="00151D5F">
        <w:t>meziročně klesal</w:t>
      </w:r>
      <w:r w:rsidR="002D3C9B">
        <w:t xml:space="preserve"> </w:t>
      </w:r>
      <w:r w:rsidR="00151D5F">
        <w:t xml:space="preserve">z 155,2 </w:t>
      </w:r>
      <w:r w:rsidR="00151D5F" w:rsidRPr="0069225D">
        <w:t>mil. Kč</w:t>
      </w:r>
      <w:r w:rsidR="00151D5F">
        <w:t xml:space="preserve"> (2019) na nulovou hodnotu v roce 2023</w:t>
      </w:r>
      <w:r w:rsidRPr="0069225D">
        <w:t>.</w:t>
      </w:r>
    </w:p>
    <w:p w14:paraId="50EC4EED" w14:textId="1214F397" w:rsidR="00E17B30" w:rsidRPr="007F7EE4" w:rsidRDefault="00B34B54" w:rsidP="007F7EE4">
      <w:pPr>
        <w:pStyle w:val="Graf0"/>
      </w:pPr>
      <w:bookmarkStart w:id="75" w:name="_Toc180650296"/>
      <w:r w:rsidRPr="007F7EE4">
        <w:t>Vývoj počtu obyvatel</w:t>
      </w:r>
      <w:r w:rsidR="00E17B30" w:rsidRPr="007F7EE4">
        <w:t xml:space="preserve"> a počtu žáků</w:t>
      </w:r>
      <w:bookmarkEnd w:id="75"/>
    </w:p>
    <w:p w14:paraId="149CAEFF" w14:textId="425FDA75" w:rsidR="00E17B30" w:rsidRDefault="002259E5" w:rsidP="00571044">
      <w:pPr>
        <w:pStyle w:val="Objekt"/>
      </w:pPr>
      <w:r w:rsidRPr="002259E5">
        <w:rPr>
          <w:noProof/>
        </w:rPr>
        <w:drawing>
          <wp:inline distT="0" distB="0" distL="0" distR="0" wp14:anchorId="2108536C" wp14:editId="426B09D6">
            <wp:extent cx="4860925" cy="2009775"/>
            <wp:effectExtent l="0" t="0" r="0" b="0"/>
            <wp:docPr id="853162462" name="Obrázek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860925" cy="2009775"/>
                    </a:xfrm>
                    <a:prstGeom prst="rect">
                      <a:avLst/>
                    </a:prstGeom>
                    <a:noFill/>
                    <a:ln>
                      <a:noFill/>
                    </a:ln>
                  </pic:spPr>
                </pic:pic>
              </a:graphicData>
            </a:graphic>
          </wp:inline>
        </w:drawing>
      </w:r>
    </w:p>
    <w:p w14:paraId="59F21865" w14:textId="1C1AC648" w:rsidR="00F37130" w:rsidRPr="00151D5F" w:rsidRDefault="00F37130" w:rsidP="00F37130">
      <w:pPr>
        <w:pStyle w:val="Poznmka"/>
      </w:pPr>
      <w:r>
        <w:t>Pozná</w:t>
      </w:r>
      <w:r w:rsidRPr="00151D5F">
        <w:t>mka: Počet obyvatel je uváděn k 1.1. a počty žáků k 30.9. daného roku</w:t>
      </w:r>
    </w:p>
    <w:p w14:paraId="379EB787" w14:textId="067570A9" w:rsidR="002B7F5F" w:rsidRPr="00151D5F" w:rsidRDefault="00BA3D8E" w:rsidP="002B7F5F">
      <w:r w:rsidRPr="00151D5F">
        <w:rPr>
          <w:rFonts w:ascii="Verdana" w:hAnsi="Verdana"/>
          <w:noProof/>
          <w:sz w:val="19"/>
          <w:lang w:eastAsia="cs-CZ"/>
        </w:rPr>
        <mc:AlternateContent>
          <mc:Choice Requires="wps">
            <w:drawing>
              <wp:anchor distT="0" distB="0" distL="114300" distR="114300" simplePos="0" relativeHeight="251658752" behindDoc="0" locked="0" layoutInCell="1" allowOverlap="1" wp14:anchorId="69FBBB56" wp14:editId="5783A757">
                <wp:simplePos x="0" y="0"/>
                <wp:positionH relativeFrom="page">
                  <wp:posOffset>541655</wp:posOffset>
                </wp:positionH>
                <wp:positionV relativeFrom="paragraph">
                  <wp:posOffset>-1270</wp:posOffset>
                </wp:positionV>
                <wp:extent cx="1403985" cy="897255"/>
                <wp:effectExtent l="0" t="0" r="5715" b="0"/>
                <wp:wrapNone/>
                <wp:docPr id="728"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3985" cy="897255"/>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2F8692AC" w14:textId="77777777" w:rsidR="0031735E" w:rsidRPr="001B58F3" w:rsidRDefault="0031735E" w:rsidP="00BA3D8E">
                            <w:pPr>
                              <w:jc w:val="left"/>
                              <w:rPr>
                                <w:rFonts w:cstheme="minorHAnsi"/>
                                <w:i/>
                                <w:sz w:val="20"/>
                                <w:szCs w:val="20"/>
                              </w:rPr>
                            </w:pPr>
                            <w:r w:rsidRPr="00BA3D8E">
                              <w:rPr>
                                <w:rStyle w:val="Odkaznakoment"/>
                                <w:rFonts w:cstheme="minorHAnsi"/>
                                <w:b/>
                                <w:i/>
                                <w:color w:val="FF0000"/>
                                <w:sz w:val="20"/>
                                <w:szCs w:val="20"/>
                              </w:rPr>
                              <w:t>Trend snižování počtu obyvatel a žáků</w:t>
                            </w: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69FBBB56" id="_x0000_s1052" type="#_x0000_t202" style="position:absolute;left:0;text-align:left;margin-left:42.65pt;margin-top:-.1pt;width:110.55pt;height:70.6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" fillcolor="white [3201]" stroked="f" strokeweight=".5pt">
                <v:path arrowok="t"/>
                <v:textbox inset="0,0,0,0">
                  <w:txbxContent>
                    <w:p w14:paraId="2F8692AC" w14:textId="77777777" w:rsidR="0031735E" w:rsidRPr="001B58F3" w:rsidRDefault="0031735E" w:rsidP="00BA3D8E">
                      <w:pPr>
                        <w:jc w:val="left"/>
                        <w:rPr>
                          <w:rFonts w:cstheme="minorHAnsi"/>
                          <w:i/>
                          <w:sz w:val="20"/>
                          <w:szCs w:val="20"/>
                        </w:rPr>
                      </w:pPr>
                      <w:r w:rsidRPr="00BA3D8E">
                        <w:rPr>
                          <w:rStyle w:val="Odkaznakoment"/>
                          <w:rFonts w:cstheme="minorHAnsi"/>
                          <w:b/>
                          <w:i/>
                          <w:color w:val="FF0000"/>
                          <w:sz w:val="20"/>
                          <w:szCs w:val="20"/>
                        </w:rPr>
                        <w:t>Trend snižování počtu obyvatel a žáků</w:t>
                      </w:r>
                    </w:p>
                  </w:txbxContent>
                </v:textbox>
                <w10:wrap anchorx="page"/>
              </v:shape>
            </w:pict>
          </mc:Fallback>
        </mc:AlternateContent>
      </w:r>
      <w:r w:rsidR="00133C89" w:rsidRPr="00151D5F">
        <w:t>P</w:t>
      </w:r>
      <w:r w:rsidR="00E9475D" w:rsidRPr="00151D5F">
        <w:t xml:space="preserve">očet obyvatel v období </w:t>
      </w:r>
      <w:proofErr w:type="gramStart"/>
      <w:r w:rsidR="00E9475D" w:rsidRPr="00151D5F">
        <w:t>2004 –</w:t>
      </w:r>
      <w:r w:rsidR="00761C54" w:rsidRPr="00151D5F">
        <w:t xml:space="preserve"> </w:t>
      </w:r>
      <w:r w:rsidR="00E77FC3" w:rsidRPr="00151D5F">
        <w:t>2024</w:t>
      </w:r>
      <w:proofErr w:type="gramEnd"/>
      <w:r w:rsidR="00E9475D" w:rsidRPr="00151D5F">
        <w:t>, až na několik výjimek, meziročně</w:t>
      </w:r>
      <w:r w:rsidR="00133C89" w:rsidRPr="00151D5F">
        <w:t xml:space="preserve"> </w:t>
      </w:r>
      <w:r w:rsidR="00E77FC3" w:rsidRPr="00151D5F">
        <w:t>klesá</w:t>
      </w:r>
      <w:r w:rsidR="00133C89" w:rsidRPr="00151D5F">
        <w:t xml:space="preserve"> </w:t>
      </w:r>
      <w:r w:rsidR="00E9475D" w:rsidRPr="00151D5F">
        <w:t>(</w:t>
      </w:r>
      <w:r w:rsidR="00E77FC3" w:rsidRPr="00151D5F">
        <w:t>-2658</w:t>
      </w:r>
      <w:r w:rsidR="00E9475D" w:rsidRPr="00151D5F">
        <w:t xml:space="preserve"> obyvatel), </w:t>
      </w:r>
      <w:r w:rsidR="00CF14D3" w:rsidRPr="00151D5F">
        <w:t>také</w:t>
      </w:r>
      <w:r w:rsidR="00E9475D" w:rsidRPr="00151D5F">
        <w:t xml:space="preserve"> vývoj počtu žáků má</w:t>
      </w:r>
      <w:r w:rsidR="00133C89" w:rsidRPr="00151D5F">
        <w:t xml:space="preserve"> </w:t>
      </w:r>
      <w:r w:rsidR="00E77FC3" w:rsidRPr="00151D5F">
        <w:t>klesající</w:t>
      </w:r>
      <w:r w:rsidR="00133C89" w:rsidRPr="00151D5F">
        <w:t xml:space="preserve"> </w:t>
      </w:r>
      <w:r w:rsidR="00E9475D" w:rsidRPr="00151D5F">
        <w:t xml:space="preserve">trend </w:t>
      </w:r>
      <w:r w:rsidR="00CF14D3" w:rsidRPr="00151D5F">
        <w:t>ve</w:t>
      </w:r>
      <w:r w:rsidR="00E9475D" w:rsidRPr="00151D5F">
        <w:t xml:space="preserve"> sledovan</w:t>
      </w:r>
      <w:r w:rsidR="002B7F5F" w:rsidRPr="00151D5F">
        <w:t>é</w:t>
      </w:r>
      <w:r w:rsidR="00CF14D3" w:rsidRPr="00151D5F">
        <w:t>m</w:t>
      </w:r>
      <w:r w:rsidR="002B7F5F" w:rsidRPr="00151D5F">
        <w:t xml:space="preserve"> období </w:t>
      </w:r>
      <w:r w:rsidR="00133C89" w:rsidRPr="00151D5F">
        <w:t xml:space="preserve">2013 - </w:t>
      </w:r>
      <w:r w:rsidR="00E77FC3" w:rsidRPr="00151D5F">
        <w:t>2023</w:t>
      </w:r>
      <w:r w:rsidR="00133C89" w:rsidRPr="00151D5F">
        <w:t xml:space="preserve"> </w:t>
      </w:r>
      <w:r w:rsidR="00E9475D" w:rsidRPr="00151D5F">
        <w:t>(</w:t>
      </w:r>
      <w:r w:rsidR="00E77FC3" w:rsidRPr="00151D5F">
        <w:t>-266</w:t>
      </w:r>
      <w:r w:rsidR="00E9475D" w:rsidRPr="00151D5F">
        <w:t xml:space="preserve"> žáků). </w:t>
      </w:r>
      <w:r w:rsidR="002B7F5F" w:rsidRPr="00151D5F">
        <w:t xml:space="preserve">Vývoj těchto dvou kategorií má </w:t>
      </w:r>
      <w:r w:rsidR="0001162A" w:rsidRPr="00151D5F">
        <w:t>negativní</w:t>
      </w:r>
      <w:r w:rsidR="002B7F5F" w:rsidRPr="00151D5F">
        <w:t xml:space="preserve"> vliv na inkasované sdílené daně, prioritní ovšem zůstává vývoj ekonomiky. Dopad změny počtu obyvatel a žáků ve výše uvedených časových horizontech lze ilustrovat modelovým výpočtem sdílených daní dle přílohy zmíněné vyhlášky </w:t>
      </w:r>
      <w:r w:rsidR="00E77FC3" w:rsidRPr="00151D5F">
        <w:t>2</w:t>
      </w:r>
      <w:r w:rsidR="00151D5F" w:rsidRPr="00151D5F">
        <w:t>50</w:t>
      </w:r>
      <w:r w:rsidR="00E77FC3" w:rsidRPr="00151D5F">
        <w:t>/202</w:t>
      </w:r>
      <w:r w:rsidR="00151D5F" w:rsidRPr="00151D5F">
        <w:t>4</w:t>
      </w:r>
      <w:r w:rsidR="002B7F5F" w:rsidRPr="00151D5F">
        <w:t xml:space="preserve"> Sb. </w:t>
      </w:r>
      <w:r w:rsidR="00E77FC3" w:rsidRPr="00151D5F">
        <w:t>Úbytkem</w:t>
      </w:r>
      <w:r w:rsidR="004F7C32" w:rsidRPr="00151D5F">
        <w:t xml:space="preserve"> </w:t>
      </w:r>
      <w:r w:rsidR="002B7F5F" w:rsidRPr="00151D5F">
        <w:t xml:space="preserve">počtu obyvatel v uvedeném období město </w:t>
      </w:r>
      <w:r w:rsidR="00E77FC3" w:rsidRPr="00151D5F">
        <w:t>přichází</w:t>
      </w:r>
      <w:r w:rsidR="004F7C32" w:rsidRPr="00151D5F">
        <w:t xml:space="preserve"> </w:t>
      </w:r>
      <w:r w:rsidR="002B7F5F" w:rsidRPr="00151D5F">
        <w:t xml:space="preserve">cca </w:t>
      </w:r>
      <w:r w:rsidR="00E77FC3" w:rsidRPr="00151D5F">
        <w:t>44,0</w:t>
      </w:r>
      <w:r w:rsidR="00B777AE" w:rsidRPr="00151D5F">
        <w:t xml:space="preserve"> </w:t>
      </w:r>
      <w:r w:rsidR="002B7F5F" w:rsidRPr="00151D5F">
        <w:t xml:space="preserve">mil. Kč na podílu sdílených daní. V případě uvedeného </w:t>
      </w:r>
      <w:r w:rsidR="00E77FC3" w:rsidRPr="00151D5F">
        <w:t>poklesu</w:t>
      </w:r>
      <w:r w:rsidR="004F7C32" w:rsidRPr="00151D5F">
        <w:t xml:space="preserve"> </w:t>
      </w:r>
      <w:r w:rsidR="002B7F5F" w:rsidRPr="00151D5F">
        <w:t xml:space="preserve">počtu žáků město dostává o cca </w:t>
      </w:r>
      <w:r w:rsidR="00E77FC3" w:rsidRPr="00151D5F">
        <w:t>5,3</w:t>
      </w:r>
      <w:r w:rsidR="002B7F5F" w:rsidRPr="00151D5F">
        <w:t xml:space="preserve"> mil. Kč </w:t>
      </w:r>
      <w:r w:rsidR="00E77FC3" w:rsidRPr="00151D5F">
        <w:t>méně</w:t>
      </w:r>
      <w:r w:rsidR="002B7F5F" w:rsidRPr="00151D5F">
        <w:t>.</w:t>
      </w:r>
    </w:p>
    <w:p w14:paraId="74476B2A" w14:textId="258ED816" w:rsidR="00B01126" w:rsidRPr="006E1C35" w:rsidRDefault="00B01126" w:rsidP="00993408">
      <w:r w:rsidRPr="00151D5F">
        <w:t>Vlastní investiční aktivita města způsobuje záporné saldo hospodaření v</w:t>
      </w:r>
      <w:r w:rsidR="005D10E1" w:rsidRPr="00151D5F">
        <w:t> letech</w:t>
      </w:r>
      <w:r w:rsidR="005461FC" w:rsidRPr="00151D5F">
        <w:t xml:space="preserve"> </w:t>
      </w:r>
      <w:r w:rsidR="00462CB4">
        <w:tab/>
      </w:r>
      <w:r w:rsidR="00E77FC3" w:rsidRPr="00151D5F">
        <w:t>2022 a 2023</w:t>
      </w:r>
      <w:r w:rsidR="005D10E1" w:rsidRPr="00151D5F">
        <w:t xml:space="preserve"> </w:t>
      </w:r>
      <w:r w:rsidRPr="00151D5F">
        <w:t>(</w:t>
      </w:r>
      <w:r w:rsidR="00E77FC3" w:rsidRPr="00151D5F">
        <w:t>24,9, resp. 130,8</w:t>
      </w:r>
      <w:r w:rsidR="005D10E1" w:rsidRPr="00151D5F">
        <w:t xml:space="preserve"> </w:t>
      </w:r>
      <w:r w:rsidRPr="00151D5F">
        <w:t>mil. Kč).</w:t>
      </w:r>
      <w:r w:rsidR="00201E08" w:rsidRPr="00151D5F">
        <w:t xml:space="preserve"> V</w:t>
      </w:r>
      <w:r w:rsidR="005D10E1" w:rsidRPr="00151D5F">
        <w:t> </w:t>
      </w:r>
      <w:r w:rsidR="00201E08" w:rsidRPr="00151D5F">
        <w:t xml:space="preserve">obou letech bylo záporné saldo zapříčiněno zvýšenými investičními výdaji. </w:t>
      </w:r>
      <w:r w:rsidR="00AA064A" w:rsidRPr="00151D5F">
        <w:t xml:space="preserve">Po zohlednění financování (uhrazených jistin a přijatých půjček) bylo záporné saldo hospodaření </w:t>
      </w:r>
      <w:r w:rsidR="00151D5F" w:rsidRPr="00151D5F">
        <w:t xml:space="preserve">pouze </w:t>
      </w:r>
      <w:r w:rsidR="00AA064A" w:rsidRPr="00151D5F">
        <w:t>v</w:t>
      </w:r>
      <w:r w:rsidR="005D10E1" w:rsidRPr="00151D5F">
        <w:t> </w:t>
      </w:r>
      <w:r w:rsidR="00AA064A" w:rsidRPr="00151D5F">
        <w:t>roce</w:t>
      </w:r>
      <w:r w:rsidR="00E77FC3" w:rsidRPr="00151D5F">
        <w:t xml:space="preserve"> 2022</w:t>
      </w:r>
      <w:r w:rsidR="005D10E1" w:rsidRPr="00151D5F">
        <w:t xml:space="preserve"> (</w:t>
      </w:r>
      <w:r w:rsidR="00E77FC3" w:rsidRPr="00151D5F">
        <w:t>169,1</w:t>
      </w:r>
      <w:r w:rsidR="005D10E1" w:rsidRPr="00151D5F">
        <w:t xml:space="preserve"> mil. Kč)</w:t>
      </w:r>
      <w:r w:rsidR="00AA064A" w:rsidRPr="00151D5F">
        <w:t xml:space="preserve">. </w:t>
      </w:r>
      <w:r w:rsidRPr="00151D5F">
        <w:t xml:space="preserve">Vliv splácení </w:t>
      </w:r>
      <w:r w:rsidR="006E1C35" w:rsidRPr="00151D5F">
        <w:t>závazků</w:t>
      </w:r>
      <w:r w:rsidRPr="00151D5F">
        <w:t xml:space="preserve"> přijatých v předešlém</w:t>
      </w:r>
      <w:r w:rsidRPr="006E1C35">
        <w:t xml:space="preserve"> období se projevil zejména na hodnotách </w:t>
      </w:r>
      <w:r w:rsidR="00457975" w:rsidRPr="006E1C35">
        <w:t>ukazatele</w:t>
      </w:r>
      <w:r w:rsidRPr="006E1C35">
        <w:t xml:space="preserve"> dluhové služby. </w:t>
      </w:r>
      <w:r w:rsidR="00587251" w:rsidRPr="006E1C35">
        <w:t>U</w:t>
      </w:r>
      <w:r w:rsidR="00457975" w:rsidRPr="006E1C35">
        <w:t>kazatel</w:t>
      </w:r>
      <w:r w:rsidRPr="006E1C35">
        <w:t xml:space="preserve"> ve sledovaném období </w:t>
      </w:r>
      <w:r w:rsidR="00587251" w:rsidRPr="006E1C35">
        <w:t>dosahoval</w:t>
      </w:r>
      <w:r w:rsidR="0080352F" w:rsidRPr="006E1C35">
        <w:t xml:space="preserve"> </w:t>
      </w:r>
      <w:r w:rsidR="006E1C35" w:rsidRPr="006E1C35">
        <w:t xml:space="preserve">hodnot v intervalu od </w:t>
      </w:r>
      <w:r w:rsidR="00E77FC3">
        <w:t>1,12</w:t>
      </w:r>
      <w:r w:rsidR="006E1C35" w:rsidRPr="006E1C35">
        <w:t xml:space="preserve"> % (</w:t>
      </w:r>
      <w:r w:rsidR="00E77FC3">
        <w:t>2023</w:t>
      </w:r>
      <w:r w:rsidR="006E1C35" w:rsidRPr="006E1C35">
        <w:t>) do</w:t>
      </w:r>
      <w:r w:rsidRPr="006E1C35">
        <w:t xml:space="preserve"> </w:t>
      </w:r>
      <w:r w:rsidR="00E77FC3">
        <w:t>4,35</w:t>
      </w:r>
      <w:r w:rsidRPr="006E1C35">
        <w:t xml:space="preserve"> %</w:t>
      </w:r>
      <w:r w:rsidR="006E1C35" w:rsidRPr="006E1C35">
        <w:t xml:space="preserve"> (</w:t>
      </w:r>
      <w:r w:rsidR="00E77FC3">
        <w:t>2022</w:t>
      </w:r>
      <w:r w:rsidR="006E1C35" w:rsidRPr="006E1C35">
        <w:t>)</w:t>
      </w:r>
      <w:r w:rsidRPr="006E1C35">
        <w:t>. V celém sledovaném období se</w:t>
      </w:r>
      <w:r w:rsidR="0080352F" w:rsidRPr="006E1C35">
        <w:t xml:space="preserve"> </w:t>
      </w:r>
      <w:r w:rsidR="006E1C35" w:rsidRPr="006E1C35">
        <w:t>j</w:t>
      </w:r>
      <w:r w:rsidRPr="006E1C35">
        <w:t xml:space="preserve">edná o příznivé hodnoty. </w:t>
      </w:r>
      <w:r w:rsidRPr="00462CB4">
        <w:t xml:space="preserve">Saldo hospodaření v rozpočtu na rok </w:t>
      </w:r>
      <w:r w:rsidR="00E77FC3" w:rsidRPr="00462CB4">
        <w:t>2024</w:t>
      </w:r>
      <w:r w:rsidRPr="00462CB4">
        <w:t xml:space="preserve"> </w:t>
      </w:r>
      <w:r w:rsidR="00151D5F" w:rsidRPr="00462CB4">
        <w:t>bude</w:t>
      </w:r>
      <w:r w:rsidRPr="00462CB4">
        <w:t xml:space="preserve"> kryto přebytky hospodaření minulých let </w:t>
      </w:r>
      <w:r w:rsidR="00FC4969" w:rsidRPr="00462CB4">
        <w:t xml:space="preserve">ve výši </w:t>
      </w:r>
      <w:r w:rsidR="00E77FC3" w:rsidRPr="00462CB4">
        <w:t>240,7</w:t>
      </w:r>
      <w:r w:rsidR="004E67E6" w:rsidRPr="00462CB4">
        <w:t xml:space="preserve"> </w:t>
      </w:r>
      <w:r w:rsidRPr="00462CB4">
        <w:t>mil. Kč.</w:t>
      </w:r>
    </w:p>
    <w:p w14:paraId="72E72FB4" w14:textId="77BA55F1" w:rsidR="00B01126" w:rsidRPr="007F7EE4" w:rsidRDefault="00B01126" w:rsidP="007F7EE4">
      <w:pPr>
        <w:pStyle w:val="Graf0"/>
      </w:pPr>
      <w:bookmarkStart w:id="76" w:name="_Toc55981690"/>
      <w:bookmarkStart w:id="77" w:name="_Toc180650297"/>
      <w:r w:rsidRPr="007F7EE4">
        <w:lastRenderedPageBreak/>
        <w:t>Saldo provozního a kapitálového rozpočtu</w:t>
      </w:r>
      <w:bookmarkEnd w:id="76"/>
      <w:bookmarkEnd w:id="77"/>
    </w:p>
    <w:p w14:paraId="2A1E051A" w14:textId="27E1EABA" w:rsidR="00B01126" w:rsidRPr="007631EA" w:rsidRDefault="002259E5" w:rsidP="009B7F5D">
      <w:pPr>
        <w:pStyle w:val="Objekt"/>
      </w:pPr>
      <w:r w:rsidRPr="002259E5">
        <w:rPr>
          <w:noProof/>
        </w:rPr>
        <w:drawing>
          <wp:inline distT="0" distB="0" distL="0" distR="0" wp14:anchorId="0602CD38" wp14:editId="7071E2D7">
            <wp:extent cx="4860925" cy="2009775"/>
            <wp:effectExtent l="0" t="0" r="0" b="0"/>
            <wp:docPr id="1471962901" name="Obrázek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860925" cy="2009775"/>
                    </a:xfrm>
                    <a:prstGeom prst="rect">
                      <a:avLst/>
                    </a:prstGeom>
                    <a:noFill/>
                    <a:ln>
                      <a:noFill/>
                    </a:ln>
                  </pic:spPr>
                </pic:pic>
              </a:graphicData>
            </a:graphic>
          </wp:inline>
        </w:drawing>
      </w:r>
    </w:p>
    <w:p w14:paraId="5CB681E6" w14:textId="30D0D228" w:rsidR="00636E72" w:rsidRPr="004D0FAA" w:rsidRDefault="00636E72" w:rsidP="004D0FAA">
      <w:pPr>
        <w:pStyle w:val="Nadpis3"/>
      </w:pPr>
      <w:r w:rsidRPr="004D0FAA">
        <w:t>Rekapitulace</w:t>
      </w:r>
    </w:p>
    <w:p w14:paraId="60A22B05" w14:textId="0376365A" w:rsidR="00FF3363" w:rsidRDefault="00243072" w:rsidP="00636E72">
      <w:r w:rsidRPr="001B58F3">
        <w:rPr>
          <w:rFonts w:ascii="Verdana" w:hAnsi="Verdana"/>
          <w:noProof/>
          <w:sz w:val="19"/>
          <w:highlight w:val="cyan"/>
          <w:lang w:eastAsia="cs-CZ"/>
        </w:rPr>
        <mc:AlternateContent>
          <mc:Choice Requires="wps">
            <w:drawing>
              <wp:anchor distT="0" distB="0" distL="114300" distR="114300" simplePos="0" relativeHeight="251657728" behindDoc="0" locked="0" layoutInCell="1" allowOverlap="1" wp14:anchorId="6E4B1EA7" wp14:editId="0866E65E">
                <wp:simplePos x="0" y="0"/>
                <wp:positionH relativeFrom="page">
                  <wp:posOffset>560609</wp:posOffset>
                </wp:positionH>
                <wp:positionV relativeFrom="paragraph">
                  <wp:posOffset>273533</wp:posOffset>
                </wp:positionV>
                <wp:extent cx="1403985" cy="771525"/>
                <wp:effectExtent l="0" t="0" r="5715" b="9525"/>
                <wp:wrapNone/>
                <wp:docPr id="727"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3985" cy="771525"/>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464873A9" w14:textId="77777777" w:rsidR="0031735E" w:rsidRPr="001B58F3" w:rsidRDefault="0031735E" w:rsidP="00E03088">
                            <w:pPr>
                              <w:spacing w:after="0"/>
                              <w:jc w:val="left"/>
                              <w:rPr>
                                <w:rFonts w:cstheme="minorHAnsi"/>
                                <w:i/>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6E4B1EA7" id="_x0000_s1053" type="#_x0000_t202" style="position:absolute;left:0;text-align:left;margin-left:44.15pt;margin-top:21.55pt;width:110.55pt;height:60.7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" fillcolor="white [3201]" stroked="f" strokeweight=".5pt">
                <v:path arrowok="t"/>
                <v:textbox inset="0,0,0,0">
                  <w:txbxContent>
                    <w:p w14:paraId="464873A9" w14:textId="77777777" w:rsidR="0031735E" w:rsidRPr="001B58F3" w:rsidRDefault="0031735E" w:rsidP="00E03088">
                      <w:pPr>
                        <w:spacing w:after="0"/>
                        <w:jc w:val="left"/>
                        <w:rPr>
                          <w:rFonts w:cstheme="minorHAnsi"/>
                          <w:i/>
                          <w:sz w:val="20"/>
                          <w:szCs w:val="20"/>
                        </w:rPr>
                      </w:pPr>
                    </w:p>
                  </w:txbxContent>
                </v:textbox>
                <w10:wrap anchorx="page"/>
              </v:shape>
            </w:pict>
          </mc:Fallback>
        </mc:AlternateContent>
      </w:r>
      <w:r w:rsidR="003A104C">
        <w:t xml:space="preserve">V rámci kapitoly byla provedena analýza hospodaření minulého období s důrazem na </w:t>
      </w:r>
      <w:r w:rsidR="007E238E">
        <w:t>vývoj základních ekonomických u</w:t>
      </w:r>
      <w:r w:rsidR="003A104C">
        <w:t>kazatelů. Výstup analýzy je základním předpokladem pro sestavení střednědobého výhledu r</w:t>
      </w:r>
      <w:r w:rsidR="008D743B">
        <w:t>o</w:t>
      </w:r>
      <w:r w:rsidR="007E238E">
        <w:t>zpočtu, který je do značné míry</w:t>
      </w:r>
      <w:r w:rsidR="008D743B">
        <w:t xml:space="preserve"> ovlivněn také externími podmínkami. </w:t>
      </w:r>
      <w:r w:rsidR="005F1C01">
        <w:t>Níže uvádíme přehled vybraných výstupů analýzy a externích faktorů, které budou nebo mohou ovlivňovat hospodaření výhledového období.</w:t>
      </w:r>
    </w:p>
    <w:p w14:paraId="4859502F" w14:textId="77777777" w:rsidR="00636E72" w:rsidRPr="0024338B" w:rsidRDefault="00636E72" w:rsidP="00636E72">
      <w:r w:rsidRPr="0024338B">
        <w:t>POZITIVA HOSPODAŘENÍ</w:t>
      </w:r>
    </w:p>
    <w:p w14:paraId="2565EE19" w14:textId="5DC4C44C" w:rsidR="00C14A07" w:rsidRPr="001B3E06" w:rsidRDefault="00C14A07" w:rsidP="00C14A07">
      <w:pPr>
        <w:pStyle w:val="Kaskda0"/>
        <w:numPr>
          <w:ilvl w:val="0"/>
          <w:numId w:val="43"/>
        </w:numPr>
      </w:pPr>
      <w:r w:rsidRPr="001B3E06">
        <w:t xml:space="preserve">Bohatá investiční činnost – za pětileté období proinvestováno </w:t>
      </w:r>
      <w:r w:rsidR="00E77FC3" w:rsidRPr="001B3E06">
        <w:t>1 283,6</w:t>
      </w:r>
      <w:r w:rsidRPr="001B3E06">
        <w:t xml:space="preserve"> mil. Kč</w:t>
      </w:r>
    </w:p>
    <w:p w14:paraId="526BF273" w14:textId="4D42AD9F" w:rsidR="00C14A07" w:rsidRPr="001B3E06" w:rsidRDefault="00C14A07" w:rsidP="00C14A07">
      <w:pPr>
        <w:pStyle w:val="Kaskda0"/>
        <w:numPr>
          <w:ilvl w:val="0"/>
          <w:numId w:val="43"/>
        </w:numPr>
      </w:pPr>
      <w:r w:rsidRPr="001B3E06">
        <w:t xml:space="preserve">Využívání vypisovaných investičních dotačních titulů (kryto </w:t>
      </w:r>
      <w:r w:rsidR="00E77FC3" w:rsidRPr="001B3E06">
        <w:t>16,5 %</w:t>
      </w:r>
      <w:r w:rsidRPr="001B3E06">
        <w:t xml:space="preserve"> investic)</w:t>
      </w:r>
    </w:p>
    <w:p w14:paraId="423F7622" w14:textId="77777777" w:rsidR="00F30ECE" w:rsidRPr="001B3E06" w:rsidRDefault="00F30ECE" w:rsidP="00C14A07">
      <w:pPr>
        <w:pStyle w:val="Kaskda0"/>
        <w:numPr>
          <w:ilvl w:val="0"/>
          <w:numId w:val="43"/>
        </w:numPr>
      </w:pPr>
      <w:r w:rsidRPr="001B3E06">
        <w:t>Pokles úrokových sazeb</w:t>
      </w:r>
    </w:p>
    <w:p w14:paraId="613F51B8" w14:textId="521B1827" w:rsidR="00C14A07" w:rsidRPr="001B3E06" w:rsidRDefault="001B3E06" w:rsidP="00C14A07">
      <w:pPr>
        <w:pStyle w:val="Kaskda0"/>
        <w:numPr>
          <w:ilvl w:val="0"/>
          <w:numId w:val="43"/>
        </w:numPr>
      </w:pPr>
      <w:r w:rsidRPr="001B3E06">
        <w:t>S</w:t>
      </w:r>
      <w:r w:rsidR="00EE2385" w:rsidRPr="001B3E06">
        <w:t>tabilní</w:t>
      </w:r>
      <w:r w:rsidR="00C14A07" w:rsidRPr="001B3E06">
        <w:t xml:space="preserve"> hodnota provozního hospodaření (minimální hodnota PP/BP </w:t>
      </w:r>
      <w:r w:rsidR="00E77FC3" w:rsidRPr="001B3E06">
        <w:t>9,51</w:t>
      </w:r>
      <w:r w:rsidR="00C14A07" w:rsidRPr="001B3E06">
        <w:t xml:space="preserve"> % při </w:t>
      </w:r>
      <w:r w:rsidRPr="001B3E06">
        <w:t>minimální výši</w:t>
      </w:r>
      <w:r w:rsidR="00C14A07" w:rsidRPr="001B3E06">
        <w:t xml:space="preserve"> </w:t>
      </w:r>
      <w:r w:rsidRPr="001B3E06">
        <w:t>10</w:t>
      </w:r>
      <w:r w:rsidR="00C14A07" w:rsidRPr="001B3E06">
        <w:t xml:space="preserve"> %)</w:t>
      </w:r>
    </w:p>
    <w:p w14:paraId="516639A6" w14:textId="747A6668" w:rsidR="00243072" w:rsidRPr="001B3E06" w:rsidRDefault="00C14A07" w:rsidP="00243072">
      <w:pPr>
        <w:pStyle w:val="Kaskda0"/>
        <w:numPr>
          <w:ilvl w:val="0"/>
          <w:numId w:val="43"/>
        </w:numPr>
      </w:pPr>
      <w:r w:rsidRPr="001B3E06">
        <w:t xml:space="preserve">Nízké dluhové zatížení (maximální hodnota fiskálního pravidla </w:t>
      </w:r>
      <w:r w:rsidR="00E77FC3" w:rsidRPr="001B3E06">
        <w:t>21,31 %</w:t>
      </w:r>
      <w:r w:rsidRPr="001B3E06">
        <w:t>)</w:t>
      </w:r>
    </w:p>
    <w:p w14:paraId="346791A1" w14:textId="3BC32D75" w:rsidR="00243072" w:rsidRPr="001B3E06" w:rsidRDefault="00243072" w:rsidP="00243072">
      <w:pPr>
        <w:pStyle w:val="Kaskda0"/>
        <w:numPr>
          <w:ilvl w:val="0"/>
          <w:numId w:val="43"/>
        </w:numPr>
        <w:rPr>
          <w:rStyle w:val="Odkaznakoment"/>
          <w:sz w:val="22"/>
          <w:szCs w:val="19"/>
        </w:rPr>
      </w:pPr>
      <w:r w:rsidRPr="001B3E06">
        <w:rPr>
          <w:szCs w:val="22"/>
        </w:rPr>
        <w:t xml:space="preserve">Dostatečná rezerva finančních </w:t>
      </w:r>
      <w:proofErr w:type="gramStart"/>
      <w:r w:rsidRPr="001B3E06">
        <w:rPr>
          <w:szCs w:val="22"/>
        </w:rPr>
        <w:t>prostředků - z</w:t>
      </w:r>
      <w:r w:rsidRPr="001B3E06">
        <w:rPr>
          <w:rStyle w:val="Odkaznakoment"/>
          <w:rFonts w:cstheme="minorHAnsi"/>
          <w:sz w:val="22"/>
          <w:szCs w:val="22"/>
        </w:rPr>
        <w:t>ůstatky</w:t>
      </w:r>
      <w:proofErr w:type="gramEnd"/>
      <w:r w:rsidRPr="001B3E06">
        <w:rPr>
          <w:rStyle w:val="Odkaznakoment"/>
          <w:rFonts w:cstheme="minorHAnsi"/>
          <w:sz w:val="22"/>
          <w:szCs w:val="22"/>
        </w:rPr>
        <w:t xml:space="preserve"> na účtech na konci roku </w:t>
      </w:r>
      <w:r w:rsidR="00E77FC3" w:rsidRPr="001B3E06">
        <w:rPr>
          <w:szCs w:val="22"/>
        </w:rPr>
        <w:t>2023</w:t>
      </w:r>
      <w:r w:rsidRPr="001B3E06">
        <w:rPr>
          <w:rStyle w:val="Odkaznakoment"/>
          <w:rFonts w:cstheme="minorHAnsi"/>
          <w:sz w:val="22"/>
          <w:szCs w:val="22"/>
        </w:rPr>
        <w:t xml:space="preserve"> ve výši </w:t>
      </w:r>
      <w:r w:rsidR="00E77FC3" w:rsidRPr="001B3E06">
        <w:rPr>
          <w:szCs w:val="22"/>
        </w:rPr>
        <w:t>325,4</w:t>
      </w:r>
      <w:r w:rsidRPr="001B3E06">
        <w:rPr>
          <w:rStyle w:val="Odkaznakoment"/>
          <w:rFonts w:cstheme="minorHAnsi"/>
          <w:sz w:val="22"/>
          <w:szCs w:val="22"/>
        </w:rPr>
        <w:t xml:space="preserve"> mil. Kč</w:t>
      </w:r>
    </w:p>
    <w:p w14:paraId="014DC128" w14:textId="77777777" w:rsidR="00636E72" w:rsidRPr="001B3E06" w:rsidRDefault="00ED670E" w:rsidP="00636E72">
      <w:r w:rsidRPr="001B3E06">
        <w:t>MOŽNÉ OHROŽENÍ</w:t>
      </w:r>
      <w:r w:rsidR="00636E72" w:rsidRPr="001B3E06">
        <w:t xml:space="preserve"> HOSPODAŘENÍ</w:t>
      </w:r>
    </w:p>
    <w:p w14:paraId="224F029A" w14:textId="3813B253" w:rsidR="00C14A07" w:rsidRPr="001B3E06" w:rsidRDefault="00C14A07" w:rsidP="00C14A07">
      <w:pPr>
        <w:pStyle w:val="Kaskda0"/>
        <w:numPr>
          <w:ilvl w:val="0"/>
          <w:numId w:val="42"/>
        </w:numPr>
      </w:pPr>
      <w:r w:rsidRPr="001B3E06">
        <w:t xml:space="preserve">Zvýšené nároky na krytí provozních i kapitálových výdajů – platy, </w:t>
      </w:r>
      <w:r w:rsidR="00462CB4">
        <w:t>ceny energií</w:t>
      </w:r>
      <w:r w:rsidRPr="001B3E06">
        <w:t xml:space="preserve">, inflace (ceny materiálu, </w:t>
      </w:r>
      <w:proofErr w:type="gramStart"/>
      <w:r w:rsidRPr="001B3E06">
        <w:t>služeb,</w:t>
      </w:r>
      <w:proofErr w:type="gramEnd"/>
      <w:r w:rsidRPr="001B3E06">
        <w:t xml:space="preserve"> apod.)</w:t>
      </w:r>
    </w:p>
    <w:p w14:paraId="0C7767D3" w14:textId="1189C66F" w:rsidR="00005E0E" w:rsidRPr="001B3E06" w:rsidRDefault="00462CB4" w:rsidP="00005E0E">
      <w:pPr>
        <w:pStyle w:val="Kaskda0"/>
        <w:numPr>
          <w:ilvl w:val="0"/>
          <w:numId w:val="42"/>
        </w:numPr>
      </w:pPr>
      <w:r>
        <w:t>K</w:t>
      </w:r>
      <w:r w:rsidR="00005E0E" w:rsidRPr="001B3E06">
        <w:t>lesající počet obyvatel</w:t>
      </w:r>
      <w:r w:rsidR="001B3E06" w:rsidRPr="001B3E06">
        <w:t xml:space="preserve"> ve sledovaném období</w:t>
      </w:r>
      <w:r w:rsidR="00005E0E" w:rsidRPr="001B3E06">
        <w:t xml:space="preserve"> (</w:t>
      </w:r>
      <w:r w:rsidR="00E77FC3" w:rsidRPr="001B3E06">
        <w:t>-2</w:t>
      </w:r>
      <w:r w:rsidR="001B3E06" w:rsidRPr="001B3E06">
        <w:t xml:space="preserve"> </w:t>
      </w:r>
      <w:r w:rsidR="00E77FC3" w:rsidRPr="001B3E06">
        <w:t>658</w:t>
      </w:r>
      <w:r w:rsidR="00005E0E" w:rsidRPr="001B3E06">
        <w:t>) a žáků (</w:t>
      </w:r>
      <w:r w:rsidR="00E77FC3" w:rsidRPr="001B3E06">
        <w:t>-266</w:t>
      </w:r>
      <w:r w:rsidR="00005E0E" w:rsidRPr="001B3E06">
        <w:t>)</w:t>
      </w:r>
    </w:p>
    <w:p w14:paraId="5BD6B782" w14:textId="0B63BB33" w:rsidR="00C14A07" w:rsidRPr="001B3E06" w:rsidRDefault="00C14A07" w:rsidP="00C14A07">
      <w:pPr>
        <w:pStyle w:val="Kaskda0"/>
        <w:numPr>
          <w:ilvl w:val="0"/>
          <w:numId w:val="42"/>
        </w:numPr>
      </w:pPr>
      <w:r w:rsidRPr="001B3E06">
        <w:t>Nestabilita veřejných financí</w:t>
      </w:r>
      <w:r w:rsidR="00F30ECE" w:rsidRPr="001B3E06">
        <w:t>, konsolidační balíček</w:t>
      </w:r>
    </w:p>
    <w:p w14:paraId="574AD65C" w14:textId="77777777" w:rsidR="00E513AC" w:rsidRPr="001B3E06" w:rsidRDefault="00E513AC" w:rsidP="00E513AC">
      <w:pPr>
        <w:pStyle w:val="Kaskda0"/>
        <w:numPr>
          <w:ilvl w:val="0"/>
          <w:numId w:val="42"/>
        </w:numPr>
      </w:pPr>
      <w:r w:rsidRPr="001B3E06">
        <w:t>Uprchlická krize – mezinárodní politická situace</w:t>
      </w:r>
    </w:p>
    <w:p w14:paraId="6D0E62FB" w14:textId="74F0E978" w:rsidR="00C14A07" w:rsidRPr="00B8507F" w:rsidRDefault="00C14A07" w:rsidP="001B3E06">
      <w:pPr>
        <w:pStyle w:val="Kaskda0"/>
        <w:numPr>
          <w:ilvl w:val="0"/>
          <w:numId w:val="0"/>
        </w:numPr>
        <w:ind w:left="641" w:hanging="357"/>
        <w:rPr>
          <w:highlight w:val="cyan"/>
        </w:rPr>
      </w:pPr>
    </w:p>
    <w:p w14:paraId="5BF83609" w14:textId="77777777" w:rsidR="00066709" w:rsidRDefault="00066709" w:rsidP="00066709">
      <w:pPr>
        <w:pStyle w:val="Kaskda0"/>
        <w:numPr>
          <w:ilvl w:val="0"/>
          <w:numId w:val="0"/>
        </w:numPr>
        <w:rPr>
          <w:highlight w:val="yellow"/>
        </w:rPr>
      </w:pPr>
      <w:r>
        <w:rPr>
          <w:highlight w:val="yellow"/>
        </w:rPr>
        <w:br w:type="page"/>
      </w:r>
    </w:p>
    <w:p w14:paraId="5C3DE50A" w14:textId="77777777" w:rsidR="00B01126" w:rsidRPr="00493382" w:rsidRDefault="00B01126" w:rsidP="00993408">
      <w:pPr>
        <w:pStyle w:val="Nadpis1"/>
      </w:pPr>
      <w:bookmarkStart w:id="78" w:name="_Toc368988442"/>
      <w:bookmarkStart w:id="79" w:name="_Toc370281263"/>
      <w:bookmarkStart w:id="80" w:name="_Toc62211722"/>
      <w:bookmarkStart w:id="81" w:name="_Toc180650323"/>
      <w:r w:rsidRPr="00493382">
        <w:lastRenderedPageBreak/>
        <w:t>Střednědobý výhled rozpočtu</w:t>
      </w:r>
      <w:bookmarkEnd w:id="78"/>
      <w:bookmarkEnd w:id="79"/>
      <w:bookmarkEnd w:id="80"/>
      <w:bookmarkEnd w:id="81"/>
    </w:p>
    <w:p w14:paraId="24B36443" w14:textId="77777777" w:rsidR="00F01504" w:rsidRPr="00493382" w:rsidRDefault="00F01504" w:rsidP="00F01504">
      <w:r w:rsidRPr="00493382">
        <w:t xml:space="preserve">Střednědobý výhled rozpočtu je sestaven s jistou mírou opatrnosti, tzn. s mírně nižšími očekávanými příjmy a trochu nadhodnocenými výdaji. Je ale postaven na reálných základech. </w:t>
      </w:r>
    </w:p>
    <w:p w14:paraId="061F8716" w14:textId="5B5A049B" w:rsidR="00B01126" w:rsidRPr="00F01504" w:rsidRDefault="00364ABC" w:rsidP="00364ABC">
      <w:pPr>
        <w:rPr>
          <w:rFonts w:ascii="Calibri" w:hAnsi="Calibri"/>
          <w:szCs w:val="22"/>
        </w:rPr>
      </w:pPr>
      <w:r>
        <w:t xml:space="preserve">Metodický pokyn MF čj.: MF-25289/2023/2202-1 k obsahu rozpočtu územního samosprávného celku podle rozpočtových pravidel územních </w:t>
      </w:r>
      <w:proofErr w:type="gramStart"/>
      <w:r>
        <w:t>rozpočtů - transfer</w:t>
      </w:r>
      <w:proofErr w:type="gramEnd"/>
      <w:r>
        <w:t xml:space="preserve"> poskytované ze státního rozpočtu, zakládá od roku 2025 povinnost ÚSC zahrnovat část účelových dotací již do návrhu rozpočtu na základě příslušného podkladu (např. střednědobý plán rozvoje sociálních služeb) nebo provedeného kvalifikovaného odhadu (např. upravená výše transferu minulého rozpočtového období). Jedná se zejména o dotace poskytované do sociální oblasti Ministerstvem práce a sociálních věcí, dále dotace na vzdělávání z Ministerstva školství, mládeže a tělovýchovy a dotace týkající se voleb. Proto tyto transfery jsou zahrnuty do zpracování SVR.</w:t>
      </w:r>
    </w:p>
    <w:bookmarkStart w:id="82" w:name="_Toc365274726"/>
    <w:bookmarkStart w:id="83" w:name="_Toc368988412"/>
    <w:bookmarkStart w:id="84" w:name="_Toc428350385"/>
    <w:bookmarkStart w:id="85" w:name="_Toc55981703"/>
    <w:bookmarkStart w:id="86" w:name="_Toc180650270"/>
    <w:p w14:paraId="028E12B7" w14:textId="77777777" w:rsidR="00B01126" w:rsidRPr="00BB7BA7" w:rsidRDefault="00FF3363" w:rsidP="009A770A">
      <w:pPr>
        <w:pStyle w:val="Tabulka"/>
      </w:pPr>
      <w:r w:rsidRPr="00BB7BA7">
        <w:rPr>
          <w:noProof/>
          <w:lang w:eastAsia="cs-CZ"/>
        </w:rPr>
        <mc:AlternateContent>
          <mc:Choice Requires="wps">
            <w:drawing>
              <wp:anchor distT="0" distB="0" distL="114300" distR="114300" simplePos="0" relativeHeight="251653120" behindDoc="0" locked="0" layoutInCell="1" allowOverlap="1" wp14:anchorId="5966F9CE" wp14:editId="007DDBF2">
                <wp:simplePos x="0" y="0"/>
                <wp:positionH relativeFrom="page">
                  <wp:posOffset>542772</wp:posOffset>
                </wp:positionH>
                <wp:positionV relativeFrom="paragraph">
                  <wp:posOffset>-768</wp:posOffset>
                </wp:positionV>
                <wp:extent cx="1404000" cy="1135529"/>
                <wp:effectExtent l="0" t="0" r="5715" b="7620"/>
                <wp:wrapNone/>
                <wp:docPr id="746"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1135529"/>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645FCBAD" w14:textId="0151FA55" w:rsidR="0031735E" w:rsidRPr="00BA3D8E" w:rsidRDefault="0031735E" w:rsidP="001824DD">
                            <w:pPr>
                              <w:spacing w:before="0"/>
                              <w:jc w:val="left"/>
                              <w:rPr>
                                <w:rFonts w:cstheme="minorHAnsi"/>
                                <w:i/>
                                <w:sz w:val="20"/>
                                <w:szCs w:val="20"/>
                              </w:rPr>
                            </w:pPr>
                            <w:r w:rsidRPr="00A408CA">
                              <w:rPr>
                                <w:rStyle w:val="Odkaznakoment"/>
                                <w:rFonts w:cstheme="minorHAnsi"/>
                                <w:i/>
                                <w:sz w:val="20"/>
                                <w:szCs w:val="20"/>
                              </w:rPr>
                              <w:t>Hodnoty SVR, zejména v </w:t>
                            </w:r>
                            <w:r w:rsidRPr="0030731E">
                              <w:rPr>
                                <w:rStyle w:val="Odkaznakoment"/>
                                <w:rFonts w:cstheme="minorHAnsi"/>
                                <w:i/>
                                <w:sz w:val="20"/>
                                <w:szCs w:val="20"/>
                              </w:rPr>
                              <w:t xml:space="preserve">provozní části, silně </w:t>
                            </w:r>
                            <w:r w:rsidRPr="00BB7BA7">
                              <w:rPr>
                                <w:rStyle w:val="Odkaznakoment"/>
                                <w:rFonts w:cstheme="minorHAnsi"/>
                                <w:i/>
                                <w:sz w:val="20"/>
                                <w:szCs w:val="20"/>
                              </w:rPr>
                              <w:t>ovlivňuj</w:t>
                            </w:r>
                            <w:r w:rsidR="00166585" w:rsidRPr="00BB7BA7">
                              <w:rPr>
                                <w:rStyle w:val="Odkaznakoment"/>
                                <w:rFonts w:cstheme="minorHAnsi"/>
                                <w:i/>
                                <w:sz w:val="20"/>
                                <w:szCs w:val="20"/>
                              </w:rPr>
                              <w:t xml:space="preserve">í dopady inflace i </w:t>
                            </w:r>
                            <w:r w:rsidRPr="00BB7BA7">
                              <w:rPr>
                                <w:rStyle w:val="Odkaznakoment"/>
                                <w:rFonts w:cstheme="minorHAnsi"/>
                                <w:i/>
                                <w:sz w:val="20"/>
                                <w:szCs w:val="20"/>
                              </w:rPr>
                              <w:t>energ</w:t>
                            </w:r>
                            <w:r w:rsidR="00166585" w:rsidRPr="00BB7BA7">
                              <w:rPr>
                                <w:rStyle w:val="Odkaznakoment"/>
                                <w:rFonts w:cstheme="minorHAnsi"/>
                                <w:i/>
                                <w:sz w:val="20"/>
                                <w:szCs w:val="20"/>
                              </w:rPr>
                              <w:t>etické náklady</w:t>
                            </w:r>
                            <w:r w:rsidRPr="00BB7BA7">
                              <w:rPr>
                                <w:rStyle w:val="Odkaznakoment"/>
                                <w:rFonts w:cstheme="minorHAnsi"/>
                                <w:i/>
                                <w:sz w:val="20"/>
                                <w:szCs w:val="20"/>
                              </w:rPr>
                              <w:t xml:space="preserve"> a</w:t>
                            </w:r>
                            <w:r w:rsidR="00BD13B2">
                              <w:rPr>
                                <w:rStyle w:val="Odkaznakoment"/>
                                <w:rFonts w:cstheme="minorHAnsi"/>
                                <w:i/>
                                <w:sz w:val="20"/>
                                <w:szCs w:val="20"/>
                              </w:rPr>
                              <w:t xml:space="preserve"> </w:t>
                            </w:r>
                            <w:r w:rsidR="0030731E" w:rsidRPr="00BB7BA7">
                              <w:rPr>
                                <w:rStyle w:val="Odkaznakoment"/>
                                <w:rFonts w:cstheme="minorHAnsi"/>
                                <w:i/>
                                <w:sz w:val="20"/>
                                <w:szCs w:val="20"/>
                              </w:rPr>
                              <w:t>změny financování z konsolidačního balíčku.</w:t>
                            </w:r>
                          </w:p>
                          <w:p w14:paraId="4A159785" w14:textId="77777777" w:rsidR="0031735E" w:rsidRPr="001B58F3" w:rsidRDefault="0031735E" w:rsidP="00434F92">
                            <w:pPr>
                              <w:spacing w:after="0"/>
                              <w:jc w:val="left"/>
                              <w:rPr>
                                <w:rFonts w:cstheme="minorHAnsi"/>
                                <w:i/>
                                <w:sz w:val="20"/>
                                <w:szCs w:val="20"/>
                              </w:rPr>
                            </w:pPr>
                          </w:p>
                          <w:p w14:paraId="3962A3D5" w14:textId="77777777" w:rsidR="0031735E" w:rsidRPr="001B58F3" w:rsidRDefault="0031735E" w:rsidP="00E03088">
                            <w:pPr>
                              <w:spacing w:after="0"/>
                              <w:jc w:val="left"/>
                              <w:rPr>
                                <w:rFonts w:cstheme="minorHAnsi"/>
                                <w:i/>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5966F9CE" id="_x0000_s1054" type="#_x0000_t202" style="position:absolute;left:0;text-align:left;margin-left:42.75pt;margin-top:-.05pt;width:110.55pt;height:89.4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" fillcolor="white [3201]" stroked="f" strokeweight=".5pt">
                <v:path arrowok="t"/>
                <v:textbox inset="0,0,0,0">
                  <w:txbxContent>
                    <w:p w14:paraId="645FCBAD" w14:textId="0151FA55" w:rsidR="0031735E" w:rsidRPr="00BA3D8E" w:rsidRDefault="0031735E" w:rsidP="001824DD">
                      <w:pPr>
                        <w:spacing w:before="0"/>
                        <w:jc w:val="left"/>
                        <w:rPr>
                          <w:rFonts w:cstheme="minorHAnsi"/>
                          <w:i/>
                          <w:sz w:val="20"/>
                          <w:szCs w:val="20"/>
                        </w:rPr>
                      </w:pPr>
                      <w:r w:rsidRPr="00A408CA">
                        <w:rPr>
                          <w:rStyle w:val="Odkaznakoment"/>
                          <w:rFonts w:cstheme="minorHAnsi"/>
                          <w:i/>
                          <w:sz w:val="20"/>
                          <w:szCs w:val="20"/>
                        </w:rPr>
                        <w:t>Hodnoty SVR, zejména v </w:t>
                      </w:r>
                      <w:r w:rsidRPr="0030731E">
                        <w:rPr>
                          <w:rStyle w:val="Odkaznakoment"/>
                          <w:rFonts w:cstheme="minorHAnsi"/>
                          <w:i/>
                          <w:sz w:val="20"/>
                          <w:szCs w:val="20"/>
                        </w:rPr>
                        <w:t xml:space="preserve">provozní části, silně </w:t>
                      </w:r>
                      <w:r w:rsidRPr="00BB7BA7">
                        <w:rPr>
                          <w:rStyle w:val="Odkaznakoment"/>
                          <w:rFonts w:cstheme="minorHAnsi"/>
                          <w:i/>
                          <w:sz w:val="20"/>
                          <w:szCs w:val="20"/>
                        </w:rPr>
                        <w:t>ovlivňuj</w:t>
                      </w:r>
                      <w:r w:rsidR="00166585" w:rsidRPr="00BB7BA7">
                        <w:rPr>
                          <w:rStyle w:val="Odkaznakoment"/>
                          <w:rFonts w:cstheme="minorHAnsi"/>
                          <w:i/>
                          <w:sz w:val="20"/>
                          <w:szCs w:val="20"/>
                        </w:rPr>
                        <w:t xml:space="preserve">í dopady inflace i </w:t>
                      </w:r>
                      <w:r w:rsidRPr="00BB7BA7">
                        <w:rPr>
                          <w:rStyle w:val="Odkaznakoment"/>
                          <w:rFonts w:cstheme="minorHAnsi"/>
                          <w:i/>
                          <w:sz w:val="20"/>
                          <w:szCs w:val="20"/>
                        </w:rPr>
                        <w:t>energ</w:t>
                      </w:r>
                      <w:r w:rsidR="00166585" w:rsidRPr="00BB7BA7">
                        <w:rPr>
                          <w:rStyle w:val="Odkaznakoment"/>
                          <w:rFonts w:cstheme="minorHAnsi"/>
                          <w:i/>
                          <w:sz w:val="20"/>
                          <w:szCs w:val="20"/>
                        </w:rPr>
                        <w:t>etické náklady</w:t>
                      </w:r>
                      <w:r w:rsidRPr="00BB7BA7">
                        <w:rPr>
                          <w:rStyle w:val="Odkaznakoment"/>
                          <w:rFonts w:cstheme="minorHAnsi"/>
                          <w:i/>
                          <w:sz w:val="20"/>
                          <w:szCs w:val="20"/>
                        </w:rPr>
                        <w:t xml:space="preserve"> a</w:t>
                      </w:r>
                      <w:r w:rsidR="00BD13B2">
                        <w:rPr>
                          <w:rStyle w:val="Odkaznakoment"/>
                          <w:rFonts w:cstheme="minorHAnsi"/>
                          <w:i/>
                          <w:sz w:val="20"/>
                          <w:szCs w:val="20"/>
                        </w:rPr>
                        <w:t xml:space="preserve"> </w:t>
                      </w:r>
                      <w:r w:rsidR="0030731E" w:rsidRPr="00BB7BA7">
                        <w:rPr>
                          <w:rStyle w:val="Odkaznakoment"/>
                          <w:rFonts w:cstheme="minorHAnsi"/>
                          <w:i/>
                          <w:sz w:val="20"/>
                          <w:szCs w:val="20"/>
                        </w:rPr>
                        <w:t>změny financování z konsolidačního balíčku.</w:t>
                      </w:r>
                    </w:p>
                    <w:p w14:paraId="4A159785" w14:textId="77777777" w:rsidR="0031735E" w:rsidRPr="001B58F3" w:rsidRDefault="0031735E" w:rsidP="00434F92">
                      <w:pPr>
                        <w:spacing w:after="0"/>
                        <w:jc w:val="left"/>
                        <w:rPr>
                          <w:rFonts w:cstheme="minorHAnsi"/>
                          <w:i/>
                          <w:sz w:val="20"/>
                          <w:szCs w:val="20"/>
                        </w:rPr>
                      </w:pPr>
                    </w:p>
                    <w:p w14:paraId="3962A3D5" w14:textId="77777777" w:rsidR="0031735E" w:rsidRPr="001B58F3" w:rsidRDefault="0031735E" w:rsidP="00E03088">
                      <w:pPr>
                        <w:spacing w:after="0"/>
                        <w:jc w:val="left"/>
                        <w:rPr>
                          <w:rFonts w:cstheme="minorHAnsi"/>
                          <w:i/>
                          <w:sz w:val="20"/>
                          <w:szCs w:val="20"/>
                        </w:rPr>
                      </w:pPr>
                    </w:p>
                  </w:txbxContent>
                </v:textbox>
                <w10:wrap anchorx="page"/>
              </v:shape>
            </w:pict>
          </mc:Fallback>
        </mc:AlternateContent>
      </w:r>
      <w:r w:rsidR="005C35CB" w:rsidRPr="00BB7BA7">
        <w:t>K</w:t>
      </w:r>
      <w:r w:rsidR="00B01126" w:rsidRPr="00BB7BA7">
        <w:t>umulovaný střednědobý výhled rozpočtu</w:t>
      </w:r>
      <w:bookmarkEnd w:id="82"/>
      <w:bookmarkEnd w:id="83"/>
      <w:bookmarkEnd w:id="84"/>
      <w:bookmarkEnd w:id="85"/>
      <w:bookmarkEnd w:id="86"/>
    </w:p>
    <w:p w14:paraId="1F70A10B" w14:textId="463341C0" w:rsidR="00B01126" w:rsidRPr="00A2717D" w:rsidRDefault="007E7B30" w:rsidP="00A2717D">
      <w:pPr>
        <w:pStyle w:val="Objekt"/>
        <w:rPr>
          <w:vertAlign w:val="subscript"/>
          <w:lang w:val="en-US"/>
        </w:rPr>
      </w:pPr>
      <w:r w:rsidRPr="007E7B30">
        <w:rPr>
          <w:noProof/>
          <w:vertAlign w:val="subscript"/>
          <w:lang w:val="en-US"/>
        </w:rPr>
        <w:drawing>
          <wp:inline distT="0" distB="0" distL="0" distR="0" wp14:anchorId="033F9930" wp14:editId="1CC5A29C">
            <wp:extent cx="4860925" cy="2979420"/>
            <wp:effectExtent l="0" t="0" r="0" b="0"/>
            <wp:docPr id="1092676766" name="Obráze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860925" cy="2979420"/>
                    </a:xfrm>
                    <a:prstGeom prst="rect">
                      <a:avLst/>
                    </a:prstGeom>
                    <a:noFill/>
                    <a:ln>
                      <a:noFill/>
                    </a:ln>
                  </pic:spPr>
                </pic:pic>
              </a:graphicData>
            </a:graphic>
          </wp:inline>
        </w:drawing>
      </w:r>
    </w:p>
    <w:p w14:paraId="06D3BD41" w14:textId="77777777" w:rsidR="00B01126" w:rsidRPr="007631EA" w:rsidRDefault="00B01126" w:rsidP="00993408">
      <w:pPr>
        <w:pStyle w:val="Nadpis2"/>
      </w:pPr>
      <w:bookmarkStart w:id="87" w:name="_Toc62211723"/>
      <w:bookmarkStart w:id="88" w:name="_Toc180650324"/>
      <w:r w:rsidRPr="007631EA">
        <w:t>Provozní hospodaření výhledového období</w:t>
      </w:r>
      <w:bookmarkEnd w:id="87"/>
      <w:bookmarkEnd w:id="88"/>
    </w:p>
    <w:p w14:paraId="0410258F" w14:textId="77777777" w:rsidR="00B01126" w:rsidRPr="00D61273" w:rsidRDefault="009A770A" w:rsidP="00993408">
      <w:r>
        <w:t>Obsah kapitoly je zaměřen na vybrané části sestaveného střednědobého výhledu rozpočtu</w:t>
      </w:r>
      <w:r w:rsidRPr="007631EA">
        <w:t xml:space="preserve">, který zobrazuje </w:t>
      </w:r>
      <w:r>
        <w:t xml:space="preserve">uvedená </w:t>
      </w:r>
      <w:r w:rsidRPr="007631EA">
        <w:t>tabulka kumulovaného výhledu</w:t>
      </w:r>
      <w:r>
        <w:t>.</w:t>
      </w:r>
    </w:p>
    <w:p w14:paraId="7A7D823D" w14:textId="77777777" w:rsidR="004F584E" w:rsidRPr="004D0FAA" w:rsidRDefault="00FF3363" w:rsidP="004F584E">
      <w:pPr>
        <w:pStyle w:val="Nadpis3"/>
      </w:pPr>
      <w:r>
        <w:t>Sdílené daně</w:t>
      </w:r>
    </w:p>
    <w:p w14:paraId="679C7344" w14:textId="01B5D836" w:rsidR="008E08A0" w:rsidRDefault="00973A21" w:rsidP="008E08A0">
      <w:r w:rsidRPr="001B58F3">
        <w:rPr>
          <w:rFonts w:ascii="Verdana" w:hAnsi="Verdana"/>
          <w:noProof/>
          <w:sz w:val="19"/>
          <w:highlight w:val="cyan"/>
          <w:lang w:eastAsia="cs-CZ"/>
        </w:rPr>
        <mc:AlternateContent>
          <mc:Choice Requires="wps">
            <w:drawing>
              <wp:anchor distT="0" distB="0" distL="114300" distR="114300" simplePos="0" relativeHeight="251660800" behindDoc="0" locked="0" layoutInCell="1" allowOverlap="1" wp14:anchorId="06D6D939" wp14:editId="4AF74E68">
                <wp:simplePos x="0" y="0"/>
                <wp:positionH relativeFrom="page">
                  <wp:posOffset>541655</wp:posOffset>
                </wp:positionH>
                <wp:positionV relativeFrom="paragraph">
                  <wp:posOffset>0</wp:posOffset>
                </wp:positionV>
                <wp:extent cx="1404000" cy="648000"/>
                <wp:effectExtent l="0" t="0" r="5715" b="0"/>
                <wp:wrapNone/>
                <wp:docPr id="732"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64800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1A0CE84C" w14:textId="77777777" w:rsidR="0031735E" w:rsidRPr="00370D4F" w:rsidRDefault="0031735E" w:rsidP="00973A21">
                            <w:pPr>
                              <w:spacing w:before="0"/>
                              <w:jc w:val="left"/>
                              <w:rPr>
                                <w:rFonts w:cstheme="minorHAnsi"/>
                                <w:i/>
                                <w:szCs w:val="22"/>
                              </w:rPr>
                            </w:pPr>
                            <w:r>
                              <w:rPr>
                                <w:rStyle w:val="Odkaznakoment"/>
                                <w:rFonts w:cstheme="minorHAnsi"/>
                                <w:i/>
                                <w:sz w:val="20"/>
                                <w:szCs w:val="20"/>
                              </w:rPr>
                              <w:t>Hodnoty sdílených daní se nejvíce podílejí na vývoji provozních příjmů</w:t>
                            </w:r>
                          </w:p>
                          <w:p w14:paraId="7C387D34" w14:textId="77777777" w:rsidR="0031735E" w:rsidRPr="001B58F3" w:rsidRDefault="0031735E" w:rsidP="00E03088">
                            <w:pPr>
                              <w:spacing w:after="0"/>
                              <w:jc w:val="left"/>
                              <w:rPr>
                                <w:rFonts w:cstheme="minorHAnsi"/>
                                <w:i/>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06D6D939" id="_x0000_s1055" type="#_x0000_t202" style="position:absolute;left:0;text-align:left;margin-left:42.65pt;margin-top:0;width:110.55pt;height:51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" fillcolor="white [3201]" stroked="f" strokeweight=".5pt">
                <v:path arrowok="t"/>
                <v:textbox inset="0,0,0,0">
                  <w:txbxContent>
                    <w:p w14:paraId="1A0CE84C" w14:textId="77777777" w:rsidR="0031735E" w:rsidRPr="00370D4F" w:rsidRDefault="0031735E" w:rsidP="00973A21">
                      <w:pPr>
                        <w:spacing w:before="0"/>
                        <w:jc w:val="left"/>
                        <w:rPr>
                          <w:rFonts w:cstheme="minorHAnsi"/>
                          <w:i/>
                          <w:szCs w:val="22"/>
                        </w:rPr>
                      </w:pPr>
                      <w:r>
                        <w:rPr>
                          <w:rStyle w:val="Odkaznakoment"/>
                          <w:rFonts w:cstheme="minorHAnsi"/>
                          <w:i/>
                          <w:sz w:val="20"/>
                          <w:szCs w:val="20"/>
                        </w:rPr>
                        <w:t>Hodnoty sdílených daní se nejvíce podílejí na vývoji provozních příjmů</w:t>
                      </w:r>
                    </w:p>
                    <w:p w14:paraId="7C387D34" w14:textId="77777777" w:rsidR="0031735E" w:rsidRPr="001B58F3" w:rsidRDefault="0031735E" w:rsidP="00E03088">
                      <w:pPr>
                        <w:spacing w:after="0"/>
                        <w:jc w:val="left"/>
                        <w:rPr>
                          <w:rFonts w:cstheme="minorHAnsi"/>
                          <w:i/>
                          <w:sz w:val="20"/>
                          <w:szCs w:val="20"/>
                        </w:rPr>
                      </w:pPr>
                    </w:p>
                  </w:txbxContent>
                </v:textbox>
                <w10:wrap anchorx="page"/>
              </v:shape>
            </w:pict>
          </mc:Fallback>
        </mc:AlternateContent>
      </w:r>
      <w:r w:rsidR="00B01126" w:rsidRPr="00D61273">
        <w:t xml:space="preserve">Příjmy ze sdílených daní meziročně rostou, jsou určeny předpokládaným vývojem na základě </w:t>
      </w:r>
      <w:r w:rsidR="00166585">
        <w:t>schváleného</w:t>
      </w:r>
      <w:r w:rsidR="004C28B2" w:rsidRPr="00734D4B">
        <w:t xml:space="preserve"> </w:t>
      </w:r>
      <w:r w:rsidR="00B01126" w:rsidRPr="00D61273">
        <w:t xml:space="preserve">státního rozpočtu na rok </w:t>
      </w:r>
      <w:bookmarkStart w:id="89" w:name="OLE_LINK2"/>
      <w:r w:rsidR="00E77FC3" w:rsidRPr="00D04EA5">
        <w:t>202</w:t>
      </w:r>
      <w:r w:rsidR="00166585" w:rsidRPr="00D04EA5">
        <w:t>4</w:t>
      </w:r>
      <w:bookmarkEnd w:id="89"/>
      <w:r w:rsidR="00B01126" w:rsidRPr="00D04EA5">
        <w:t xml:space="preserve">, </w:t>
      </w:r>
      <w:r w:rsidR="0030731E" w:rsidRPr="00D04EA5">
        <w:t>návrhu státního rozpočtu na rok 202</w:t>
      </w:r>
      <w:r w:rsidR="00166585" w:rsidRPr="00D04EA5">
        <w:t>5</w:t>
      </w:r>
      <w:r w:rsidR="0030731E" w:rsidRPr="00D04EA5">
        <w:t xml:space="preserve"> a </w:t>
      </w:r>
      <w:r w:rsidR="00B01126" w:rsidRPr="00D04EA5">
        <w:t xml:space="preserve">střednědobého výhledu státu na roky </w:t>
      </w:r>
      <w:proofErr w:type="gramStart"/>
      <w:r w:rsidR="00E77FC3" w:rsidRPr="00D04EA5">
        <w:t>202</w:t>
      </w:r>
      <w:r w:rsidR="00166585" w:rsidRPr="00D04EA5">
        <w:t>6</w:t>
      </w:r>
      <w:r w:rsidR="00B01126" w:rsidRPr="00D04EA5">
        <w:t xml:space="preserve"> </w:t>
      </w:r>
      <w:r w:rsidR="004F584E" w:rsidRPr="00D04EA5">
        <w:t>-</w:t>
      </w:r>
      <w:r w:rsidR="00B01126" w:rsidRPr="00D04EA5">
        <w:t xml:space="preserve"> 202</w:t>
      </w:r>
      <w:r w:rsidR="00166585" w:rsidRPr="00D04EA5">
        <w:t>7</w:t>
      </w:r>
      <w:proofErr w:type="gramEnd"/>
      <w:r w:rsidR="00B01126" w:rsidRPr="00D04EA5">
        <w:t xml:space="preserve"> a následnou</w:t>
      </w:r>
      <w:r w:rsidR="00B01126" w:rsidRPr="00D61273">
        <w:t xml:space="preserve"> predikcí do roku </w:t>
      </w:r>
      <w:r w:rsidR="00E77FC3">
        <w:t>2029</w:t>
      </w:r>
      <w:r w:rsidR="00B01126" w:rsidRPr="00D61273">
        <w:t>.</w:t>
      </w:r>
      <w:r w:rsidR="008E08A0">
        <w:rPr>
          <w:color w:val="FF0000"/>
        </w:rPr>
        <w:t xml:space="preserve"> </w:t>
      </w:r>
      <w:r w:rsidR="008E08A0" w:rsidRPr="008E08A0">
        <w:t xml:space="preserve">Nárůst sdílených daní od roku </w:t>
      </w:r>
      <w:r w:rsidR="00E77FC3">
        <w:t>2025</w:t>
      </w:r>
      <w:r w:rsidR="008E08A0" w:rsidRPr="008E08A0">
        <w:t xml:space="preserve"> (prvního roku SVR) do konce SVR je </w:t>
      </w:r>
      <w:r w:rsidR="00E77FC3">
        <w:t>126,7</w:t>
      </w:r>
      <w:r w:rsidR="00C618BA">
        <w:t> </w:t>
      </w:r>
      <w:r w:rsidR="008E08A0" w:rsidRPr="008E08A0">
        <w:t>mil. Kč.</w:t>
      </w:r>
    </w:p>
    <w:p w14:paraId="0C70A53A" w14:textId="77777777" w:rsidR="004C28B2" w:rsidRDefault="004C28B2" w:rsidP="00993408">
      <w:r>
        <w:lastRenderedPageBreak/>
        <w:t>V následujícím grafu je znázorněn vývoj sdílených daní v porovnání s hodnotami predikcí zv</w:t>
      </w:r>
      <w:r w:rsidR="007E238E">
        <w:t>e</w:t>
      </w:r>
      <w:r>
        <w:t>řejněných MF. Je zřejmé, že skutečně dosažené hodnoty jsou zpravidla vyšší než tyto výchozí predikce.</w:t>
      </w:r>
    </w:p>
    <w:p w14:paraId="587F53AC" w14:textId="77777777" w:rsidR="004F584E" w:rsidRPr="00122D55" w:rsidRDefault="004F584E" w:rsidP="004F584E">
      <w:pPr>
        <w:pStyle w:val="Graf0"/>
      </w:pPr>
      <w:bookmarkStart w:id="90" w:name="_Toc180650298"/>
      <w:r w:rsidRPr="00122D55">
        <w:t>Vývoj sdílených daní</w:t>
      </w:r>
      <w:bookmarkEnd w:id="90"/>
    </w:p>
    <w:p w14:paraId="27B9D0C4" w14:textId="59B34FD3" w:rsidR="004F584E" w:rsidRDefault="007E7B30" w:rsidP="00993408">
      <w:r w:rsidRPr="007E7B30">
        <w:rPr>
          <w:noProof/>
        </w:rPr>
        <w:drawing>
          <wp:inline distT="0" distB="0" distL="0" distR="0" wp14:anchorId="3B9EDCD8" wp14:editId="010ADBC2">
            <wp:extent cx="4860925" cy="2010410"/>
            <wp:effectExtent l="0" t="0" r="0" b="0"/>
            <wp:docPr id="1898555484" name="Obráze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860925" cy="2010410"/>
                    </a:xfrm>
                    <a:prstGeom prst="rect">
                      <a:avLst/>
                    </a:prstGeom>
                    <a:noFill/>
                    <a:ln>
                      <a:noFill/>
                    </a:ln>
                  </pic:spPr>
                </pic:pic>
              </a:graphicData>
            </a:graphic>
          </wp:inline>
        </w:drawing>
      </w:r>
    </w:p>
    <w:p w14:paraId="1E8ABC88" w14:textId="7B5C2010" w:rsidR="009A770A" w:rsidRPr="00522B81" w:rsidRDefault="009A770A" w:rsidP="009A770A">
      <w:pPr>
        <w:pStyle w:val="Poznmka"/>
      </w:pPr>
      <w:r>
        <w:t>Poznámka: H</w:t>
      </w:r>
      <w:r w:rsidRPr="00522B81">
        <w:t xml:space="preserve">odnoty </w:t>
      </w:r>
      <w:r>
        <w:t xml:space="preserve">sdílených daní dle MF vycházejí do </w:t>
      </w:r>
      <w:r w:rsidRPr="00166585">
        <w:t xml:space="preserve">roku </w:t>
      </w:r>
      <w:r w:rsidR="006A74F8" w:rsidRPr="00166585">
        <w:t>202</w:t>
      </w:r>
      <w:r w:rsidR="00A82FBF">
        <w:t>4</w:t>
      </w:r>
      <w:r w:rsidRPr="00166585">
        <w:t xml:space="preserve"> ze schváleného státního rozpočtu na daný rok, resp. z jeho upřesněných hodnot v průběhu roku. Roky </w:t>
      </w:r>
      <w:proofErr w:type="gramStart"/>
      <w:r w:rsidR="00E77FC3" w:rsidRPr="00166585">
        <w:t>202</w:t>
      </w:r>
      <w:r w:rsidR="00166585" w:rsidRPr="00166585">
        <w:t>5</w:t>
      </w:r>
      <w:r w:rsidRPr="00166585">
        <w:t xml:space="preserve"> – 202</w:t>
      </w:r>
      <w:r w:rsidR="00166585" w:rsidRPr="00166585">
        <w:t>7</w:t>
      </w:r>
      <w:proofErr w:type="gramEnd"/>
      <w:r w:rsidRPr="00166585">
        <w:t xml:space="preserve"> pak vycházejí z hodnot </w:t>
      </w:r>
      <w:r w:rsidR="0030731E" w:rsidRPr="00166585">
        <w:t xml:space="preserve">návrhu státního rozpočtu resp. </w:t>
      </w:r>
      <w:r w:rsidRPr="00166585">
        <w:t>střednědobého výhledu</w:t>
      </w:r>
      <w:r>
        <w:t xml:space="preserve"> státního</w:t>
      </w:r>
      <w:r w:rsidRPr="00522B81">
        <w:t xml:space="preserve"> rozpočtu</w:t>
      </w:r>
    </w:p>
    <w:p w14:paraId="4B6F7244" w14:textId="77777777" w:rsidR="00B01126" w:rsidRPr="004D0FAA" w:rsidRDefault="00B01126" w:rsidP="004D0FAA">
      <w:pPr>
        <w:pStyle w:val="Nadpis3"/>
      </w:pPr>
      <w:r w:rsidRPr="004D0FAA">
        <w:t>Hodnoty provozního hospodaření</w:t>
      </w:r>
    </w:p>
    <w:p w14:paraId="0D7F71C6" w14:textId="226B3DF6" w:rsidR="00B01126" w:rsidRPr="00166585" w:rsidRDefault="00B01126" w:rsidP="00993408">
      <w:r w:rsidRPr="00901D19">
        <w:t xml:space="preserve">Pro celkový pohled na predikci hospodaření v období střednědobého výhledu rozpočtu má zásadní význam vývoj </w:t>
      </w:r>
      <w:r w:rsidR="00D9228F">
        <w:t xml:space="preserve">hodnot </w:t>
      </w:r>
      <w:r w:rsidRPr="00901D19">
        <w:t xml:space="preserve">provozních příjmů a výdajů. Na základě analýzy </w:t>
      </w:r>
      <w:r w:rsidRPr="00D04EA5">
        <w:t xml:space="preserve">hospodaření v uplynulém pětiletém období, platného rozpočtu a konzultací s pracovníky </w:t>
      </w:r>
      <w:r w:rsidR="004F584E" w:rsidRPr="00D04EA5">
        <w:t>o</w:t>
      </w:r>
      <w:r w:rsidRPr="00D04EA5">
        <w:t>dboru</w:t>
      </w:r>
      <w:r w:rsidR="00901D19" w:rsidRPr="00D04EA5">
        <w:t xml:space="preserve"> ekonomiky</w:t>
      </w:r>
      <w:r w:rsidRPr="00D04EA5">
        <w:t xml:space="preserve"> byl </w:t>
      </w:r>
      <w:r w:rsidR="004F584E" w:rsidRPr="00D04EA5">
        <w:t>predikován</w:t>
      </w:r>
      <w:r w:rsidRPr="00D04EA5">
        <w:t xml:space="preserve"> vývoj jednotlivých </w:t>
      </w:r>
      <w:r w:rsidR="004F584E" w:rsidRPr="00D04EA5">
        <w:t xml:space="preserve">provozních </w:t>
      </w:r>
      <w:r w:rsidRPr="00D04EA5">
        <w:t>položek. Souhrnný pohled na hodnoty celkových provozních (běžných) příjmů a výdajů je zobrazen v následujícím grafu</w:t>
      </w:r>
      <w:r w:rsidRPr="00901D19">
        <w:t xml:space="preserve">. V něm je ve výhledovém období zachycen mírně se zvětšující rozdíl mezi těmito dvěma </w:t>
      </w:r>
      <w:r w:rsidRPr="00166585">
        <w:t>základními hodnotami hospodaření města.</w:t>
      </w:r>
    </w:p>
    <w:p w14:paraId="6D3C6EF3" w14:textId="77777777" w:rsidR="00B01126" w:rsidRPr="00166585" w:rsidRDefault="00B01126" w:rsidP="007F7EE4">
      <w:pPr>
        <w:pStyle w:val="Graf0"/>
      </w:pPr>
      <w:bookmarkStart w:id="91" w:name="_Toc365274608"/>
      <w:bookmarkStart w:id="92" w:name="_Toc368988394"/>
      <w:bookmarkStart w:id="93" w:name="_Toc428351160"/>
      <w:bookmarkStart w:id="94" w:name="_Toc428357455"/>
      <w:bookmarkStart w:id="95" w:name="_Toc55981692"/>
      <w:bookmarkStart w:id="96" w:name="_Toc180650299"/>
      <w:r w:rsidRPr="00166585">
        <w:t>Vývoj běžných příjmů a výdajů</w:t>
      </w:r>
      <w:bookmarkEnd w:id="91"/>
      <w:bookmarkEnd w:id="92"/>
      <w:bookmarkEnd w:id="93"/>
      <w:bookmarkEnd w:id="94"/>
      <w:bookmarkEnd w:id="95"/>
      <w:bookmarkEnd w:id="96"/>
    </w:p>
    <w:p w14:paraId="42795F0E" w14:textId="4D6F6E60" w:rsidR="00B01126" w:rsidRPr="00166585" w:rsidRDefault="007E7B30" w:rsidP="008C3DB0">
      <w:pPr>
        <w:pStyle w:val="Objekt"/>
      </w:pPr>
      <w:r w:rsidRPr="007E7B30">
        <w:rPr>
          <w:noProof/>
        </w:rPr>
        <w:drawing>
          <wp:inline distT="0" distB="0" distL="0" distR="0" wp14:anchorId="5C211C46" wp14:editId="6ECD66AA">
            <wp:extent cx="4860925" cy="2010410"/>
            <wp:effectExtent l="0" t="0" r="0" b="0"/>
            <wp:docPr id="523865773" name="Obráze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860925" cy="2010410"/>
                    </a:xfrm>
                    <a:prstGeom prst="rect">
                      <a:avLst/>
                    </a:prstGeom>
                    <a:noFill/>
                    <a:ln>
                      <a:noFill/>
                    </a:ln>
                  </pic:spPr>
                </pic:pic>
              </a:graphicData>
            </a:graphic>
          </wp:inline>
        </w:drawing>
      </w:r>
    </w:p>
    <w:p w14:paraId="454082D0" w14:textId="77777777" w:rsidR="00B01126" w:rsidRPr="00166585" w:rsidRDefault="00BA3D8E" w:rsidP="004D0FAA">
      <w:pPr>
        <w:pStyle w:val="Nadpis3"/>
      </w:pPr>
      <w:r w:rsidRPr="00166585">
        <w:rPr>
          <w:rFonts w:ascii="Verdana" w:hAnsi="Verdana"/>
          <w:b w:val="0"/>
          <w:sz w:val="19"/>
        </w:rPr>
        <mc:AlternateContent>
          <mc:Choice Requires="wps">
            <w:drawing>
              <wp:anchor distT="0" distB="0" distL="114300" distR="114300" simplePos="0" relativeHeight="251661824" behindDoc="0" locked="0" layoutInCell="1" allowOverlap="1" wp14:anchorId="7E3BF927" wp14:editId="0C87C03B">
                <wp:simplePos x="0" y="0"/>
                <wp:positionH relativeFrom="page">
                  <wp:posOffset>541655</wp:posOffset>
                </wp:positionH>
                <wp:positionV relativeFrom="paragraph">
                  <wp:posOffset>276225</wp:posOffset>
                </wp:positionV>
                <wp:extent cx="1403985" cy="584200"/>
                <wp:effectExtent l="0" t="0" r="5715" b="6350"/>
                <wp:wrapNone/>
                <wp:docPr id="733"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3985" cy="58420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0646BB33" w14:textId="77777777" w:rsidR="0031735E" w:rsidRPr="00370D4F" w:rsidRDefault="0031735E" w:rsidP="00973A21">
                            <w:pPr>
                              <w:spacing w:before="0"/>
                              <w:jc w:val="left"/>
                              <w:rPr>
                                <w:rFonts w:cstheme="minorHAnsi"/>
                                <w:i/>
                                <w:szCs w:val="22"/>
                              </w:rPr>
                            </w:pPr>
                            <w:r>
                              <w:rPr>
                                <w:rStyle w:val="Odkaznakoment"/>
                                <w:rFonts w:cstheme="minorHAnsi"/>
                                <w:i/>
                                <w:sz w:val="20"/>
                                <w:szCs w:val="20"/>
                              </w:rPr>
                              <w:t>Provozní přebytek je po celé období SVR kladný</w:t>
                            </w:r>
                          </w:p>
                          <w:p w14:paraId="6288388A" w14:textId="77777777" w:rsidR="0031735E" w:rsidRPr="001B58F3" w:rsidRDefault="0031735E" w:rsidP="00E03088">
                            <w:pPr>
                              <w:spacing w:after="0"/>
                              <w:jc w:val="left"/>
                              <w:rPr>
                                <w:rFonts w:cstheme="minorHAnsi"/>
                                <w:i/>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7E3BF927" id="_x0000_s1056" type="#_x0000_t202" style="position:absolute;left:0;text-align:left;margin-left:42.65pt;margin-top:21.75pt;width:110.55pt;height:46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" fillcolor="white [3201]" stroked="f" strokeweight=".5pt">
                <v:path arrowok="t"/>
                <v:textbox inset="0,0,0,0">
                  <w:txbxContent>
                    <w:p w14:paraId="0646BB33" w14:textId="77777777" w:rsidR="0031735E" w:rsidRPr="00370D4F" w:rsidRDefault="0031735E" w:rsidP="00973A21">
                      <w:pPr>
                        <w:spacing w:before="0"/>
                        <w:jc w:val="left"/>
                        <w:rPr>
                          <w:rFonts w:cstheme="minorHAnsi"/>
                          <w:i/>
                          <w:szCs w:val="22"/>
                        </w:rPr>
                      </w:pPr>
                      <w:r>
                        <w:rPr>
                          <w:rStyle w:val="Odkaznakoment"/>
                          <w:rFonts w:cstheme="minorHAnsi"/>
                          <w:i/>
                          <w:sz w:val="20"/>
                          <w:szCs w:val="20"/>
                        </w:rPr>
                        <w:t>Provozní přebytek je po celé období SVR kladný</w:t>
                      </w:r>
                    </w:p>
                    <w:p w14:paraId="6288388A" w14:textId="77777777" w:rsidR="0031735E" w:rsidRPr="001B58F3" w:rsidRDefault="0031735E" w:rsidP="00E03088">
                      <w:pPr>
                        <w:spacing w:after="0"/>
                        <w:jc w:val="left"/>
                        <w:rPr>
                          <w:rFonts w:cstheme="minorHAnsi"/>
                          <w:i/>
                          <w:sz w:val="20"/>
                          <w:szCs w:val="20"/>
                        </w:rPr>
                      </w:pPr>
                    </w:p>
                  </w:txbxContent>
                </v:textbox>
                <w10:wrap anchorx="page"/>
              </v:shape>
            </w:pict>
          </mc:Fallback>
        </mc:AlternateContent>
      </w:r>
      <w:r w:rsidR="00B01126" w:rsidRPr="00166585">
        <w:t>Provozní přebytek</w:t>
      </w:r>
    </w:p>
    <w:p w14:paraId="7836598A" w14:textId="3BD27189" w:rsidR="00522319" w:rsidRPr="00D61273" w:rsidRDefault="00B01126" w:rsidP="00522319">
      <w:bookmarkStart w:id="97" w:name="_Toc365274610"/>
      <w:bookmarkStart w:id="98" w:name="_Toc368988395"/>
      <w:r w:rsidRPr="00166585">
        <w:rPr>
          <w:b/>
        </w:rPr>
        <w:t>Provozní přebytek</w:t>
      </w:r>
      <w:r w:rsidRPr="00166585">
        <w:t xml:space="preserve"> (rozdíl mezi běžnými</w:t>
      </w:r>
      <w:r w:rsidRPr="00D61273">
        <w:t xml:space="preserve"> příjmy a běžnými výdaji)</w:t>
      </w:r>
      <w:r w:rsidR="004F584E">
        <w:t xml:space="preserve"> by </w:t>
      </w:r>
      <w:r w:rsidR="004F584E" w:rsidRPr="004F584E">
        <w:t>měl optimálně nabývat</w:t>
      </w:r>
      <w:r w:rsidRPr="00D61273">
        <w:t xml:space="preserve"> </w:t>
      </w:r>
      <w:r w:rsidR="004F584E" w:rsidRPr="004F584E">
        <w:t>alespoň 25</w:t>
      </w:r>
      <w:r w:rsidR="00A82FBF">
        <w:t xml:space="preserve"> </w:t>
      </w:r>
      <w:r w:rsidR="004F584E" w:rsidRPr="004F584E">
        <w:t xml:space="preserve">% </w:t>
      </w:r>
      <w:r w:rsidR="004F584E">
        <w:t>běžných příjmů</w:t>
      </w:r>
      <w:r w:rsidR="004F584E" w:rsidRPr="004F584E">
        <w:t>)</w:t>
      </w:r>
      <w:r w:rsidR="004F584E">
        <w:t>.</w:t>
      </w:r>
      <w:r w:rsidR="00122D55">
        <w:t xml:space="preserve"> </w:t>
      </w:r>
      <w:r w:rsidR="004F584E" w:rsidRPr="00EC1E87">
        <w:t xml:space="preserve">V </w:t>
      </w:r>
      <w:r w:rsidRPr="00EC1E87">
        <w:t xml:space="preserve">celém </w:t>
      </w:r>
      <w:r w:rsidR="00015CB0" w:rsidRPr="00EC1E87">
        <w:t>výhledovém obdob</w:t>
      </w:r>
      <w:r w:rsidRPr="00EC1E87">
        <w:t xml:space="preserve">í </w:t>
      </w:r>
      <w:r w:rsidR="004F584E" w:rsidRPr="00EC1E87">
        <w:t xml:space="preserve">je ukazatel </w:t>
      </w:r>
      <w:r w:rsidRPr="00EC1E87">
        <w:t xml:space="preserve">kladný, a to v rozmezí od </w:t>
      </w:r>
      <w:r w:rsidR="00E77FC3" w:rsidRPr="000D35A7">
        <w:t>1</w:t>
      </w:r>
      <w:r w:rsidR="00E124D1" w:rsidRPr="000D35A7">
        <w:t>5</w:t>
      </w:r>
      <w:r w:rsidR="00E77FC3" w:rsidRPr="000D35A7">
        <w:t>7,</w:t>
      </w:r>
      <w:r w:rsidR="00E124D1" w:rsidRPr="000D35A7">
        <w:t>6</w:t>
      </w:r>
      <w:r w:rsidR="0091622F" w:rsidRPr="000D35A7">
        <w:t xml:space="preserve"> </w:t>
      </w:r>
      <w:r w:rsidRPr="000D35A7">
        <w:t>mil. Kč (</w:t>
      </w:r>
      <w:r w:rsidR="00E77FC3" w:rsidRPr="000D35A7">
        <w:t>202</w:t>
      </w:r>
      <w:r w:rsidR="00E124D1" w:rsidRPr="000D35A7">
        <w:t>6</w:t>
      </w:r>
      <w:r w:rsidRPr="000D35A7">
        <w:t xml:space="preserve">) </w:t>
      </w:r>
      <w:r w:rsidRPr="003E4776">
        <w:t xml:space="preserve">do </w:t>
      </w:r>
      <w:r w:rsidR="00E77FC3" w:rsidRPr="003E4776">
        <w:t>199,6</w:t>
      </w:r>
      <w:r w:rsidR="0091622F" w:rsidRPr="003E4776">
        <w:t xml:space="preserve"> </w:t>
      </w:r>
      <w:r w:rsidRPr="003E4776">
        <w:t>mil. Kč (</w:t>
      </w:r>
      <w:r w:rsidR="00E77FC3" w:rsidRPr="003E4776">
        <w:t>2029</w:t>
      </w:r>
      <w:r w:rsidRPr="003E4776">
        <w:t xml:space="preserve">). </w:t>
      </w:r>
      <w:r w:rsidR="00E124D1" w:rsidRPr="003E4776">
        <w:t xml:space="preserve">Vzhledem k nulové výši splátek jsou hodnoty stejné také po </w:t>
      </w:r>
      <w:r w:rsidRPr="003E4776">
        <w:t xml:space="preserve">odečtení </w:t>
      </w:r>
      <w:r w:rsidRPr="003E4776">
        <w:rPr>
          <w:b/>
        </w:rPr>
        <w:t>splátek</w:t>
      </w:r>
      <w:r w:rsidR="00E124D1" w:rsidRPr="003E4776">
        <w:rPr>
          <w:b/>
        </w:rPr>
        <w:t xml:space="preserve"> jistiny</w:t>
      </w:r>
      <w:r w:rsidR="00901D19" w:rsidRPr="003E4776">
        <w:t>.</w:t>
      </w:r>
      <w:r w:rsidRPr="00D61273">
        <w:t xml:space="preserve"> </w:t>
      </w:r>
      <w:r w:rsidR="00005B42" w:rsidRPr="00D61273">
        <w:t xml:space="preserve">Částky představují využitelné finanční prostředky z provozního rozpočtu na investice a větší jmenovité akce </w:t>
      </w:r>
      <w:r w:rsidR="00005B42" w:rsidRPr="00D61273">
        <w:lastRenderedPageBreak/>
        <w:t>charakteru oprav a údržby.</w:t>
      </w:r>
      <w:r w:rsidR="00005B42">
        <w:t xml:space="preserve"> </w:t>
      </w:r>
      <w:r w:rsidR="00522319" w:rsidRPr="00522319">
        <w:t xml:space="preserve">Od </w:t>
      </w:r>
      <w:r w:rsidR="00522319" w:rsidRPr="003E4776">
        <w:t xml:space="preserve">sestaveného SVR (rok </w:t>
      </w:r>
      <w:r w:rsidR="00E77FC3" w:rsidRPr="003E4776">
        <w:t>202</w:t>
      </w:r>
      <w:r w:rsidR="000D35A7" w:rsidRPr="003E4776">
        <w:t>6</w:t>
      </w:r>
      <w:r w:rsidR="00522319" w:rsidRPr="003E4776">
        <w:t xml:space="preserve">) do roku </w:t>
      </w:r>
      <w:r w:rsidR="00E77FC3" w:rsidRPr="003E4776">
        <w:t>2029</w:t>
      </w:r>
      <w:r w:rsidR="00522319" w:rsidRPr="003E4776">
        <w:t xml:space="preserve"> vykazuje provozní přebytek </w:t>
      </w:r>
      <w:r w:rsidR="00E77FC3" w:rsidRPr="003E4776">
        <w:t>růst</w:t>
      </w:r>
      <w:r w:rsidR="00522319" w:rsidRPr="003E4776">
        <w:t xml:space="preserve"> o </w:t>
      </w:r>
      <w:r w:rsidR="000D35A7" w:rsidRPr="003E4776">
        <w:t>4</w:t>
      </w:r>
      <w:r w:rsidR="00E77FC3" w:rsidRPr="003E4776">
        <w:t>2,</w:t>
      </w:r>
      <w:r w:rsidR="000D35A7" w:rsidRPr="003E4776">
        <w:t>0</w:t>
      </w:r>
      <w:r w:rsidR="00522319" w:rsidRPr="003E4776">
        <w:t xml:space="preserve"> mil. Kč.</w:t>
      </w:r>
    </w:p>
    <w:p w14:paraId="00A34227" w14:textId="77777777" w:rsidR="00B01126" w:rsidRPr="007F7EE4" w:rsidRDefault="00B01126" w:rsidP="007F7EE4">
      <w:pPr>
        <w:pStyle w:val="Graf0"/>
      </w:pPr>
      <w:bookmarkStart w:id="99" w:name="_Toc428351161"/>
      <w:bookmarkStart w:id="100" w:name="_Toc428357456"/>
      <w:bookmarkStart w:id="101" w:name="_Toc55981693"/>
      <w:bookmarkStart w:id="102" w:name="_Toc180650300"/>
      <w:r w:rsidRPr="007F7EE4">
        <w:t>Vývoj provozního přebytku</w:t>
      </w:r>
      <w:bookmarkEnd w:id="97"/>
      <w:bookmarkEnd w:id="98"/>
      <w:bookmarkEnd w:id="99"/>
      <w:bookmarkEnd w:id="100"/>
      <w:bookmarkEnd w:id="101"/>
      <w:bookmarkEnd w:id="102"/>
    </w:p>
    <w:p w14:paraId="122D941C" w14:textId="017C06C4" w:rsidR="00B01126" w:rsidRPr="007631EA" w:rsidRDefault="007E7B30" w:rsidP="008C3DB0">
      <w:pPr>
        <w:pStyle w:val="Objekt"/>
      </w:pPr>
      <w:r w:rsidRPr="007E7B30">
        <w:rPr>
          <w:noProof/>
        </w:rPr>
        <w:drawing>
          <wp:inline distT="0" distB="0" distL="0" distR="0" wp14:anchorId="13C8F6C5" wp14:editId="42C82CE2">
            <wp:extent cx="4860925" cy="2105025"/>
            <wp:effectExtent l="0" t="0" r="0" b="9525"/>
            <wp:docPr id="610949300"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860925" cy="2105025"/>
                    </a:xfrm>
                    <a:prstGeom prst="rect">
                      <a:avLst/>
                    </a:prstGeom>
                    <a:noFill/>
                    <a:ln>
                      <a:noFill/>
                    </a:ln>
                  </pic:spPr>
                </pic:pic>
              </a:graphicData>
            </a:graphic>
          </wp:inline>
        </w:drawing>
      </w:r>
    </w:p>
    <w:p w14:paraId="7997A3A7" w14:textId="40E932FF" w:rsidR="00B01126" w:rsidRPr="004D0FAA" w:rsidRDefault="00E124D1" w:rsidP="004D0FAA">
      <w:pPr>
        <w:pStyle w:val="Nadpis3"/>
      </w:pPr>
      <w:r w:rsidRPr="001B58F3">
        <w:rPr>
          <w:rFonts w:ascii="Verdana" w:hAnsi="Verdana"/>
          <w:sz w:val="19"/>
          <w:highlight w:val="cyan"/>
        </w:rPr>
        <mc:AlternateContent>
          <mc:Choice Requires="wps">
            <w:drawing>
              <wp:anchor distT="0" distB="0" distL="114300" distR="114300" simplePos="0" relativeHeight="251671040" behindDoc="0" locked="0" layoutInCell="1" allowOverlap="1" wp14:anchorId="418E5CE9" wp14:editId="22CB9FD2">
                <wp:simplePos x="0" y="0"/>
                <wp:positionH relativeFrom="page">
                  <wp:posOffset>542772</wp:posOffset>
                </wp:positionH>
                <wp:positionV relativeFrom="paragraph">
                  <wp:posOffset>350502</wp:posOffset>
                </wp:positionV>
                <wp:extent cx="1403985" cy="1065985"/>
                <wp:effectExtent l="0" t="0" r="5715" b="1270"/>
                <wp:wrapNone/>
                <wp:docPr id="10"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3985" cy="1065985"/>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2AE934C3" w14:textId="77777777" w:rsidR="0031735E" w:rsidRDefault="0031735E" w:rsidP="00973A21">
                            <w:pPr>
                              <w:spacing w:before="0" w:after="0"/>
                              <w:jc w:val="left"/>
                              <w:rPr>
                                <w:rStyle w:val="Odkaznakoment"/>
                                <w:rFonts w:cstheme="minorHAnsi"/>
                                <w:i/>
                                <w:sz w:val="20"/>
                                <w:szCs w:val="20"/>
                              </w:rPr>
                            </w:pPr>
                            <w:r>
                              <w:rPr>
                                <w:rStyle w:val="Odkaznakoment"/>
                                <w:rFonts w:cstheme="minorHAnsi"/>
                                <w:i/>
                                <w:sz w:val="20"/>
                                <w:szCs w:val="20"/>
                              </w:rPr>
                              <w:t xml:space="preserve">Hodnoty </w:t>
                            </w:r>
                            <w:r w:rsidRPr="00384B67">
                              <w:rPr>
                                <w:rStyle w:val="Odkaznakoment"/>
                                <w:rFonts w:cstheme="minorHAnsi"/>
                                <w:i/>
                                <w:sz w:val="20"/>
                                <w:szCs w:val="20"/>
                              </w:rPr>
                              <w:t xml:space="preserve">ukazatele provozních úspor </w:t>
                            </w:r>
                            <w:r>
                              <w:rPr>
                                <w:rStyle w:val="Odkaznakoment"/>
                                <w:rFonts w:cstheme="minorHAnsi"/>
                                <w:i/>
                                <w:sz w:val="20"/>
                                <w:szCs w:val="20"/>
                              </w:rPr>
                              <w:t>v rozmezí</w:t>
                            </w:r>
                            <w:r w:rsidRPr="00384B67">
                              <w:rPr>
                                <w:rStyle w:val="Odkaznakoment"/>
                                <w:rFonts w:cstheme="minorHAnsi"/>
                                <w:i/>
                                <w:sz w:val="20"/>
                                <w:szCs w:val="20"/>
                              </w:rPr>
                              <w:t xml:space="preserve"> </w:t>
                            </w:r>
                          </w:p>
                          <w:p w14:paraId="393A2E6F" w14:textId="43F57FEC" w:rsidR="00E124D1" w:rsidRPr="000C462D" w:rsidRDefault="00E124D1" w:rsidP="00E124D1">
                            <w:pPr>
                              <w:spacing w:before="0"/>
                              <w:jc w:val="left"/>
                              <w:rPr>
                                <w:rFonts w:cstheme="minorHAnsi"/>
                                <w:b/>
                                <w:i/>
                                <w:color w:val="548DD4" w:themeColor="text2" w:themeTint="99"/>
                                <w:sz w:val="28"/>
                                <w:szCs w:val="28"/>
                              </w:rPr>
                            </w:pPr>
                            <w:r w:rsidRPr="00177E16">
                              <w:rPr>
                                <w:b/>
                                <w:i/>
                                <w:color w:val="548DD4" w:themeColor="text2" w:themeTint="99"/>
                                <w:sz w:val="28"/>
                                <w:szCs w:val="28"/>
                              </w:rPr>
                              <w:t>10,47</w:t>
                            </w:r>
                            <w:r w:rsidRPr="00177E16">
                              <w:rPr>
                                <w:rStyle w:val="Odkaznakoment"/>
                                <w:rFonts w:cstheme="minorHAnsi"/>
                                <w:b/>
                                <w:i/>
                                <w:color w:val="548DD4" w:themeColor="text2" w:themeTint="99"/>
                                <w:sz w:val="28"/>
                                <w:szCs w:val="28"/>
                              </w:rPr>
                              <w:t xml:space="preserve"> % - </w:t>
                            </w:r>
                            <w:r w:rsidR="00177E16">
                              <w:rPr>
                                <w:b/>
                                <w:i/>
                                <w:color w:val="548DD4" w:themeColor="text2" w:themeTint="99"/>
                                <w:sz w:val="28"/>
                                <w:szCs w:val="28"/>
                              </w:rPr>
                              <w:t>12,38</w:t>
                            </w:r>
                            <w:r w:rsidRPr="00177E16">
                              <w:rPr>
                                <w:rStyle w:val="Odkaznakoment"/>
                                <w:rFonts w:cstheme="minorHAnsi"/>
                                <w:b/>
                                <w:i/>
                                <w:color w:val="548DD4" w:themeColor="text2" w:themeTint="99"/>
                                <w:sz w:val="28"/>
                                <w:szCs w:val="28"/>
                              </w:rPr>
                              <w:t xml:space="preserve"> %</w:t>
                            </w:r>
                          </w:p>
                          <w:p w14:paraId="1E22D460" w14:textId="77777777" w:rsidR="00E124D1" w:rsidRPr="000C462D" w:rsidRDefault="00E124D1" w:rsidP="000C462D">
                            <w:pPr>
                              <w:spacing w:before="0"/>
                              <w:jc w:val="left"/>
                              <w:rPr>
                                <w:rFonts w:cstheme="minorHAnsi"/>
                                <w:b/>
                                <w:i/>
                                <w:color w:val="548DD4" w:themeColor="text2" w:themeTint="99"/>
                                <w:sz w:val="28"/>
                                <w:szCs w:val="28"/>
                              </w:rPr>
                            </w:pP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418E5CE9" id="_x0000_s1057" type="#_x0000_t202" style="position:absolute;left:0;text-align:left;margin-left:42.75pt;margin-top:27.6pt;width:110.55pt;height:83.95pt;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" fillcolor="white [3201]" stroked="f" strokeweight=".5pt">
                <v:path arrowok="t"/>
                <v:textbox inset="0,0,0,0">
                  <w:txbxContent>
                    <w:p w14:paraId="2AE934C3" w14:textId="77777777" w:rsidR="0031735E" w:rsidRDefault="0031735E" w:rsidP="00973A21">
                      <w:pPr>
                        <w:spacing w:before="0" w:after="0"/>
                        <w:jc w:val="left"/>
                        <w:rPr>
                          <w:rStyle w:val="Odkaznakoment"/>
                          <w:rFonts w:cstheme="minorHAnsi"/>
                          <w:i/>
                          <w:sz w:val="20"/>
                          <w:szCs w:val="20"/>
                        </w:rPr>
                      </w:pPr>
                      <w:r>
                        <w:rPr>
                          <w:rStyle w:val="Odkaznakoment"/>
                          <w:rFonts w:cstheme="minorHAnsi"/>
                          <w:i/>
                          <w:sz w:val="20"/>
                          <w:szCs w:val="20"/>
                        </w:rPr>
                        <w:t xml:space="preserve">Hodnoty </w:t>
                      </w:r>
                      <w:r w:rsidRPr="00384B67">
                        <w:rPr>
                          <w:rStyle w:val="Odkaznakoment"/>
                          <w:rFonts w:cstheme="minorHAnsi"/>
                          <w:i/>
                          <w:sz w:val="20"/>
                          <w:szCs w:val="20"/>
                        </w:rPr>
                        <w:t xml:space="preserve">ukazatele provozních úspor </w:t>
                      </w:r>
                      <w:r>
                        <w:rPr>
                          <w:rStyle w:val="Odkaznakoment"/>
                          <w:rFonts w:cstheme="minorHAnsi"/>
                          <w:i/>
                          <w:sz w:val="20"/>
                          <w:szCs w:val="20"/>
                        </w:rPr>
                        <w:t>v rozmezí</w:t>
                      </w:r>
                      <w:r w:rsidRPr="00384B67">
                        <w:rPr>
                          <w:rStyle w:val="Odkaznakoment"/>
                          <w:rFonts w:cstheme="minorHAnsi"/>
                          <w:i/>
                          <w:sz w:val="20"/>
                          <w:szCs w:val="20"/>
                        </w:rPr>
                        <w:t xml:space="preserve"> </w:t>
                      </w:r>
                    </w:p>
                    <w:p w14:paraId="393A2E6F" w14:textId="43F57FEC" w:rsidR="00E124D1" w:rsidRPr="000C462D" w:rsidRDefault="00E124D1" w:rsidP="00E124D1">
                      <w:pPr>
                        <w:spacing w:before="0"/>
                        <w:jc w:val="left"/>
                        <w:rPr>
                          <w:rFonts w:cstheme="minorHAnsi"/>
                          <w:b/>
                          <w:i/>
                          <w:color w:val="548DD4" w:themeColor="text2" w:themeTint="99"/>
                          <w:sz w:val="28"/>
                          <w:szCs w:val="28"/>
                        </w:rPr>
                      </w:pPr>
                      <w:r w:rsidRPr="00177E16">
                        <w:rPr>
                          <w:b/>
                          <w:i/>
                          <w:color w:val="548DD4" w:themeColor="text2" w:themeTint="99"/>
                          <w:sz w:val="28"/>
                          <w:szCs w:val="28"/>
                        </w:rPr>
                        <w:t>10,47</w:t>
                      </w:r>
                      <w:r w:rsidRPr="00177E16">
                        <w:rPr>
                          <w:rStyle w:val="Odkaznakoment"/>
                          <w:rFonts w:cstheme="minorHAnsi"/>
                          <w:b/>
                          <w:i/>
                          <w:color w:val="548DD4" w:themeColor="text2" w:themeTint="99"/>
                          <w:sz w:val="28"/>
                          <w:szCs w:val="28"/>
                        </w:rPr>
                        <w:t xml:space="preserve"> % - </w:t>
                      </w:r>
                      <w:r w:rsidR="00177E16">
                        <w:rPr>
                          <w:b/>
                          <w:i/>
                          <w:color w:val="548DD4" w:themeColor="text2" w:themeTint="99"/>
                          <w:sz w:val="28"/>
                          <w:szCs w:val="28"/>
                        </w:rPr>
                        <w:t>12,38</w:t>
                      </w:r>
                      <w:r w:rsidRPr="00177E16">
                        <w:rPr>
                          <w:rStyle w:val="Odkaznakoment"/>
                          <w:rFonts w:cstheme="minorHAnsi"/>
                          <w:b/>
                          <w:i/>
                          <w:color w:val="548DD4" w:themeColor="text2" w:themeTint="99"/>
                          <w:sz w:val="28"/>
                          <w:szCs w:val="28"/>
                        </w:rPr>
                        <w:t xml:space="preserve"> %</w:t>
                      </w:r>
                    </w:p>
                    <w:p w14:paraId="1E22D460" w14:textId="77777777" w:rsidR="00E124D1" w:rsidRPr="000C462D" w:rsidRDefault="00E124D1" w:rsidP="000C462D">
                      <w:pPr>
                        <w:spacing w:before="0"/>
                        <w:jc w:val="left"/>
                        <w:rPr>
                          <w:rFonts w:cstheme="minorHAnsi"/>
                          <w:b/>
                          <w:i/>
                          <w:color w:val="548DD4" w:themeColor="text2" w:themeTint="99"/>
                          <w:sz w:val="28"/>
                          <w:szCs w:val="28"/>
                        </w:rPr>
                      </w:pPr>
                    </w:p>
                  </w:txbxContent>
                </v:textbox>
                <w10:wrap anchorx="page"/>
              </v:shape>
            </w:pict>
          </mc:Fallback>
        </mc:AlternateContent>
      </w:r>
      <w:r w:rsidR="00CC7940" w:rsidRPr="004D0FAA">
        <w:t>Ukazatel</w:t>
      </w:r>
      <w:r w:rsidR="00B01126" w:rsidRPr="004D0FAA">
        <w:t xml:space="preserve"> provozních úspor</w:t>
      </w:r>
    </w:p>
    <w:p w14:paraId="496E2CD3" w14:textId="61950F4A" w:rsidR="00B01126" w:rsidRPr="00901D19" w:rsidRDefault="00B01126" w:rsidP="00993408">
      <w:r w:rsidRPr="00901D19">
        <w:t xml:space="preserve">Ukazatel provozních úspor je definován jako podíl provozního přebytku a běžných </w:t>
      </w:r>
      <w:r w:rsidRPr="00922ADB">
        <w:t>příjmů</w:t>
      </w:r>
      <w:r w:rsidR="00922ADB" w:rsidRPr="00922ADB">
        <w:t xml:space="preserve"> a vyjadřuje, jaká část provozních prostředků může být </w:t>
      </w:r>
      <w:r w:rsidR="00922ADB" w:rsidRPr="00EC1E87">
        <w:t>využita na krytí investičních záměrů města.</w:t>
      </w:r>
      <w:r w:rsidRPr="00EC1E87">
        <w:t xml:space="preserve"> Ve výhledovém období oba zmíněné ukazatele každoročně rostou, přičemž </w:t>
      </w:r>
      <w:r w:rsidR="009C4B38" w:rsidRPr="00EC1E87">
        <w:t>provozní přebytek</w:t>
      </w:r>
      <w:r w:rsidR="00CC7940" w:rsidRPr="00EC1E87">
        <w:t xml:space="preserve"> rost</w:t>
      </w:r>
      <w:r w:rsidR="009C4B38" w:rsidRPr="00EC1E87">
        <w:t>e</w:t>
      </w:r>
      <w:r w:rsidR="00CC7940" w:rsidRPr="00EC1E87">
        <w:t xml:space="preserve"> </w:t>
      </w:r>
      <w:r w:rsidRPr="00EC1E87">
        <w:t xml:space="preserve">rychlejším tempem. </w:t>
      </w:r>
      <w:r w:rsidR="00CC7940" w:rsidRPr="00EC1E87">
        <w:t>Hodnota ukazatele</w:t>
      </w:r>
      <w:r w:rsidRPr="00901D19">
        <w:t xml:space="preserve"> </w:t>
      </w:r>
      <w:r w:rsidR="00B51330">
        <w:t xml:space="preserve">provozních </w:t>
      </w:r>
      <w:r w:rsidR="00B51330" w:rsidRPr="00EC1E87">
        <w:t xml:space="preserve">úspor </w:t>
      </w:r>
      <w:r w:rsidRPr="00EC1E87">
        <w:t xml:space="preserve">upraveného rozpočtu na aktuální kalendářní rok dosahuje hodnoty </w:t>
      </w:r>
      <w:r w:rsidR="00E77FC3" w:rsidRPr="00EC1E87">
        <w:t>6,83</w:t>
      </w:r>
      <w:r w:rsidR="00A019C7" w:rsidRPr="00EC1E87">
        <w:t xml:space="preserve"> </w:t>
      </w:r>
      <w:r w:rsidRPr="00EC1E87">
        <w:t xml:space="preserve">% a vzhledem k výše zmíněnému dochází k postupnému mírnému zvyšování ukazatele až na hodnotu </w:t>
      </w:r>
      <w:r w:rsidR="00E77FC3" w:rsidRPr="00EC1E87">
        <w:t>12,38</w:t>
      </w:r>
      <w:r w:rsidR="004F3F67" w:rsidRPr="00EC1E87">
        <w:t xml:space="preserve"> </w:t>
      </w:r>
      <w:r w:rsidRPr="00EC1E87">
        <w:t>% v</w:t>
      </w:r>
      <w:r w:rsidR="004F3F67" w:rsidRPr="00EC1E87">
        <w:t> </w:t>
      </w:r>
      <w:r w:rsidRPr="00EC1E87">
        <w:t>roce</w:t>
      </w:r>
      <w:r w:rsidR="004F3F67" w:rsidRPr="00EC1E87">
        <w:t xml:space="preserve"> </w:t>
      </w:r>
      <w:r w:rsidR="00E77FC3" w:rsidRPr="00EC1E87">
        <w:t>2029</w:t>
      </w:r>
      <w:r w:rsidRPr="00EC1E87">
        <w:t xml:space="preserve">. </w:t>
      </w:r>
      <w:r w:rsidR="00522319" w:rsidRPr="00EC1E87">
        <w:t>Uvedená hodnota představuje opro</w:t>
      </w:r>
      <w:r w:rsidR="00522319" w:rsidRPr="000D35A7">
        <w:t xml:space="preserve">ti </w:t>
      </w:r>
      <w:r w:rsidR="00522319" w:rsidRPr="00177E16">
        <w:t xml:space="preserve">roku </w:t>
      </w:r>
      <w:r w:rsidR="00E124D1" w:rsidRPr="00177E16">
        <w:t xml:space="preserve">2026 </w:t>
      </w:r>
      <w:r w:rsidR="000D35A7" w:rsidRPr="00177E16">
        <w:t>růst</w:t>
      </w:r>
      <w:r w:rsidR="00E124D1" w:rsidRPr="00177E16">
        <w:t xml:space="preserve"> o </w:t>
      </w:r>
      <w:proofErr w:type="gramStart"/>
      <w:r w:rsidR="000D35A7" w:rsidRPr="00177E16">
        <w:t>1</w:t>
      </w:r>
      <w:r w:rsidR="00E124D1" w:rsidRPr="00177E16">
        <w:t>,</w:t>
      </w:r>
      <w:r w:rsidR="000D35A7" w:rsidRPr="00177E16">
        <w:t>9</w:t>
      </w:r>
      <w:r w:rsidR="00E124D1" w:rsidRPr="00177E16">
        <w:t xml:space="preserve"> </w:t>
      </w:r>
      <w:r w:rsidR="00522319" w:rsidRPr="00177E16">
        <w:t>procentního</w:t>
      </w:r>
      <w:proofErr w:type="gramEnd"/>
      <w:r w:rsidR="00522319" w:rsidRPr="00177E16">
        <w:t xml:space="preserve"> bodu. </w:t>
      </w:r>
      <w:r w:rsidR="00846D3C" w:rsidRPr="00177E16">
        <w:t>Hodnota ukaz</w:t>
      </w:r>
      <w:r w:rsidR="00846D3C" w:rsidRPr="00EC1E87">
        <w:t>atele se tak pohybuje nad minimální úrovní (10 %).</w:t>
      </w:r>
    </w:p>
    <w:p w14:paraId="22BA7325" w14:textId="77777777" w:rsidR="00B01126" w:rsidRPr="00EC1E87" w:rsidRDefault="00B01126" w:rsidP="007F7EE4">
      <w:pPr>
        <w:pStyle w:val="Graf0"/>
      </w:pPr>
      <w:bookmarkStart w:id="103" w:name="_Toc365274611"/>
      <w:bookmarkStart w:id="104" w:name="_Toc368988396"/>
      <w:bookmarkStart w:id="105" w:name="_Toc428351162"/>
      <w:bookmarkStart w:id="106" w:name="_Toc428357457"/>
      <w:bookmarkStart w:id="107" w:name="_Toc55981694"/>
      <w:bookmarkStart w:id="108" w:name="_Toc180650301"/>
      <w:r w:rsidRPr="007F7EE4">
        <w:t xml:space="preserve">Vývoj </w:t>
      </w:r>
      <w:r w:rsidR="00CC7940" w:rsidRPr="007F7EE4">
        <w:t>ukazatele</w:t>
      </w:r>
      <w:r w:rsidRPr="007F7EE4">
        <w:t xml:space="preserve"> </w:t>
      </w:r>
      <w:r w:rsidRPr="00EC1E87">
        <w:t>provozních úspor</w:t>
      </w:r>
      <w:bookmarkEnd w:id="103"/>
      <w:bookmarkEnd w:id="104"/>
      <w:bookmarkEnd w:id="105"/>
      <w:bookmarkEnd w:id="106"/>
      <w:bookmarkEnd w:id="107"/>
      <w:bookmarkEnd w:id="108"/>
    </w:p>
    <w:p w14:paraId="65E019C5" w14:textId="115E899B" w:rsidR="00B01126" w:rsidRPr="00EC1E87" w:rsidRDefault="007E7B30" w:rsidP="005A4747">
      <w:pPr>
        <w:pStyle w:val="Objekt"/>
      </w:pPr>
      <w:r w:rsidRPr="007E7B30">
        <w:rPr>
          <w:noProof/>
        </w:rPr>
        <w:drawing>
          <wp:inline distT="0" distB="0" distL="0" distR="0" wp14:anchorId="2F57CC0C" wp14:editId="2EA9F83D">
            <wp:extent cx="4860925" cy="2010410"/>
            <wp:effectExtent l="0" t="0" r="0" b="0"/>
            <wp:docPr id="627235978" name="Obráze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860925" cy="2010410"/>
                    </a:xfrm>
                    <a:prstGeom prst="rect">
                      <a:avLst/>
                    </a:prstGeom>
                    <a:noFill/>
                    <a:ln>
                      <a:noFill/>
                    </a:ln>
                  </pic:spPr>
                </pic:pic>
              </a:graphicData>
            </a:graphic>
          </wp:inline>
        </w:drawing>
      </w:r>
    </w:p>
    <w:p w14:paraId="614997C5" w14:textId="77777777" w:rsidR="00B01126" w:rsidRPr="009C4B38" w:rsidRDefault="00B01126" w:rsidP="00993408">
      <w:pPr>
        <w:pStyle w:val="Nadpis2"/>
      </w:pPr>
      <w:bookmarkStart w:id="109" w:name="_Toc62211724"/>
      <w:bookmarkStart w:id="110" w:name="_Toc180650325"/>
      <w:bookmarkStart w:id="111" w:name="_Toc365274612"/>
      <w:bookmarkStart w:id="112" w:name="_Toc368988393"/>
      <w:bookmarkStart w:id="113" w:name="_Toc428351159"/>
      <w:bookmarkStart w:id="114" w:name="_Toc428357454"/>
      <w:bookmarkStart w:id="115" w:name="_Toc55981691"/>
      <w:r w:rsidRPr="009C4B38">
        <w:t>Kapitálové hospodaření výhledového období</w:t>
      </w:r>
      <w:bookmarkEnd w:id="109"/>
      <w:bookmarkEnd w:id="110"/>
    </w:p>
    <w:p w14:paraId="5F504E69" w14:textId="02A25A8D" w:rsidR="0083383E" w:rsidRPr="007A116F" w:rsidRDefault="004C28B2" w:rsidP="008A1E30">
      <w:r w:rsidRPr="00015CB0">
        <w:rPr>
          <w:rFonts w:ascii="Verdana" w:hAnsi="Verdana"/>
          <w:noProof/>
          <w:sz w:val="19"/>
          <w:lang w:eastAsia="cs-CZ"/>
        </w:rPr>
        <mc:AlternateContent>
          <mc:Choice Requires="wps">
            <w:drawing>
              <wp:anchor distT="0" distB="0" distL="114300" distR="114300" simplePos="0" relativeHeight="251640832" behindDoc="0" locked="0" layoutInCell="1" allowOverlap="1" wp14:anchorId="5A4822A1" wp14:editId="4CDE568A">
                <wp:simplePos x="0" y="0"/>
                <wp:positionH relativeFrom="page">
                  <wp:posOffset>541655</wp:posOffset>
                </wp:positionH>
                <wp:positionV relativeFrom="paragraph">
                  <wp:posOffset>0</wp:posOffset>
                </wp:positionV>
                <wp:extent cx="1404000" cy="723600"/>
                <wp:effectExtent l="0" t="0" r="5715" b="635"/>
                <wp:wrapNone/>
                <wp:docPr id="735"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72360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183FFBFD" w14:textId="57E74E4D" w:rsidR="0031735E" w:rsidRDefault="000D35A7" w:rsidP="004C28B2">
                            <w:pPr>
                              <w:spacing w:before="0" w:after="0"/>
                              <w:jc w:val="left"/>
                              <w:rPr>
                                <w:rStyle w:val="Odkaznakoment"/>
                                <w:rFonts w:cstheme="minorHAnsi"/>
                                <w:i/>
                                <w:sz w:val="20"/>
                                <w:szCs w:val="20"/>
                              </w:rPr>
                            </w:pPr>
                            <w:r>
                              <w:rPr>
                                <w:rStyle w:val="Odkaznakoment"/>
                                <w:rFonts w:cstheme="minorHAnsi"/>
                                <w:i/>
                                <w:sz w:val="20"/>
                                <w:szCs w:val="20"/>
                              </w:rPr>
                              <w:t>N</w:t>
                            </w:r>
                            <w:r w:rsidR="0031735E">
                              <w:rPr>
                                <w:rStyle w:val="Odkaznakoment"/>
                                <w:rFonts w:cstheme="minorHAnsi"/>
                                <w:i/>
                                <w:sz w:val="20"/>
                                <w:szCs w:val="20"/>
                              </w:rPr>
                              <w:t>R počítá</w:t>
                            </w:r>
                            <w:r w:rsidR="00F40EF1">
                              <w:rPr>
                                <w:rStyle w:val="Odkaznakoment"/>
                                <w:rFonts w:cstheme="minorHAnsi"/>
                                <w:i/>
                                <w:sz w:val="20"/>
                                <w:szCs w:val="20"/>
                              </w:rPr>
                              <w:t xml:space="preserve"> v roce 2025</w:t>
                            </w:r>
                            <w:r w:rsidR="0031735E">
                              <w:rPr>
                                <w:rStyle w:val="Odkaznakoment"/>
                                <w:rFonts w:cstheme="minorHAnsi"/>
                                <w:i/>
                                <w:sz w:val="20"/>
                                <w:szCs w:val="20"/>
                              </w:rPr>
                              <w:t xml:space="preserve"> s investicemi v celkové výši</w:t>
                            </w:r>
                          </w:p>
                          <w:p w14:paraId="69B2E988" w14:textId="3F8F59EB" w:rsidR="0031735E" w:rsidRPr="00846D3C" w:rsidRDefault="000D35A7" w:rsidP="00846D3C">
                            <w:pPr>
                              <w:spacing w:before="0"/>
                              <w:jc w:val="left"/>
                              <w:rPr>
                                <w:rFonts w:cstheme="minorHAnsi"/>
                                <w:b/>
                                <w:i/>
                                <w:color w:val="548DD4" w:themeColor="text2" w:themeTint="99"/>
                                <w:sz w:val="28"/>
                                <w:szCs w:val="28"/>
                              </w:rPr>
                            </w:pPr>
                            <w:r w:rsidRPr="00606A5A">
                              <w:rPr>
                                <w:b/>
                                <w:i/>
                                <w:color w:val="548DD4" w:themeColor="text2" w:themeTint="99"/>
                                <w:sz w:val="28"/>
                                <w:szCs w:val="28"/>
                              </w:rPr>
                              <w:t>240</w:t>
                            </w:r>
                            <w:r w:rsidR="00E77FC3" w:rsidRPr="00606A5A">
                              <w:rPr>
                                <w:b/>
                                <w:i/>
                                <w:color w:val="548DD4" w:themeColor="text2" w:themeTint="99"/>
                                <w:sz w:val="28"/>
                                <w:szCs w:val="28"/>
                              </w:rPr>
                              <w:t>,</w:t>
                            </w:r>
                            <w:r w:rsidRPr="00606A5A">
                              <w:rPr>
                                <w:b/>
                                <w:i/>
                                <w:color w:val="548DD4" w:themeColor="text2" w:themeTint="99"/>
                                <w:sz w:val="28"/>
                                <w:szCs w:val="28"/>
                              </w:rPr>
                              <w:t>0</w:t>
                            </w:r>
                            <w:r w:rsidR="0031735E" w:rsidRPr="00606A5A">
                              <w:rPr>
                                <w:rStyle w:val="Odkaznakoment"/>
                                <w:rFonts w:cstheme="minorHAnsi"/>
                                <w:b/>
                                <w:i/>
                                <w:color w:val="548DD4" w:themeColor="text2" w:themeTint="99"/>
                                <w:sz w:val="28"/>
                                <w:szCs w:val="28"/>
                              </w:rPr>
                              <w:t xml:space="preserve"> mil. Kč</w:t>
                            </w:r>
                            <w:r w:rsidR="0031735E" w:rsidRPr="00846D3C">
                              <w:rPr>
                                <w:rStyle w:val="Odkaznakoment"/>
                                <w:rFonts w:cstheme="minorHAnsi"/>
                                <w:b/>
                                <w:i/>
                                <w:color w:val="548DD4" w:themeColor="text2" w:themeTint="99"/>
                                <w:sz w:val="28"/>
                                <w:szCs w:val="28"/>
                              </w:rPr>
                              <w:t xml:space="preserve"> </w:t>
                            </w:r>
                          </w:p>
                          <w:p w14:paraId="0FB5F155" w14:textId="77777777" w:rsidR="0031735E" w:rsidRPr="001B58F3" w:rsidRDefault="0031735E" w:rsidP="00E03088">
                            <w:pPr>
                              <w:spacing w:after="0"/>
                              <w:jc w:val="left"/>
                              <w:rPr>
                                <w:rFonts w:cstheme="minorHAnsi"/>
                                <w:i/>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5A4822A1" id="_x0000_s1058" type="#_x0000_t202" style="position:absolute;left:0;text-align:left;margin-left:42.65pt;margin-top:0;width:110.55pt;height:57pt;z-index:251640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" fillcolor="white [3201]" stroked="f" strokeweight=".5pt">
                <v:path arrowok="t"/>
                <v:textbox inset="0,0,0,0">
                  <w:txbxContent>
                    <w:p w14:paraId="183FFBFD" w14:textId="57E74E4D" w:rsidR="0031735E" w:rsidRDefault="000D35A7" w:rsidP="004C28B2">
                      <w:pPr>
                        <w:spacing w:before="0" w:after="0"/>
                        <w:jc w:val="left"/>
                        <w:rPr>
                          <w:rStyle w:val="Odkaznakoment"/>
                          <w:rFonts w:cstheme="minorHAnsi"/>
                          <w:i/>
                          <w:sz w:val="20"/>
                          <w:szCs w:val="20"/>
                        </w:rPr>
                      </w:pPr>
                      <w:r>
                        <w:rPr>
                          <w:rStyle w:val="Odkaznakoment"/>
                          <w:rFonts w:cstheme="minorHAnsi"/>
                          <w:i/>
                          <w:sz w:val="20"/>
                          <w:szCs w:val="20"/>
                        </w:rPr>
                        <w:t>N</w:t>
                      </w:r>
                      <w:r w:rsidR="0031735E">
                        <w:rPr>
                          <w:rStyle w:val="Odkaznakoment"/>
                          <w:rFonts w:cstheme="minorHAnsi"/>
                          <w:i/>
                          <w:sz w:val="20"/>
                          <w:szCs w:val="20"/>
                        </w:rPr>
                        <w:t>R počítá</w:t>
                      </w:r>
                      <w:r w:rsidR="00F40EF1">
                        <w:rPr>
                          <w:rStyle w:val="Odkaznakoment"/>
                          <w:rFonts w:cstheme="minorHAnsi"/>
                          <w:i/>
                          <w:sz w:val="20"/>
                          <w:szCs w:val="20"/>
                        </w:rPr>
                        <w:t xml:space="preserve"> v roce 2025</w:t>
                      </w:r>
                      <w:r w:rsidR="0031735E">
                        <w:rPr>
                          <w:rStyle w:val="Odkaznakoment"/>
                          <w:rFonts w:cstheme="minorHAnsi"/>
                          <w:i/>
                          <w:sz w:val="20"/>
                          <w:szCs w:val="20"/>
                        </w:rPr>
                        <w:t xml:space="preserve"> s investicemi v celkové výši</w:t>
                      </w:r>
                    </w:p>
                    <w:p w14:paraId="69B2E988" w14:textId="3F8F59EB" w:rsidR="0031735E" w:rsidRPr="00846D3C" w:rsidRDefault="000D35A7" w:rsidP="00846D3C">
                      <w:pPr>
                        <w:spacing w:before="0"/>
                        <w:jc w:val="left"/>
                        <w:rPr>
                          <w:rFonts w:cstheme="minorHAnsi"/>
                          <w:b/>
                          <w:i/>
                          <w:color w:val="548DD4" w:themeColor="text2" w:themeTint="99"/>
                          <w:sz w:val="28"/>
                          <w:szCs w:val="28"/>
                        </w:rPr>
                      </w:pPr>
                      <w:r w:rsidRPr="00606A5A">
                        <w:rPr>
                          <w:b/>
                          <w:i/>
                          <w:color w:val="548DD4" w:themeColor="text2" w:themeTint="99"/>
                          <w:sz w:val="28"/>
                          <w:szCs w:val="28"/>
                        </w:rPr>
                        <w:t>240</w:t>
                      </w:r>
                      <w:r w:rsidR="00E77FC3" w:rsidRPr="00606A5A">
                        <w:rPr>
                          <w:b/>
                          <w:i/>
                          <w:color w:val="548DD4" w:themeColor="text2" w:themeTint="99"/>
                          <w:sz w:val="28"/>
                          <w:szCs w:val="28"/>
                        </w:rPr>
                        <w:t>,</w:t>
                      </w:r>
                      <w:r w:rsidRPr="00606A5A">
                        <w:rPr>
                          <w:b/>
                          <w:i/>
                          <w:color w:val="548DD4" w:themeColor="text2" w:themeTint="99"/>
                          <w:sz w:val="28"/>
                          <w:szCs w:val="28"/>
                        </w:rPr>
                        <w:t>0</w:t>
                      </w:r>
                      <w:r w:rsidR="0031735E" w:rsidRPr="00606A5A">
                        <w:rPr>
                          <w:rStyle w:val="Odkaznakoment"/>
                          <w:rFonts w:cstheme="minorHAnsi"/>
                          <w:b/>
                          <w:i/>
                          <w:color w:val="548DD4" w:themeColor="text2" w:themeTint="99"/>
                          <w:sz w:val="28"/>
                          <w:szCs w:val="28"/>
                        </w:rPr>
                        <w:t xml:space="preserve"> mil. Kč</w:t>
                      </w:r>
                      <w:r w:rsidR="0031735E" w:rsidRPr="00846D3C">
                        <w:rPr>
                          <w:rStyle w:val="Odkaznakoment"/>
                          <w:rFonts w:cstheme="minorHAnsi"/>
                          <w:b/>
                          <w:i/>
                          <w:color w:val="548DD4" w:themeColor="text2" w:themeTint="99"/>
                          <w:sz w:val="28"/>
                          <w:szCs w:val="28"/>
                        </w:rPr>
                        <w:t xml:space="preserve"> </w:t>
                      </w:r>
                    </w:p>
                    <w:p w14:paraId="0FB5F155" w14:textId="77777777" w:rsidR="0031735E" w:rsidRPr="001B58F3" w:rsidRDefault="0031735E" w:rsidP="00E03088">
                      <w:pPr>
                        <w:spacing w:after="0"/>
                        <w:jc w:val="left"/>
                        <w:rPr>
                          <w:rFonts w:cstheme="minorHAnsi"/>
                          <w:i/>
                          <w:sz w:val="20"/>
                          <w:szCs w:val="20"/>
                        </w:rPr>
                      </w:pPr>
                    </w:p>
                  </w:txbxContent>
                </v:textbox>
                <w10:wrap anchorx="page"/>
              </v:shape>
            </w:pict>
          </mc:Fallback>
        </mc:AlternateContent>
      </w:r>
      <w:r w:rsidR="0083383E" w:rsidRPr="00015CB0">
        <w:t xml:space="preserve">V období </w:t>
      </w:r>
      <w:r w:rsidR="0083383E" w:rsidRPr="00EC1E87">
        <w:t xml:space="preserve">střednědobého výhledu </w:t>
      </w:r>
      <w:r w:rsidR="0083383E" w:rsidRPr="00177E16">
        <w:t xml:space="preserve">rozpočtu </w:t>
      </w:r>
      <w:proofErr w:type="gramStart"/>
      <w:r w:rsidR="000D35A7" w:rsidRPr="00177E16">
        <w:t>2026</w:t>
      </w:r>
      <w:r w:rsidR="00E77FC3" w:rsidRPr="00177E16">
        <w:t>- 2029</w:t>
      </w:r>
      <w:proofErr w:type="gramEnd"/>
      <w:r w:rsidR="0083383E" w:rsidRPr="00177E16">
        <w:t xml:space="preserve"> se počítá s prodejem pozemků a ostatního DHM v celkové výši </w:t>
      </w:r>
      <w:r w:rsidR="000D35A7" w:rsidRPr="00177E16">
        <w:t>28,8</w:t>
      </w:r>
      <w:r w:rsidR="00606A5A">
        <w:t xml:space="preserve"> </w:t>
      </w:r>
      <w:r w:rsidR="00015CB0" w:rsidRPr="00177E16">
        <w:t>mil</w:t>
      </w:r>
      <w:r w:rsidR="00015CB0" w:rsidRPr="00EC1E87">
        <w:t>. Kč</w:t>
      </w:r>
      <w:r w:rsidR="00EC1E87" w:rsidRPr="00EC1E87">
        <w:t xml:space="preserve"> rozložených konstantně</w:t>
      </w:r>
      <w:r w:rsidR="00015CB0" w:rsidRPr="00EC1E87">
        <w:t xml:space="preserve"> </w:t>
      </w:r>
      <w:r w:rsidR="00EC1E87" w:rsidRPr="00EC1E87">
        <w:t xml:space="preserve">v objemu </w:t>
      </w:r>
      <w:r w:rsidR="00E77FC3" w:rsidRPr="00EC1E87">
        <w:t>7,2</w:t>
      </w:r>
      <w:r w:rsidR="0083383E" w:rsidRPr="00EC1E87">
        <w:t xml:space="preserve"> mil.</w:t>
      </w:r>
      <w:r w:rsidR="003D4311">
        <w:t xml:space="preserve"> </w:t>
      </w:r>
      <w:r w:rsidR="00EC1E87" w:rsidRPr="00EC1E87">
        <w:t>Kč</w:t>
      </w:r>
      <w:r w:rsidR="00015CB0" w:rsidRPr="00EC1E87">
        <w:t xml:space="preserve"> ročně.</w:t>
      </w:r>
      <w:r w:rsidR="0083383E" w:rsidRPr="00EC1E87">
        <w:t xml:space="preserve"> Případný další prodej dlouhodobého majetku bude odvislý od investiční aktivity města v jednotlivých letech výhledu</w:t>
      </w:r>
      <w:r w:rsidR="007A116F" w:rsidRPr="00EC1E87">
        <w:t>.</w:t>
      </w:r>
    </w:p>
    <w:p w14:paraId="40C9A5A4" w14:textId="1AFAC120" w:rsidR="001C2FC6" w:rsidRPr="007F7EE4" w:rsidRDefault="00EC1E87" w:rsidP="003D4311">
      <w:r w:rsidRPr="003D4311">
        <w:lastRenderedPageBreak/>
        <w:t>V návrhu rozpočtu na rok 2025 jsou pláno</w:t>
      </w:r>
      <w:r w:rsidRPr="00177E16">
        <w:t xml:space="preserve">vány investiční akce ve výši </w:t>
      </w:r>
      <w:r w:rsidR="00177E16" w:rsidRPr="00177E16">
        <w:t>2</w:t>
      </w:r>
      <w:r w:rsidR="00796EFD" w:rsidRPr="00177E16">
        <w:t>40,0</w:t>
      </w:r>
      <w:r w:rsidRPr="00177E16">
        <w:t xml:space="preserve"> mil. Kč. Vzhledem k </w:t>
      </w:r>
      <w:r w:rsidR="00177E16">
        <w:t>plánovanému</w:t>
      </w:r>
      <w:r w:rsidRPr="00177E16">
        <w:t xml:space="preserve"> charakteru investic nejsou </w:t>
      </w:r>
      <w:r w:rsidR="00177E16">
        <w:t>evidovány</w:t>
      </w:r>
      <w:r w:rsidRPr="00177E16">
        <w:t xml:space="preserve"> investiční transfery. Výše </w:t>
      </w:r>
      <w:r w:rsidRPr="003D4311">
        <w:t>transferů ovšem může být negativně ovlivněna změnami vyplývajícími z konsolidačního balíčku.</w:t>
      </w:r>
      <w:r w:rsidRPr="00C33D41">
        <w:t xml:space="preserve"> </w:t>
      </w:r>
      <w:r w:rsidR="003D4311">
        <w:t xml:space="preserve">V období let </w:t>
      </w:r>
      <w:proofErr w:type="gramStart"/>
      <w:r w:rsidR="003D4311">
        <w:t>2026 – 2029</w:t>
      </w:r>
      <w:proofErr w:type="gramEnd"/>
      <w:r w:rsidR="003D4311">
        <w:t xml:space="preserve"> nejsou v tomto dokumentu plánovány žádné další investiční akce.</w:t>
      </w:r>
      <w:r w:rsidR="000D3122" w:rsidRPr="000D3122">
        <w:rPr>
          <w:highlight w:val="yellow"/>
        </w:rPr>
        <w:t xml:space="preserve"> </w:t>
      </w:r>
    </w:p>
    <w:p w14:paraId="12E46A69" w14:textId="3DED80F1" w:rsidR="00B01126" w:rsidRPr="00364D6D" w:rsidRDefault="00B01126" w:rsidP="00993408">
      <w:pPr>
        <w:pStyle w:val="Nadpis2"/>
      </w:pPr>
      <w:bookmarkStart w:id="116" w:name="_Toc62211725"/>
      <w:bookmarkStart w:id="117" w:name="_Toc180650326"/>
      <w:r w:rsidRPr="00364D6D">
        <w:t>Celkové hospodaření výhledového období</w:t>
      </w:r>
      <w:bookmarkEnd w:id="116"/>
      <w:bookmarkEnd w:id="117"/>
    </w:p>
    <w:p w14:paraId="5FD2EBD9" w14:textId="1BAD0437" w:rsidR="001768B6" w:rsidRPr="003D4311" w:rsidRDefault="001768B6" w:rsidP="001768B6">
      <w:r w:rsidRPr="00364D6D">
        <w:t xml:space="preserve">Výsledek hospodaření zobrazuje celkové saldo rozpočtového hospodaření bez započítání položek financování (bez splátek jistin a případně přijatých úvěrů v jednotlivých letech). Hodnota údaje „Saldo bez financování“ vyjadřuje hodnotu finančních prostředků, které městu zůstávají na případnou úhradu svých </w:t>
      </w:r>
      <w:r w:rsidRPr="003D4311">
        <w:t>závazků a investice. Od roku 202</w:t>
      </w:r>
      <w:r w:rsidR="00F40EF1">
        <w:t>6</w:t>
      </w:r>
      <w:r w:rsidRPr="003D4311">
        <w:t xml:space="preserve"> do konce období výhledu nabývá kladných hodnot a meziročně roste.</w:t>
      </w:r>
    </w:p>
    <w:p w14:paraId="39AEDC64" w14:textId="77777777" w:rsidR="00B01126" w:rsidRPr="003D4311" w:rsidRDefault="00B01126" w:rsidP="007F7EE4">
      <w:pPr>
        <w:pStyle w:val="Graf0"/>
      </w:pPr>
      <w:bookmarkStart w:id="118" w:name="_Toc180650302"/>
      <w:r w:rsidRPr="003D4311">
        <w:t>Vývoj salda hospodaření</w:t>
      </w:r>
      <w:bookmarkEnd w:id="111"/>
      <w:bookmarkEnd w:id="112"/>
      <w:bookmarkEnd w:id="113"/>
      <w:bookmarkEnd w:id="114"/>
      <w:bookmarkEnd w:id="115"/>
      <w:bookmarkEnd w:id="118"/>
    </w:p>
    <w:p w14:paraId="0449CC23" w14:textId="1B88E7CF" w:rsidR="00B01126" w:rsidRPr="003D4311" w:rsidRDefault="007E7B30" w:rsidP="005A4747">
      <w:pPr>
        <w:pStyle w:val="Objekt"/>
        <w:rPr>
          <w:noProof/>
        </w:rPr>
      </w:pPr>
      <w:r w:rsidRPr="007E7B30">
        <w:rPr>
          <w:noProof/>
        </w:rPr>
        <w:drawing>
          <wp:inline distT="0" distB="0" distL="0" distR="0" wp14:anchorId="1267EEB6" wp14:editId="591C06DD">
            <wp:extent cx="4860925" cy="2010410"/>
            <wp:effectExtent l="0" t="0" r="0" b="0"/>
            <wp:docPr id="53248404" name="Obráze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860925" cy="2010410"/>
                    </a:xfrm>
                    <a:prstGeom prst="rect">
                      <a:avLst/>
                    </a:prstGeom>
                    <a:noFill/>
                    <a:ln>
                      <a:noFill/>
                    </a:ln>
                  </pic:spPr>
                </pic:pic>
              </a:graphicData>
            </a:graphic>
          </wp:inline>
        </w:drawing>
      </w:r>
    </w:p>
    <w:p w14:paraId="1E290C18" w14:textId="77777777" w:rsidR="00B01126" w:rsidRPr="004D0FAA" w:rsidRDefault="00B01126" w:rsidP="004D0FAA">
      <w:pPr>
        <w:pStyle w:val="Nadpis3"/>
      </w:pPr>
      <w:r w:rsidRPr="004D0FAA">
        <w:t>Volné finanční prostředky</w:t>
      </w:r>
    </w:p>
    <w:p w14:paraId="4F664968" w14:textId="02A34330" w:rsidR="00B01126" w:rsidRPr="00C71826" w:rsidRDefault="00B01126" w:rsidP="00993408">
      <w:bookmarkStart w:id="119" w:name="_Toc365274730"/>
      <w:bookmarkStart w:id="120" w:name="_Toc368988413"/>
      <w:r w:rsidRPr="00C71826">
        <w:t>V</w:t>
      </w:r>
      <w:r w:rsidR="002640F1">
        <w:t xml:space="preserve"> následující tabulce na </w:t>
      </w:r>
      <w:r w:rsidRPr="00C71826">
        <w:t xml:space="preserve">řádku „Volné finanční prostředky“ jsou uvedeny hodnoty finančních prostředků, které městu zůstanou na financování investičních akcí po splnění svých závazků. </w:t>
      </w:r>
      <w:r w:rsidR="001778E4" w:rsidRPr="00C33D41">
        <w:t xml:space="preserve">Protože v návrhu rozpočtu </w:t>
      </w:r>
      <w:r w:rsidR="001778E4" w:rsidRPr="00177E16">
        <w:t>na rok 202</w:t>
      </w:r>
      <w:r w:rsidR="003D4311" w:rsidRPr="00177E16">
        <w:t>5</w:t>
      </w:r>
      <w:r w:rsidR="001778E4" w:rsidRPr="00177E16">
        <w:t xml:space="preserve"> jsou zahrnuty investiční akce ve bilanc</w:t>
      </w:r>
      <w:r w:rsidR="00177E16" w:rsidRPr="00177E16">
        <w:t>e</w:t>
      </w:r>
      <w:r w:rsidR="001778E4" w:rsidRPr="00177E16">
        <w:t xml:space="preserve"> hospodaření, hodnota tohoto řádku je nulová.</w:t>
      </w:r>
      <w:r w:rsidR="001778E4" w:rsidRPr="00C71826">
        <w:t xml:space="preserve"> </w:t>
      </w:r>
      <w:r w:rsidRPr="00C71826">
        <w:t xml:space="preserve"> </w:t>
      </w:r>
    </w:p>
    <w:p w14:paraId="221B04E2" w14:textId="77777777" w:rsidR="00B01126" w:rsidRPr="00796EFD" w:rsidRDefault="00B01126" w:rsidP="009A770A">
      <w:pPr>
        <w:pStyle w:val="Tabulka"/>
      </w:pPr>
      <w:bookmarkStart w:id="121" w:name="_Toc428350386"/>
      <w:bookmarkStart w:id="122" w:name="_Toc55981704"/>
      <w:bookmarkStart w:id="123" w:name="_Toc180650271"/>
      <w:r w:rsidRPr="007F7EE4">
        <w:t xml:space="preserve">Volné finanční </w:t>
      </w:r>
      <w:r w:rsidRPr="00796EFD">
        <w:t>prostředky</w:t>
      </w:r>
      <w:bookmarkEnd w:id="119"/>
      <w:bookmarkEnd w:id="120"/>
      <w:bookmarkEnd w:id="121"/>
      <w:bookmarkEnd w:id="122"/>
      <w:bookmarkEnd w:id="123"/>
    </w:p>
    <w:p w14:paraId="01970D60" w14:textId="1D091797" w:rsidR="00B01126" w:rsidRPr="00796EFD" w:rsidRDefault="007E7B30" w:rsidP="005A4747">
      <w:pPr>
        <w:pStyle w:val="Objekt"/>
        <w:rPr>
          <w:lang w:val="en-US"/>
        </w:rPr>
      </w:pPr>
      <w:r w:rsidRPr="007E7B30">
        <w:rPr>
          <w:noProof/>
          <w:lang w:val="en-US"/>
        </w:rPr>
        <w:drawing>
          <wp:inline distT="0" distB="0" distL="0" distR="0" wp14:anchorId="2781147C" wp14:editId="23DF3270">
            <wp:extent cx="4860925" cy="2064385"/>
            <wp:effectExtent l="0" t="0" r="0" b="0"/>
            <wp:docPr id="902450964" name="Obráze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860925" cy="2064385"/>
                    </a:xfrm>
                    <a:prstGeom prst="rect">
                      <a:avLst/>
                    </a:prstGeom>
                    <a:noFill/>
                    <a:ln>
                      <a:noFill/>
                    </a:ln>
                  </pic:spPr>
                </pic:pic>
              </a:graphicData>
            </a:graphic>
          </wp:inline>
        </w:drawing>
      </w:r>
    </w:p>
    <w:p w14:paraId="1AE8C2FD" w14:textId="70A863A5" w:rsidR="0083383E" w:rsidRDefault="00B01126" w:rsidP="00C71826">
      <w:r w:rsidRPr="00AF06D1">
        <w:t xml:space="preserve">V tabulce </w:t>
      </w:r>
      <w:r w:rsidRPr="007C79E7">
        <w:t xml:space="preserve">je vyjádřen odhad finančních toků v budoucnosti. Tento odhad vychází, stejně jako celý </w:t>
      </w:r>
      <w:r w:rsidR="000D195F" w:rsidRPr="007C79E7">
        <w:t>SVR</w:t>
      </w:r>
      <w:r w:rsidRPr="007C79E7">
        <w:t xml:space="preserve">, ze stávající legislativy a místních podmínek. </w:t>
      </w:r>
      <w:r w:rsidR="001778E4" w:rsidRPr="007C79E7">
        <w:t>Návrh rozpočtu na rok 202</w:t>
      </w:r>
      <w:r w:rsidR="003D4311" w:rsidRPr="007C79E7">
        <w:t>5</w:t>
      </w:r>
      <w:r w:rsidR="001778E4" w:rsidRPr="007C79E7">
        <w:t xml:space="preserve"> obsahuje </w:t>
      </w:r>
      <w:r w:rsidR="001778E4" w:rsidRPr="00177E16">
        <w:t>investice</w:t>
      </w:r>
      <w:r w:rsidR="00796EFD" w:rsidRPr="00177E16">
        <w:t xml:space="preserve"> ve výši bilance hospodaření</w:t>
      </w:r>
      <w:r w:rsidR="001778E4" w:rsidRPr="00177E16">
        <w:t>, jejich</w:t>
      </w:r>
      <w:r w:rsidR="00796EFD" w:rsidRPr="00177E16">
        <w:t xml:space="preserve"> případné</w:t>
      </w:r>
      <w:r w:rsidR="001778E4" w:rsidRPr="00177E16">
        <w:t xml:space="preserve"> </w:t>
      </w:r>
      <w:r w:rsidR="00796EFD" w:rsidRPr="00177E16">
        <w:t>navýšení</w:t>
      </w:r>
      <w:r w:rsidR="001778E4" w:rsidRPr="00177E16">
        <w:t xml:space="preserve"> </w:t>
      </w:r>
      <w:r w:rsidR="001778E4" w:rsidRPr="00177E16">
        <w:lastRenderedPageBreak/>
        <w:t>naopak bude zřejmě zapotřebí spolufinancovat z části také přebytky hospodaření minulých let,</w:t>
      </w:r>
      <w:r w:rsidR="001778E4" w:rsidRPr="007C79E7">
        <w:t xml:space="preserve"> případně příjmy investičními, které nejsou ve výhledu </w:t>
      </w:r>
      <w:r w:rsidR="00177E16">
        <w:t>zachyceny</w:t>
      </w:r>
      <w:r w:rsidR="001778E4" w:rsidRPr="007C79E7">
        <w:t xml:space="preserve">. </w:t>
      </w:r>
      <w:r w:rsidR="0083383E" w:rsidRPr="007C79E7">
        <w:t>Teoretická výše finančních prostředků, které může město</w:t>
      </w:r>
      <w:r w:rsidR="0083383E" w:rsidRPr="0083383E">
        <w:t xml:space="preserve"> ze svých prostředků použít na financování investičních aktivit a jednorázových akcí neinvestičního charakteru</w:t>
      </w:r>
      <w:r w:rsidR="00146580">
        <w:t>,</w:t>
      </w:r>
      <w:r w:rsidR="0083383E" w:rsidRPr="0083383E">
        <w:t xml:space="preserve"> se pohybuje</w:t>
      </w:r>
      <w:r w:rsidR="0083383E">
        <w:t xml:space="preserve"> </w:t>
      </w:r>
      <w:r w:rsidR="0083383E" w:rsidRPr="0083383E">
        <w:t>v rozmezí od</w:t>
      </w:r>
      <w:r w:rsidR="0083383E">
        <w:t xml:space="preserve"> </w:t>
      </w:r>
      <w:r w:rsidR="003D4311">
        <w:t xml:space="preserve">164,8 </w:t>
      </w:r>
      <w:r w:rsidR="0083383E">
        <w:t>mil. Kč (</w:t>
      </w:r>
      <w:r w:rsidR="00E77FC3">
        <w:t>202</w:t>
      </w:r>
      <w:r w:rsidR="003D4311">
        <w:t>6</w:t>
      </w:r>
      <w:r w:rsidR="0083383E">
        <w:t xml:space="preserve">) do </w:t>
      </w:r>
      <w:r w:rsidR="00E77FC3">
        <w:t>206,8</w:t>
      </w:r>
      <w:r w:rsidR="0083383E">
        <w:t xml:space="preserve"> mil. Kč (</w:t>
      </w:r>
      <w:r w:rsidR="00E77FC3">
        <w:t>2029</w:t>
      </w:r>
      <w:r w:rsidR="0083383E">
        <w:t>).</w:t>
      </w:r>
      <w:r w:rsidR="00922ADB">
        <w:t xml:space="preserve"> </w:t>
      </w:r>
      <w:r w:rsidR="00922ADB" w:rsidRPr="00345EF5">
        <w:t xml:space="preserve">Toto jsou hodnoty </w:t>
      </w:r>
      <w:r w:rsidR="007C79E7" w:rsidRPr="00345EF5">
        <w:t>srovnatelné</w:t>
      </w:r>
      <w:r w:rsidR="003D4311" w:rsidRPr="00345EF5">
        <w:t xml:space="preserve"> </w:t>
      </w:r>
      <w:r w:rsidR="007C79E7" w:rsidRPr="00345EF5">
        <w:t>s hodnotami</w:t>
      </w:r>
      <w:r w:rsidR="003D4311" w:rsidRPr="00345EF5">
        <w:t xml:space="preserve"> </w:t>
      </w:r>
      <w:r w:rsidR="00922ADB" w:rsidRPr="00345EF5">
        <w:t>kapitálových výdajů v minulém období</w:t>
      </w:r>
      <w:r w:rsidR="007C79E7" w:rsidRPr="00345EF5">
        <w:t xml:space="preserve"> (</w:t>
      </w:r>
      <w:r w:rsidR="003D4311" w:rsidRPr="00345EF5">
        <w:t xml:space="preserve">nutné brát ohled na absenci </w:t>
      </w:r>
      <w:r w:rsidR="007C79E7" w:rsidRPr="00345EF5">
        <w:t xml:space="preserve">srovnatelných </w:t>
      </w:r>
      <w:r w:rsidR="00922ADB" w:rsidRPr="00345EF5">
        <w:t>investičních příjmů</w:t>
      </w:r>
      <w:r w:rsidR="007C79E7" w:rsidRPr="00345EF5">
        <w:t>)</w:t>
      </w:r>
      <w:r w:rsidR="00922ADB" w:rsidRPr="00345EF5">
        <w:t>.</w:t>
      </w:r>
    </w:p>
    <w:p w14:paraId="3A789815" w14:textId="384B041A" w:rsidR="00B01126" w:rsidRDefault="00B01126" w:rsidP="00993408">
      <w:r w:rsidRPr="00AF06D1">
        <w:t>Kromě možnosti zapojit do rozpočtu pře</w:t>
      </w:r>
      <w:r w:rsidR="00A20E5A" w:rsidRPr="00AF06D1">
        <w:t>bytky hospodaření minulých let,</w:t>
      </w:r>
      <w:r w:rsidRPr="00AF06D1">
        <w:t xml:space="preserve"> hledání rezerv a efektivního hospodaření</w:t>
      </w:r>
      <w:r w:rsidR="00A20E5A" w:rsidRPr="00AF06D1">
        <w:t xml:space="preserve"> může město</w:t>
      </w:r>
      <w:r w:rsidRPr="00AF06D1">
        <w:t xml:space="preserve"> ovlivnit výši volných finančních prostředků prodejem majetku ve svém vlastnictví. O prodeji rozhoduje zastupitelstvo a výše bude odpovídat investičním potřebám. Možné je také využít cizích prostředků (např. úvěry, investiční dotace apod.). Získáme tak disponibilní prostředky pro rozvoj města.</w:t>
      </w:r>
    </w:p>
    <w:p w14:paraId="3F6F2316" w14:textId="77777777" w:rsidR="00AC73DA" w:rsidRPr="00796EFD" w:rsidRDefault="00AC73DA" w:rsidP="009A770A">
      <w:pPr>
        <w:pStyle w:val="Tabulka"/>
      </w:pPr>
      <w:bookmarkStart w:id="124" w:name="_Toc180650272"/>
      <w:r w:rsidRPr="00AC73DA">
        <w:t xml:space="preserve">Disponibilní </w:t>
      </w:r>
      <w:r w:rsidRPr="00796EFD">
        <w:t>prostředky výhledového období</w:t>
      </w:r>
      <w:bookmarkEnd w:id="124"/>
    </w:p>
    <w:p w14:paraId="25A1EB72" w14:textId="7603B182" w:rsidR="00AC73DA" w:rsidRPr="00796EFD" w:rsidRDefault="007E7B30" w:rsidP="00AC73DA">
      <w:pPr>
        <w:pStyle w:val="Objekt"/>
        <w:rPr>
          <w:lang w:val="en-US"/>
        </w:rPr>
      </w:pPr>
      <w:r w:rsidRPr="007E7B30">
        <w:rPr>
          <w:noProof/>
          <w:lang w:val="en-US"/>
        </w:rPr>
        <w:drawing>
          <wp:inline distT="0" distB="0" distL="0" distR="0" wp14:anchorId="28D246ED" wp14:editId="3939B5E4">
            <wp:extent cx="3124835" cy="831215"/>
            <wp:effectExtent l="0" t="0" r="0" b="6985"/>
            <wp:docPr id="618452652" name="Obráze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124835" cy="831215"/>
                    </a:xfrm>
                    <a:prstGeom prst="rect">
                      <a:avLst/>
                    </a:prstGeom>
                    <a:noFill/>
                    <a:ln>
                      <a:noFill/>
                    </a:ln>
                  </pic:spPr>
                </pic:pic>
              </a:graphicData>
            </a:graphic>
          </wp:inline>
        </w:drawing>
      </w:r>
    </w:p>
    <w:p w14:paraId="4FD22FD5" w14:textId="18D9221E" w:rsidR="007A5F8C" w:rsidRPr="00522B81" w:rsidRDefault="007A5F8C" w:rsidP="00522B81">
      <w:pPr>
        <w:pStyle w:val="Poznmka"/>
      </w:pPr>
      <w:r w:rsidRPr="00796EFD">
        <w:t>Poznámka: Výše zůstatků je vypočtena jako součet Zůstatky na</w:t>
      </w:r>
      <w:r w:rsidRPr="00522B81">
        <w:t xml:space="preserve"> účtech (</w:t>
      </w:r>
      <w:r w:rsidR="00E77FC3">
        <w:t>2023</w:t>
      </w:r>
      <w:r w:rsidRPr="00522B81">
        <w:t>) a Změna stavu peněžních zůstatků (</w:t>
      </w:r>
      <w:r w:rsidR="00E77FC3">
        <w:t>2024</w:t>
      </w:r>
      <w:r w:rsidRPr="00522B81">
        <w:t>)</w:t>
      </w:r>
    </w:p>
    <w:bookmarkStart w:id="125" w:name="OLE_LINK1"/>
    <w:p w14:paraId="4D81D9CA" w14:textId="7A77F4B4" w:rsidR="007A5F8C" w:rsidRPr="005B3686" w:rsidRDefault="00796EFD" w:rsidP="00522B81">
      <w:pPr>
        <w:pStyle w:val="Poznmka"/>
        <w:rPr>
          <w:i w:val="0"/>
        </w:rPr>
      </w:pPr>
      <w:r w:rsidRPr="001B58F3">
        <w:rPr>
          <w:rFonts w:ascii="Verdana" w:hAnsi="Verdana"/>
          <w:noProof/>
          <w:sz w:val="19"/>
          <w:highlight w:val="cyan"/>
          <w:lang w:eastAsia="cs-CZ"/>
        </w:rPr>
        <mc:AlternateContent>
          <mc:Choice Requires="wps">
            <w:drawing>
              <wp:anchor distT="0" distB="0" distL="114300" distR="114300" simplePos="0" relativeHeight="251662848" behindDoc="0" locked="0" layoutInCell="1" allowOverlap="1" wp14:anchorId="5A1A93D8" wp14:editId="6206FB70">
                <wp:simplePos x="0" y="0"/>
                <wp:positionH relativeFrom="page">
                  <wp:posOffset>542772</wp:posOffset>
                </wp:positionH>
                <wp:positionV relativeFrom="paragraph">
                  <wp:posOffset>142713</wp:posOffset>
                </wp:positionV>
                <wp:extent cx="1403985" cy="797044"/>
                <wp:effectExtent l="0" t="0" r="5715" b="3175"/>
                <wp:wrapNone/>
                <wp:docPr id="33"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3985" cy="797044"/>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32E77069" w14:textId="76457EE1" w:rsidR="0031735E" w:rsidRDefault="0031735E" w:rsidP="00846D3C">
                            <w:pPr>
                              <w:spacing w:after="0"/>
                              <w:jc w:val="left"/>
                              <w:rPr>
                                <w:rStyle w:val="Odkaznakoment"/>
                                <w:rFonts w:cstheme="minorHAnsi"/>
                                <w:i/>
                                <w:sz w:val="20"/>
                                <w:szCs w:val="20"/>
                              </w:rPr>
                            </w:pPr>
                            <w:r w:rsidRPr="00846D3C">
                              <w:rPr>
                                <w:rStyle w:val="Odkaznakoment"/>
                                <w:rFonts w:cstheme="minorHAnsi"/>
                                <w:i/>
                                <w:sz w:val="20"/>
                                <w:szCs w:val="20"/>
                              </w:rPr>
                              <w:t>Na období SVR</w:t>
                            </w:r>
                            <w:r w:rsidR="00606A5A">
                              <w:rPr>
                                <w:rStyle w:val="Odkaznakoment"/>
                                <w:rFonts w:cstheme="minorHAnsi"/>
                                <w:i/>
                                <w:sz w:val="20"/>
                                <w:szCs w:val="20"/>
                              </w:rPr>
                              <w:t xml:space="preserve"> (2026 – 2029)</w:t>
                            </w:r>
                            <w:r w:rsidRPr="00846D3C">
                              <w:rPr>
                                <w:rStyle w:val="Odkaznakoment"/>
                                <w:rFonts w:cstheme="minorHAnsi"/>
                                <w:i/>
                                <w:sz w:val="20"/>
                                <w:szCs w:val="20"/>
                              </w:rPr>
                              <w:t xml:space="preserve"> je predikováno </w:t>
                            </w:r>
                          </w:p>
                          <w:p w14:paraId="5CA76221" w14:textId="5E36F28A" w:rsidR="00796EFD" w:rsidRPr="00846D3C" w:rsidRDefault="00796EFD" w:rsidP="00846D3C">
                            <w:pPr>
                              <w:spacing w:before="0"/>
                              <w:jc w:val="left"/>
                              <w:rPr>
                                <w:rStyle w:val="Odkaznakoment"/>
                                <w:rFonts w:cstheme="minorHAnsi"/>
                                <w:b/>
                                <w:i/>
                                <w:color w:val="548DD4" w:themeColor="text2" w:themeTint="99"/>
                                <w:sz w:val="28"/>
                                <w:szCs w:val="28"/>
                              </w:rPr>
                            </w:pPr>
                            <w:r w:rsidRPr="00606A5A">
                              <w:rPr>
                                <w:rStyle w:val="Odkaznakoment"/>
                                <w:rFonts w:cstheme="minorHAnsi"/>
                                <w:b/>
                                <w:i/>
                                <w:color w:val="548DD4" w:themeColor="text2" w:themeTint="99"/>
                                <w:sz w:val="28"/>
                                <w:szCs w:val="28"/>
                              </w:rPr>
                              <w:t>1 790,0 mil. Kč</w:t>
                            </w:r>
                          </w:p>
                          <w:p w14:paraId="17A98B44" w14:textId="77777777" w:rsidR="0031735E" w:rsidRPr="001B58F3" w:rsidRDefault="0031735E" w:rsidP="00E03088">
                            <w:pPr>
                              <w:spacing w:after="0"/>
                              <w:jc w:val="left"/>
                              <w:rPr>
                                <w:rFonts w:cstheme="minorHAnsi"/>
                                <w:i/>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5A1A93D8" id="_x0000_s1059" type="#_x0000_t202" style="position:absolute;left:0;text-align:left;margin-left:42.75pt;margin-top:11.25pt;width:110.55pt;height:62.75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" fillcolor="white [3201]" stroked="f" strokeweight=".5pt">
                <v:path arrowok="t"/>
                <v:textbox inset="0,0,0,0">
                  <w:txbxContent>
                    <w:p w14:paraId="32E77069" w14:textId="76457EE1" w:rsidR="0031735E" w:rsidRDefault="0031735E" w:rsidP="00846D3C">
                      <w:pPr>
                        <w:spacing w:after="0"/>
                        <w:jc w:val="left"/>
                        <w:rPr>
                          <w:rStyle w:val="Odkaznakoment"/>
                          <w:rFonts w:cstheme="minorHAnsi"/>
                          <w:i/>
                          <w:sz w:val="20"/>
                          <w:szCs w:val="20"/>
                        </w:rPr>
                      </w:pPr>
                      <w:r w:rsidRPr="00846D3C">
                        <w:rPr>
                          <w:rStyle w:val="Odkaznakoment"/>
                          <w:rFonts w:cstheme="minorHAnsi"/>
                          <w:i/>
                          <w:sz w:val="20"/>
                          <w:szCs w:val="20"/>
                        </w:rPr>
                        <w:t>Na období SVR</w:t>
                      </w:r>
                      <w:r w:rsidR="00606A5A">
                        <w:rPr>
                          <w:rStyle w:val="Odkaznakoment"/>
                          <w:rFonts w:cstheme="minorHAnsi"/>
                          <w:i/>
                          <w:sz w:val="20"/>
                          <w:szCs w:val="20"/>
                        </w:rPr>
                        <w:t xml:space="preserve"> (</w:t>
                      </w:r>
                      <w:proofErr w:type="gramStart"/>
                      <w:r w:rsidR="00606A5A">
                        <w:rPr>
                          <w:rStyle w:val="Odkaznakoment"/>
                          <w:rFonts w:cstheme="minorHAnsi"/>
                          <w:i/>
                          <w:sz w:val="20"/>
                          <w:szCs w:val="20"/>
                        </w:rPr>
                        <w:t>2026 – 2029</w:t>
                      </w:r>
                      <w:proofErr w:type="gramEnd"/>
                      <w:r w:rsidR="00606A5A">
                        <w:rPr>
                          <w:rStyle w:val="Odkaznakoment"/>
                          <w:rFonts w:cstheme="minorHAnsi"/>
                          <w:i/>
                          <w:sz w:val="20"/>
                          <w:szCs w:val="20"/>
                        </w:rPr>
                        <w:t>)</w:t>
                      </w:r>
                      <w:r w:rsidRPr="00846D3C">
                        <w:rPr>
                          <w:rStyle w:val="Odkaznakoment"/>
                          <w:rFonts w:cstheme="minorHAnsi"/>
                          <w:i/>
                          <w:sz w:val="20"/>
                          <w:szCs w:val="20"/>
                        </w:rPr>
                        <w:t xml:space="preserve"> je predikováno </w:t>
                      </w:r>
                    </w:p>
                    <w:p w14:paraId="5CA76221" w14:textId="5E36F28A" w:rsidR="00796EFD" w:rsidRPr="00846D3C" w:rsidRDefault="00796EFD" w:rsidP="00846D3C">
                      <w:pPr>
                        <w:spacing w:before="0"/>
                        <w:jc w:val="left"/>
                        <w:rPr>
                          <w:rStyle w:val="Odkaznakoment"/>
                          <w:rFonts w:cstheme="minorHAnsi"/>
                          <w:b/>
                          <w:i/>
                          <w:color w:val="548DD4" w:themeColor="text2" w:themeTint="99"/>
                          <w:sz w:val="28"/>
                          <w:szCs w:val="28"/>
                        </w:rPr>
                      </w:pPr>
                      <w:r w:rsidRPr="00606A5A">
                        <w:rPr>
                          <w:rStyle w:val="Odkaznakoment"/>
                          <w:rFonts w:cstheme="minorHAnsi"/>
                          <w:b/>
                          <w:i/>
                          <w:color w:val="548DD4" w:themeColor="text2" w:themeTint="99"/>
                          <w:sz w:val="28"/>
                          <w:szCs w:val="28"/>
                        </w:rPr>
                        <w:t>1 790,0 mil. Kč</w:t>
                      </w:r>
                    </w:p>
                    <w:p w14:paraId="17A98B44" w14:textId="77777777" w:rsidR="0031735E" w:rsidRPr="001B58F3" w:rsidRDefault="0031735E" w:rsidP="00E03088">
                      <w:pPr>
                        <w:spacing w:after="0"/>
                        <w:jc w:val="left"/>
                        <w:rPr>
                          <w:rFonts w:cstheme="minorHAnsi"/>
                          <w:i/>
                          <w:sz w:val="20"/>
                          <w:szCs w:val="20"/>
                        </w:rPr>
                      </w:pPr>
                    </w:p>
                  </w:txbxContent>
                </v:textbox>
                <w10:wrap anchorx="page"/>
              </v:shape>
            </w:pict>
          </mc:Fallback>
        </mc:AlternateContent>
      </w:r>
      <w:r w:rsidR="007A5F8C" w:rsidRPr="00522B81">
        <w:t>Poznámka: Bezpečná vý</w:t>
      </w:r>
      <w:r w:rsidR="003451AE">
        <w:t xml:space="preserve">še dluhu je obsahem </w:t>
      </w:r>
      <w:r w:rsidR="007A5F8C" w:rsidRPr="00522B81">
        <w:t>kapitoly</w:t>
      </w:r>
      <w:r w:rsidR="003451AE">
        <w:t xml:space="preserve"> Analýza zadluženosti</w:t>
      </w:r>
    </w:p>
    <w:bookmarkEnd w:id="125"/>
    <w:p w14:paraId="098D0B4E" w14:textId="17005744" w:rsidR="007A5F8C" w:rsidRPr="006970E1" w:rsidRDefault="007A5F8C" w:rsidP="007A5F8C">
      <w:r w:rsidRPr="00B8791F">
        <w:t xml:space="preserve">Společnost AQE </w:t>
      </w:r>
      <w:proofErr w:type="spellStart"/>
      <w:r w:rsidRPr="00B8791F">
        <w:t>advisors</w:t>
      </w:r>
      <w:proofErr w:type="spellEnd"/>
      <w:r w:rsidRPr="00B8791F">
        <w:t xml:space="preserve">, a.s. stanovila pro období </w:t>
      </w:r>
      <w:proofErr w:type="gramStart"/>
      <w:r w:rsidR="00E77FC3">
        <w:t>202</w:t>
      </w:r>
      <w:r w:rsidR="00606A5A">
        <w:t>6</w:t>
      </w:r>
      <w:r w:rsidR="00E77FC3">
        <w:t xml:space="preserve"> - 2029</w:t>
      </w:r>
      <w:proofErr w:type="gramEnd"/>
      <w:r w:rsidRPr="00B8791F">
        <w:t xml:space="preserve"> na základě sestaveného střednědobého výhledu objem teoretických disponibilních prostředků pro rozvoj města </w:t>
      </w:r>
      <w:r w:rsidR="00B8791F" w:rsidRPr="00B8791F">
        <w:t>formou</w:t>
      </w:r>
      <w:r w:rsidRPr="00B8791F">
        <w:t xml:space="preserve"> investičních a jednorázových akcí ve výši </w:t>
      </w:r>
      <w:r w:rsidR="00E77FC3" w:rsidRPr="00606A5A">
        <w:t xml:space="preserve">1 </w:t>
      </w:r>
      <w:r w:rsidR="00796EFD" w:rsidRPr="00606A5A">
        <w:t>790</w:t>
      </w:r>
      <w:r w:rsidR="00E77FC3" w:rsidRPr="00606A5A">
        <w:t>,0</w:t>
      </w:r>
      <w:r w:rsidR="00B8791F" w:rsidRPr="00B8791F">
        <w:t xml:space="preserve"> </w:t>
      </w:r>
      <w:r w:rsidRPr="00B8791F">
        <w:t xml:space="preserve">mil. </w:t>
      </w:r>
      <w:r w:rsidR="00A02833" w:rsidRPr="00A54728">
        <w:t>Jedná se o částku využitelnou nad rámec zapracovaných investic.</w:t>
      </w:r>
      <w:r w:rsidR="00A02833">
        <w:t xml:space="preserve"> </w:t>
      </w:r>
    </w:p>
    <w:p w14:paraId="02F7588D" w14:textId="77777777" w:rsidR="00B01126" w:rsidRPr="00364D6D" w:rsidRDefault="00B01126" w:rsidP="00993408">
      <w:pPr>
        <w:pStyle w:val="Nadpis2"/>
      </w:pPr>
      <w:bookmarkStart w:id="126" w:name="_Toc62211726"/>
      <w:bookmarkStart w:id="127" w:name="_Toc180650327"/>
      <w:r w:rsidRPr="00364D6D">
        <w:t>Dluhová služba</w:t>
      </w:r>
      <w:bookmarkEnd w:id="126"/>
      <w:bookmarkEnd w:id="127"/>
    </w:p>
    <w:p w14:paraId="1D7484D7" w14:textId="6F557321" w:rsidR="004D7B2C" w:rsidRDefault="007C79E7" w:rsidP="004D7B2C">
      <w:r w:rsidRPr="003B5DF4">
        <w:t xml:space="preserve">Dluhová služba poskytuje užitečný přehled o výpůjční aktivitě města a o jeho schopnosti splácet dluh. </w:t>
      </w:r>
      <w:r>
        <w:t xml:space="preserve">Město v roce 2023 realizovalo poslední splátku přijatého úvěru od Komerční banky, a.s. Vzhledem k tomu, že výhled nepočítá s přijetím úvěru nového, je výše dluhové služby v tomto dokumentu </w:t>
      </w:r>
      <w:r w:rsidR="004D7B2C">
        <w:t>reprezentována úrokovými náklady dluhopisové emise (c</w:t>
      </w:r>
      <w:r w:rsidR="004D7B2C" w:rsidRPr="003B5DF4">
        <w:t xml:space="preserve">elkem musí město v letech </w:t>
      </w:r>
      <w:proofErr w:type="gramStart"/>
      <w:r w:rsidR="004D7B2C">
        <w:t>2025 - 2029</w:t>
      </w:r>
      <w:proofErr w:type="gramEnd"/>
      <w:r w:rsidR="004D7B2C" w:rsidRPr="003B5DF4">
        <w:t xml:space="preserve"> splatit </w:t>
      </w:r>
      <w:r w:rsidR="004D7B2C">
        <w:t>79,9</w:t>
      </w:r>
      <w:r w:rsidR="004D7B2C" w:rsidRPr="003B5DF4">
        <w:t xml:space="preserve"> mil. Kč</w:t>
      </w:r>
      <w:r w:rsidR="004D7B2C">
        <w:t>)</w:t>
      </w:r>
      <w:r w:rsidR="004D7B2C" w:rsidRPr="003B5DF4">
        <w:t xml:space="preserve">. </w:t>
      </w:r>
    </w:p>
    <w:p w14:paraId="420A5DD2" w14:textId="770F3BAF" w:rsidR="00815323" w:rsidRPr="00364D6D" w:rsidRDefault="007C79E7" w:rsidP="00F00A55">
      <w:r w:rsidRPr="0044472D">
        <w:t xml:space="preserve">Střednědobý výhled rozpočtu vychází od roku </w:t>
      </w:r>
      <w:r w:rsidRPr="00606A5A">
        <w:t>202</w:t>
      </w:r>
      <w:r w:rsidR="00132653" w:rsidRPr="00606A5A">
        <w:t>7</w:t>
      </w:r>
      <w:r w:rsidRPr="0044472D">
        <w:t xml:space="preserve"> z rostoucí dluhové základny (dluhová základna je ekvivalentem celkových příjmů). Dluhová služba je v celém výh</w:t>
      </w:r>
      <w:r w:rsidRPr="004D7B2C">
        <w:t xml:space="preserve">ledovém období </w:t>
      </w:r>
      <w:r w:rsidR="004D7B2C" w:rsidRPr="004D7B2C">
        <w:t>ve výši 10,0 mil. Kč</w:t>
      </w:r>
      <w:r w:rsidRPr="004D7B2C">
        <w:t xml:space="preserve"> (je určena úrokovou zátěží). Proto také ukazatel dluhové služby se ve výhledovém období pohybuje v</w:t>
      </w:r>
      <w:r w:rsidR="004D7B2C" w:rsidRPr="004D7B2C">
        <w:t>e velmi </w:t>
      </w:r>
      <w:r w:rsidRPr="004D7B2C">
        <w:t>n</w:t>
      </w:r>
      <w:r w:rsidR="004D7B2C" w:rsidRPr="004D7B2C">
        <w:t>ízkých hodnotách do 0,66 %</w:t>
      </w:r>
      <w:r w:rsidR="00434F92" w:rsidRPr="004D7B2C">
        <w:rPr>
          <w:rFonts w:ascii="Verdana" w:hAnsi="Verdana"/>
          <w:noProof/>
          <w:sz w:val="19"/>
          <w:lang w:eastAsia="cs-CZ"/>
        </w:rPr>
        <mc:AlternateContent>
          <mc:Choice Requires="wps">
            <w:drawing>
              <wp:anchor distT="0" distB="0" distL="114300" distR="114300" simplePos="0" relativeHeight="251665920" behindDoc="0" locked="0" layoutInCell="1" allowOverlap="1" wp14:anchorId="29279ABF" wp14:editId="1DCF8F89">
                <wp:simplePos x="0" y="0"/>
                <wp:positionH relativeFrom="page">
                  <wp:posOffset>541867</wp:posOffset>
                </wp:positionH>
                <wp:positionV relativeFrom="paragraph">
                  <wp:posOffset>-71755</wp:posOffset>
                </wp:positionV>
                <wp:extent cx="1404000" cy="669600"/>
                <wp:effectExtent l="0" t="0" r="5715" b="0"/>
                <wp:wrapNone/>
                <wp:docPr id="745"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66960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4E02217C" w14:textId="77777777" w:rsidR="0031735E" w:rsidRDefault="0031735E" w:rsidP="00434F92">
                            <w:pPr>
                              <w:spacing w:after="0"/>
                              <w:jc w:val="left"/>
                              <w:rPr>
                                <w:rStyle w:val="Odkaznakoment"/>
                                <w:rFonts w:cstheme="minorHAnsi"/>
                                <w:i/>
                                <w:sz w:val="20"/>
                                <w:szCs w:val="20"/>
                              </w:rPr>
                            </w:pPr>
                            <w:r>
                              <w:rPr>
                                <w:rStyle w:val="Odkaznakoment"/>
                                <w:rFonts w:cstheme="minorHAnsi"/>
                                <w:i/>
                                <w:sz w:val="20"/>
                                <w:szCs w:val="20"/>
                              </w:rPr>
                              <w:t>Příznivé hodnoty ukazatele dluhové služby – nejvýše</w:t>
                            </w:r>
                          </w:p>
                          <w:p w14:paraId="42CB6FEF" w14:textId="50210BD9" w:rsidR="0031735E" w:rsidRPr="00846D3C" w:rsidRDefault="00E77FC3" w:rsidP="00434F92">
                            <w:pPr>
                              <w:spacing w:before="0"/>
                              <w:jc w:val="left"/>
                              <w:rPr>
                                <w:rFonts w:cstheme="minorHAnsi"/>
                                <w:b/>
                                <w:i/>
                                <w:color w:val="548DD4" w:themeColor="text2" w:themeTint="99"/>
                                <w:sz w:val="28"/>
                                <w:szCs w:val="28"/>
                              </w:rPr>
                            </w:pPr>
                            <w:r w:rsidRPr="00E77FC3">
                              <w:rPr>
                                <w:b/>
                                <w:i/>
                                <w:color w:val="548DD4" w:themeColor="text2" w:themeTint="99"/>
                                <w:sz w:val="28"/>
                                <w:szCs w:val="28"/>
                              </w:rPr>
                              <w:t>0,66</w:t>
                            </w:r>
                            <w:r w:rsidR="0031735E" w:rsidRPr="00846D3C">
                              <w:rPr>
                                <w:rStyle w:val="Odkaznakoment"/>
                                <w:rFonts w:cstheme="minorHAnsi"/>
                                <w:b/>
                                <w:i/>
                                <w:color w:val="548DD4" w:themeColor="text2" w:themeTint="99"/>
                                <w:sz w:val="28"/>
                                <w:szCs w:val="28"/>
                              </w:rPr>
                              <w:t xml:space="preserve"> %</w:t>
                            </w:r>
                          </w:p>
                          <w:p w14:paraId="1191EE28" w14:textId="77777777" w:rsidR="0031735E" w:rsidRPr="001B58F3" w:rsidRDefault="0031735E" w:rsidP="00434F92">
                            <w:pPr>
                              <w:spacing w:after="0"/>
                              <w:jc w:val="left"/>
                              <w:rPr>
                                <w:rFonts w:cstheme="minorHAnsi"/>
                                <w:i/>
                                <w:sz w:val="20"/>
                                <w:szCs w:val="20"/>
                              </w:rPr>
                            </w:pPr>
                          </w:p>
                          <w:p w14:paraId="266A2F34" w14:textId="77777777" w:rsidR="0031735E" w:rsidRPr="001B58F3" w:rsidRDefault="0031735E" w:rsidP="00434F92">
                            <w:pPr>
                              <w:spacing w:after="0"/>
                              <w:jc w:val="left"/>
                              <w:rPr>
                                <w:rFonts w:cstheme="minorHAnsi"/>
                                <w:i/>
                                <w:sz w:val="20"/>
                                <w:szCs w:val="20"/>
                              </w:rPr>
                            </w:pPr>
                          </w:p>
                          <w:p w14:paraId="52A199FB" w14:textId="77777777" w:rsidR="0031735E" w:rsidRPr="001B58F3" w:rsidRDefault="0031735E" w:rsidP="00434F92">
                            <w:pPr>
                              <w:spacing w:after="0"/>
                              <w:jc w:val="left"/>
                              <w:rPr>
                                <w:rFonts w:cstheme="minorHAnsi"/>
                                <w:i/>
                                <w:sz w:val="20"/>
                                <w:szCs w:val="20"/>
                              </w:rPr>
                            </w:pPr>
                          </w:p>
                          <w:p w14:paraId="1C9D25F3" w14:textId="77777777" w:rsidR="0031735E" w:rsidRPr="001B58F3" w:rsidRDefault="0031735E" w:rsidP="00E03088">
                            <w:pPr>
                              <w:spacing w:after="0"/>
                              <w:jc w:val="left"/>
                              <w:rPr>
                                <w:rFonts w:cstheme="minorHAnsi"/>
                                <w:i/>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29279ABF" id="_x0000_s1060" type="#_x0000_t202" style="position:absolute;left:0;text-align:left;margin-left:42.65pt;margin-top:-5.65pt;width:110.55pt;height:52.7pt;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" fillcolor="white [3201]" stroked="f" strokeweight=".5pt">
                <v:path arrowok="t"/>
                <v:textbox inset="0,0,0,0">
                  <w:txbxContent>
                    <w:p w14:paraId="4E02217C" w14:textId="77777777" w:rsidR="0031735E" w:rsidRDefault="0031735E" w:rsidP="00434F92">
                      <w:pPr>
                        <w:spacing w:after="0"/>
                        <w:jc w:val="left"/>
                        <w:rPr>
                          <w:rStyle w:val="Odkaznakoment"/>
                          <w:rFonts w:cstheme="minorHAnsi"/>
                          <w:i/>
                          <w:sz w:val="20"/>
                          <w:szCs w:val="20"/>
                        </w:rPr>
                      </w:pPr>
                      <w:r>
                        <w:rPr>
                          <w:rStyle w:val="Odkaznakoment"/>
                          <w:rFonts w:cstheme="minorHAnsi"/>
                          <w:i/>
                          <w:sz w:val="20"/>
                          <w:szCs w:val="20"/>
                        </w:rPr>
                        <w:t>Příznivé hodnoty ukazatele dluhové služby – nejvýše</w:t>
                      </w:r>
                    </w:p>
                    <w:p w14:paraId="42CB6FEF" w14:textId="50210BD9" w:rsidR="0031735E" w:rsidRPr="00846D3C" w:rsidRDefault="00E77FC3" w:rsidP="00434F92">
                      <w:pPr>
                        <w:spacing w:before="0"/>
                        <w:jc w:val="left"/>
                        <w:rPr>
                          <w:rFonts w:cstheme="minorHAnsi"/>
                          <w:b/>
                          <w:i/>
                          <w:color w:val="548DD4" w:themeColor="text2" w:themeTint="99"/>
                          <w:sz w:val="28"/>
                          <w:szCs w:val="28"/>
                        </w:rPr>
                      </w:pPr>
                      <w:r w:rsidRPr="00E77FC3">
                        <w:rPr>
                          <w:b/>
                          <w:i/>
                          <w:color w:val="548DD4" w:themeColor="text2" w:themeTint="99"/>
                          <w:sz w:val="28"/>
                          <w:szCs w:val="28"/>
                        </w:rPr>
                        <w:t>0,66</w:t>
                      </w:r>
                      <w:r w:rsidR="0031735E" w:rsidRPr="00846D3C">
                        <w:rPr>
                          <w:rStyle w:val="Odkaznakoment"/>
                          <w:rFonts w:cstheme="minorHAnsi"/>
                          <w:b/>
                          <w:i/>
                          <w:color w:val="548DD4" w:themeColor="text2" w:themeTint="99"/>
                          <w:sz w:val="28"/>
                          <w:szCs w:val="28"/>
                        </w:rPr>
                        <w:t xml:space="preserve"> %</w:t>
                      </w:r>
                    </w:p>
                    <w:p w14:paraId="1191EE28" w14:textId="77777777" w:rsidR="0031735E" w:rsidRPr="001B58F3" w:rsidRDefault="0031735E" w:rsidP="00434F92">
                      <w:pPr>
                        <w:spacing w:after="0"/>
                        <w:jc w:val="left"/>
                        <w:rPr>
                          <w:rFonts w:cstheme="minorHAnsi"/>
                          <w:i/>
                          <w:sz w:val="20"/>
                          <w:szCs w:val="20"/>
                        </w:rPr>
                      </w:pPr>
                    </w:p>
                    <w:p w14:paraId="266A2F34" w14:textId="77777777" w:rsidR="0031735E" w:rsidRPr="001B58F3" w:rsidRDefault="0031735E" w:rsidP="00434F92">
                      <w:pPr>
                        <w:spacing w:after="0"/>
                        <w:jc w:val="left"/>
                        <w:rPr>
                          <w:rFonts w:cstheme="minorHAnsi"/>
                          <w:i/>
                          <w:sz w:val="20"/>
                          <w:szCs w:val="20"/>
                        </w:rPr>
                      </w:pPr>
                    </w:p>
                    <w:p w14:paraId="52A199FB" w14:textId="77777777" w:rsidR="0031735E" w:rsidRPr="001B58F3" w:rsidRDefault="0031735E" w:rsidP="00434F92">
                      <w:pPr>
                        <w:spacing w:after="0"/>
                        <w:jc w:val="left"/>
                        <w:rPr>
                          <w:rFonts w:cstheme="minorHAnsi"/>
                          <w:i/>
                          <w:sz w:val="20"/>
                          <w:szCs w:val="20"/>
                        </w:rPr>
                      </w:pPr>
                    </w:p>
                    <w:p w14:paraId="1C9D25F3" w14:textId="77777777" w:rsidR="0031735E" w:rsidRPr="001B58F3" w:rsidRDefault="0031735E" w:rsidP="00E03088">
                      <w:pPr>
                        <w:spacing w:after="0"/>
                        <w:jc w:val="left"/>
                        <w:rPr>
                          <w:rFonts w:cstheme="minorHAnsi"/>
                          <w:i/>
                          <w:sz w:val="20"/>
                          <w:szCs w:val="20"/>
                        </w:rPr>
                      </w:pPr>
                    </w:p>
                  </w:txbxContent>
                </v:textbox>
                <w10:wrap anchorx="page"/>
              </v:shape>
            </w:pict>
          </mc:Fallback>
        </mc:AlternateContent>
      </w:r>
      <w:r w:rsidR="004D7B2C">
        <w:t xml:space="preserve"> a meziročně klesá</w:t>
      </w:r>
      <w:r w:rsidR="00815323" w:rsidRPr="004D7B2C">
        <w:t>.</w:t>
      </w:r>
    </w:p>
    <w:p w14:paraId="22BE07A6" w14:textId="77777777" w:rsidR="00B01126" w:rsidRPr="007F7EE4" w:rsidRDefault="00B01126" w:rsidP="007F7EE4">
      <w:pPr>
        <w:pStyle w:val="Graf0"/>
      </w:pPr>
      <w:bookmarkStart w:id="128" w:name="_Toc365274609"/>
      <w:bookmarkStart w:id="129" w:name="_Toc368988397"/>
      <w:bookmarkStart w:id="130" w:name="_Toc428351163"/>
      <w:bookmarkStart w:id="131" w:name="_Toc428357458"/>
      <w:bookmarkStart w:id="132" w:name="_Toc58244032"/>
      <w:bookmarkStart w:id="133" w:name="_Toc180650303"/>
      <w:r w:rsidRPr="007F7EE4">
        <w:lastRenderedPageBreak/>
        <w:t>Vývoj dluhové služby</w:t>
      </w:r>
      <w:bookmarkEnd w:id="128"/>
      <w:bookmarkEnd w:id="129"/>
      <w:bookmarkEnd w:id="130"/>
      <w:bookmarkEnd w:id="131"/>
      <w:bookmarkEnd w:id="132"/>
      <w:bookmarkEnd w:id="133"/>
    </w:p>
    <w:p w14:paraId="6F383448" w14:textId="3B478045" w:rsidR="00E02E36" w:rsidRPr="007C79E7" w:rsidRDefault="007E7B30" w:rsidP="005A4747">
      <w:pPr>
        <w:pStyle w:val="Objekt"/>
        <w:rPr>
          <w:noProof/>
        </w:rPr>
      </w:pPr>
      <w:bookmarkStart w:id="134" w:name="_Toc523300323"/>
      <w:bookmarkStart w:id="135" w:name="_Toc58244013"/>
      <w:r w:rsidRPr="007E7B30">
        <w:rPr>
          <w:noProof/>
        </w:rPr>
        <w:drawing>
          <wp:inline distT="0" distB="0" distL="0" distR="0" wp14:anchorId="19158AB0" wp14:editId="40589E58">
            <wp:extent cx="4860925" cy="2010410"/>
            <wp:effectExtent l="0" t="0" r="0" b="0"/>
            <wp:docPr id="633962781" name="Obráze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860925" cy="2010410"/>
                    </a:xfrm>
                    <a:prstGeom prst="rect">
                      <a:avLst/>
                    </a:prstGeom>
                    <a:noFill/>
                    <a:ln>
                      <a:noFill/>
                    </a:ln>
                  </pic:spPr>
                </pic:pic>
              </a:graphicData>
            </a:graphic>
          </wp:inline>
        </w:drawing>
      </w:r>
    </w:p>
    <w:p w14:paraId="5A3AAB36" w14:textId="77777777" w:rsidR="00F03800" w:rsidRDefault="006559F6" w:rsidP="003F4DD4">
      <w:pPr>
        <w:pStyle w:val="Nadpis2"/>
      </w:pPr>
      <w:bookmarkStart w:id="136" w:name="_Toc180650328"/>
      <w:r w:rsidRPr="00233938">
        <w:t>A</w:t>
      </w:r>
      <w:r w:rsidR="003F4DD4" w:rsidRPr="00233938">
        <w:t>nalýza zadlužení</w:t>
      </w:r>
      <w:bookmarkEnd w:id="136"/>
      <w:r w:rsidR="009935FB" w:rsidRPr="00233938">
        <w:t xml:space="preserve"> </w:t>
      </w:r>
    </w:p>
    <w:p w14:paraId="17C7169A" w14:textId="77777777" w:rsidR="008B49E5" w:rsidRPr="008B49E5" w:rsidRDefault="008B49E5" w:rsidP="008B49E5">
      <w:r>
        <w:t>Následující</w:t>
      </w:r>
      <w:r w:rsidRPr="004600C2">
        <w:t xml:space="preserve"> tabulka hodnotí zadlužení města z pohledu zákona č. 23/2017 Sb., o pravidlech rozpočtové odpovědnosti, posuzuje hodnotu fiskálního pravidla a při překročení 60% hranice určuje povinnou výši splátek.</w:t>
      </w:r>
    </w:p>
    <w:bookmarkStart w:id="137" w:name="_Toc180650273"/>
    <w:p w14:paraId="4BBADF92" w14:textId="77777777" w:rsidR="00B01126" w:rsidRPr="007F7EE4" w:rsidRDefault="0080074F" w:rsidP="009A770A">
      <w:pPr>
        <w:pStyle w:val="Tabulka"/>
      </w:pPr>
      <w:r w:rsidRPr="00846D3C">
        <w:rPr>
          <w:rFonts w:ascii="Verdana" w:hAnsi="Verdana"/>
          <w:noProof/>
          <w:sz w:val="19"/>
          <w:szCs w:val="22"/>
          <w:highlight w:val="cyan"/>
          <w:lang w:eastAsia="cs-CZ"/>
        </w:rPr>
        <mc:AlternateContent>
          <mc:Choice Requires="wps">
            <w:drawing>
              <wp:anchor distT="0" distB="0" distL="114300" distR="114300" simplePos="0" relativeHeight="251675136" behindDoc="0" locked="0" layoutInCell="1" allowOverlap="1" wp14:anchorId="45F9B689" wp14:editId="378A0BBD">
                <wp:simplePos x="0" y="0"/>
                <wp:positionH relativeFrom="page">
                  <wp:posOffset>540385</wp:posOffset>
                </wp:positionH>
                <wp:positionV relativeFrom="paragraph">
                  <wp:posOffset>180340</wp:posOffset>
                </wp:positionV>
                <wp:extent cx="1404000" cy="720000"/>
                <wp:effectExtent l="0" t="0" r="5715" b="4445"/>
                <wp:wrapNone/>
                <wp:docPr id="15" name="MG FP"/>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72000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60A889C1" w14:textId="17D28381" w:rsidR="0031735E" w:rsidRPr="001B58F3" w:rsidRDefault="007E7B30" w:rsidP="0080074F">
                            <w:pPr>
                              <w:spacing w:after="0"/>
                              <w:jc w:val="left"/>
                              <w:rPr>
                                <w:rFonts w:cstheme="minorHAnsi"/>
                                <w:i/>
                                <w:sz w:val="20"/>
                                <w:szCs w:val="20"/>
                              </w:rPr>
                            </w:pPr>
                            <w:r w:rsidRPr="007E7B30">
                              <w:rPr>
                                <w:rFonts w:cstheme="minorHAnsi"/>
                                <w:i/>
                                <w:noProof/>
                                <w:sz w:val="20"/>
                                <w:szCs w:val="20"/>
                              </w:rPr>
                              <w:drawing>
                                <wp:inline distT="0" distB="0" distL="0" distR="0" wp14:anchorId="78981F52" wp14:editId="6F4A7E0C">
                                  <wp:extent cx="1369060" cy="488950"/>
                                  <wp:effectExtent l="0" t="0" r="2540" b="6350"/>
                                  <wp:docPr id="433242345"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369060" cy="4889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45F9B689" id="MG FP" o:spid="_x0000_s1061" type="#_x0000_t202" style="position:absolute;left:0;text-align:left;margin-left:42.55pt;margin-top:14.2pt;width:110.55pt;height:56.7pt;z-index:2516751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" fillcolor="white [3201]" stroked="f" strokeweight=".5pt">
                <v:path arrowok="t"/>
                <v:textbox inset="0,0,0,0">
                  <w:txbxContent>
                    <w:p w14:paraId="60A889C1" w14:textId="17D28381" w:rsidR="0031735E" w:rsidRPr="001B58F3" w:rsidRDefault="007E7B30" w:rsidP="0080074F">
                      <w:pPr>
                        <w:spacing w:after="0"/>
                        <w:jc w:val="left"/>
                        <w:rPr>
                          <w:rFonts w:cstheme="minorHAnsi"/>
                          <w:i/>
                          <w:sz w:val="20"/>
                          <w:szCs w:val="20"/>
                        </w:rPr>
                      </w:pPr>
                      <w:r w:rsidRPr="007E7B30">
                        <w:rPr>
                          <w:rFonts w:cstheme="minorHAnsi"/>
                          <w:i/>
                          <w:noProof/>
                          <w:sz w:val="20"/>
                          <w:szCs w:val="20"/>
                        </w:rPr>
                        <w:drawing>
                          <wp:inline distT="0" distB="0" distL="0" distR="0" wp14:anchorId="78981F52" wp14:editId="6F4A7E0C">
                            <wp:extent cx="1369060" cy="488950"/>
                            <wp:effectExtent l="0" t="0" r="2540" b="6350"/>
                            <wp:docPr id="433242345"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369060" cy="488950"/>
                                    </a:xfrm>
                                    <a:prstGeom prst="rect">
                                      <a:avLst/>
                                    </a:prstGeom>
                                    <a:noFill/>
                                    <a:ln>
                                      <a:noFill/>
                                    </a:ln>
                                  </pic:spPr>
                                </pic:pic>
                              </a:graphicData>
                            </a:graphic>
                          </wp:inline>
                        </w:drawing>
                      </w:r>
                    </w:p>
                  </w:txbxContent>
                </v:textbox>
                <w10:wrap anchorx="page"/>
              </v:shape>
            </w:pict>
          </mc:Fallback>
        </mc:AlternateContent>
      </w:r>
      <w:r w:rsidR="00B01126" w:rsidRPr="007F7EE4">
        <w:t>Predikce rozpočtové odpovědnosti</w:t>
      </w:r>
      <w:bookmarkEnd w:id="134"/>
      <w:bookmarkEnd w:id="135"/>
      <w:bookmarkEnd w:id="137"/>
    </w:p>
    <w:p w14:paraId="5B1FC4C5" w14:textId="39843802" w:rsidR="00E02E36" w:rsidRPr="004F4117" w:rsidRDefault="007E7B30" w:rsidP="005A4747">
      <w:pPr>
        <w:pStyle w:val="Objekt"/>
        <w:rPr>
          <w:noProof/>
          <w:highlight w:val="yellow"/>
        </w:rPr>
      </w:pPr>
      <w:r w:rsidRPr="007E7B30">
        <w:rPr>
          <w:noProof/>
          <w:highlight w:val="yellow"/>
        </w:rPr>
        <w:drawing>
          <wp:inline distT="0" distB="0" distL="0" distR="0" wp14:anchorId="3C285DBA" wp14:editId="7DC6CF15">
            <wp:extent cx="4860925" cy="691515"/>
            <wp:effectExtent l="0" t="0" r="0" b="0"/>
            <wp:docPr id="439600158"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860925" cy="691515"/>
                    </a:xfrm>
                    <a:prstGeom prst="rect">
                      <a:avLst/>
                    </a:prstGeom>
                    <a:noFill/>
                    <a:ln>
                      <a:noFill/>
                    </a:ln>
                  </pic:spPr>
                </pic:pic>
              </a:graphicData>
            </a:graphic>
          </wp:inline>
        </w:drawing>
      </w:r>
    </w:p>
    <w:p w14:paraId="3BFD4EB3" w14:textId="77777777" w:rsidR="004F4D18" w:rsidRDefault="00B01126" w:rsidP="00E02E36">
      <w:r w:rsidRPr="00233938">
        <w:t xml:space="preserve">Výše celkového povoleného zadlužení je odvislá od výše celkových příjmů a teoretické navýšení dluhu pak navíc od výše dluhu současného. </w:t>
      </w:r>
    </w:p>
    <w:p w14:paraId="6CCCA682" w14:textId="7305CDBF" w:rsidR="00B01126" w:rsidRPr="004D7B2C" w:rsidRDefault="00B200B0" w:rsidP="00E02E36">
      <w:r>
        <w:t xml:space="preserve">Město </w:t>
      </w:r>
      <w:r w:rsidR="00E77FC3">
        <w:t>Chomutov</w:t>
      </w:r>
      <w:r w:rsidR="00B01126" w:rsidRPr="00233938">
        <w:t xml:space="preserve"> může ve výhledovém období </w:t>
      </w:r>
      <w:r w:rsidR="004F4D18">
        <w:t xml:space="preserve">celkově </w:t>
      </w:r>
      <w:r w:rsidR="00B01126" w:rsidRPr="00233938">
        <w:t xml:space="preserve">zvýšit svoje dluhové zatížení o </w:t>
      </w:r>
      <w:r w:rsidR="00E77FC3">
        <w:t>924,2</w:t>
      </w:r>
      <w:r w:rsidR="00CB54E5">
        <w:t xml:space="preserve"> </w:t>
      </w:r>
      <w:r w:rsidR="00B01126" w:rsidRPr="00233938">
        <w:t>mil. Kč (</w:t>
      </w:r>
      <w:r w:rsidR="00E77FC3">
        <w:t>2028</w:t>
      </w:r>
      <w:r w:rsidR="00B01126" w:rsidRPr="00233938">
        <w:t xml:space="preserve">) </w:t>
      </w:r>
      <w:r w:rsidR="004F4D18">
        <w:t xml:space="preserve">nebo </w:t>
      </w:r>
      <w:r w:rsidR="00B01126" w:rsidRPr="00233938">
        <w:t xml:space="preserve">až </w:t>
      </w:r>
      <w:r w:rsidR="00E77FC3">
        <w:t>947,9</w:t>
      </w:r>
      <w:r w:rsidR="00B01126" w:rsidRPr="00233938">
        <w:t xml:space="preserve"> mil. Kč (</w:t>
      </w:r>
      <w:r w:rsidR="00E77FC3">
        <w:t>2026</w:t>
      </w:r>
      <w:r w:rsidR="00B01126" w:rsidRPr="004D7B2C">
        <w:t xml:space="preserve">), aniž by </w:t>
      </w:r>
      <w:r w:rsidR="00A84EBA" w:rsidRPr="004D7B2C">
        <w:t>překročilo hodnoty</w:t>
      </w:r>
      <w:r w:rsidR="00B01126" w:rsidRPr="004D7B2C">
        <w:t xml:space="preserve"> </w:t>
      </w:r>
      <w:r w:rsidR="00D803B0" w:rsidRPr="004D7B2C">
        <w:t>pravidl</w:t>
      </w:r>
      <w:r w:rsidR="00A84EBA" w:rsidRPr="004D7B2C">
        <w:t>a</w:t>
      </w:r>
      <w:r w:rsidR="00D803B0" w:rsidRPr="004D7B2C">
        <w:t xml:space="preserve"> </w:t>
      </w:r>
      <w:r w:rsidR="00B01126" w:rsidRPr="004D7B2C">
        <w:t>rozpočtov</w:t>
      </w:r>
      <w:r w:rsidR="00D803B0" w:rsidRPr="004D7B2C">
        <w:t>é</w:t>
      </w:r>
      <w:r w:rsidR="00B01126" w:rsidRPr="004D7B2C">
        <w:t xml:space="preserve"> odpovědnost</w:t>
      </w:r>
      <w:r w:rsidR="00D803B0" w:rsidRPr="004D7B2C">
        <w:t>i</w:t>
      </w:r>
      <w:r w:rsidR="00B01126" w:rsidRPr="004D7B2C">
        <w:t>.</w:t>
      </w:r>
    </w:p>
    <w:p w14:paraId="021CCD7B" w14:textId="77777777" w:rsidR="00B01126" w:rsidRPr="004D7B2C" w:rsidRDefault="00B01126" w:rsidP="007F7EE4">
      <w:pPr>
        <w:pStyle w:val="Graf0"/>
      </w:pPr>
      <w:bookmarkStart w:id="138" w:name="_Toc523300314"/>
      <w:bookmarkStart w:id="139" w:name="_Toc58244033"/>
      <w:bookmarkStart w:id="140" w:name="_Toc180650304"/>
      <w:r w:rsidRPr="004D7B2C">
        <w:t xml:space="preserve">Vývoj </w:t>
      </w:r>
      <w:bookmarkEnd w:id="138"/>
      <w:r w:rsidRPr="004D7B2C">
        <w:t>teoretického navýšení dluhu</w:t>
      </w:r>
      <w:bookmarkEnd w:id="139"/>
      <w:bookmarkEnd w:id="140"/>
    </w:p>
    <w:p w14:paraId="26038BBA" w14:textId="452E17E4" w:rsidR="00B01126" w:rsidRPr="004D7B2C" w:rsidRDefault="007E7B30" w:rsidP="005A4747">
      <w:pPr>
        <w:pStyle w:val="Objekt"/>
      </w:pPr>
      <w:r w:rsidRPr="007E7B30">
        <w:rPr>
          <w:noProof/>
        </w:rPr>
        <w:drawing>
          <wp:inline distT="0" distB="0" distL="0" distR="0" wp14:anchorId="011D0D62" wp14:editId="3DA17073">
            <wp:extent cx="4860925" cy="2011045"/>
            <wp:effectExtent l="0" t="0" r="0" b="0"/>
            <wp:docPr id="1245340024" name="Obráze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860925" cy="2011045"/>
                    </a:xfrm>
                    <a:prstGeom prst="rect">
                      <a:avLst/>
                    </a:prstGeom>
                    <a:noFill/>
                    <a:ln>
                      <a:noFill/>
                    </a:ln>
                  </pic:spPr>
                </pic:pic>
              </a:graphicData>
            </a:graphic>
          </wp:inline>
        </w:drawing>
      </w:r>
    </w:p>
    <w:p w14:paraId="71142035" w14:textId="77777777" w:rsidR="00B01126" w:rsidRPr="00364D6D" w:rsidRDefault="00930D02" w:rsidP="00993408">
      <w:pPr>
        <w:rPr>
          <w:szCs w:val="22"/>
        </w:rPr>
      </w:pPr>
      <w:r w:rsidRPr="00364D6D">
        <w:rPr>
          <w:rStyle w:val="Bodytext2Bold"/>
          <w:b w:val="0"/>
          <w:bCs w:val="0"/>
          <w:sz w:val="22"/>
          <w:szCs w:val="22"/>
          <w:shd w:val="clear" w:color="auto" w:fill="auto"/>
        </w:rPr>
        <w:t>Střednědobý</w:t>
      </w:r>
      <w:r w:rsidR="00B01126" w:rsidRPr="00364D6D">
        <w:rPr>
          <w:rStyle w:val="Bodytext2Bold"/>
          <w:b w:val="0"/>
          <w:bCs w:val="0"/>
          <w:sz w:val="22"/>
          <w:szCs w:val="22"/>
          <w:shd w:val="clear" w:color="auto" w:fill="auto"/>
        </w:rPr>
        <w:t xml:space="preserve"> výhled </w:t>
      </w:r>
      <w:r w:rsidRPr="00364D6D">
        <w:rPr>
          <w:rStyle w:val="Bodytext2Bold"/>
          <w:b w:val="0"/>
          <w:bCs w:val="0"/>
          <w:sz w:val="22"/>
          <w:szCs w:val="22"/>
          <w:shd w:val="clear" w:color="auto" w:fill="auto"/>
        </w:rPr>
        <w:t xml:space="preserve">rozpočtu </w:t>
      </w:r>
      <w:r w:rsidR="00B01126" w:rsidRPr="00364D6D">
        <w:rPr>
          <w:rStyle w:val="Bodytext2Bold"/>
          <w:b w:val="0"/>
          <w:bCs w:val="0"/>
          <w:sz w:val="22"/>
          <w:szCs w:val="22"/>
          <w:shd w:val="clear" w:color="auto" w:fill="auto"/>
        </w:rPr>
        <w:t xml:space="preserve">by měl být v podstatě strategickým plánem </w:t>
      </w:r>
      <w:r w:rsidRPr="00364D6D">
        <w:rPr>
          <w:rStyle w:val="Bodytext2Bold"/>
          <w:b w:val="0"/>
          <w:bCs w:val="0"/>
          <w:sz w:val="22"/>
          <w:szCs w:val="22"/>
          <w:shd w:val="clear" w:color="auto" w:fill="auto"/>
        </w:rPr>
        <w:t>municipality</w:t>
      </w:r>
      <w:r w:rsidR="00B01126" w:rsidRPr="00364D6D">
        <w:rPr>
          <w:rStyle w:val="Bodytext2Bold"/>
          <w:b w:val="0"/>
          <w:bCs w:val="0"/>
          <w:sz w:val="22"/>
          <w:szCs w:val="22"/>
          <w:shd w:val="clear" w:color="auto" w:fill="auto"/>
        </w:rPr>
        <w:t>, ve</w:t>
      </w:r>
      <w:r w:rsidR="00B01126" w:rsidRPr="00364D6D">
        <w:rPr>
          <w:szCs w:val="22"/>
        </w:rPr>
        <w:t xml:space="preserve"> kterém jsou nastaveny </w:t>
      </w:r>
      <w:r w:rsidRPr="00364D6D">
        <w:rPr>
          <w:szCs w:val="22"/>
        </w:rPr>
        <w:t>optimální</w:t>
      </w:r>
      <w:r w:rsidR="00B01126" w:rsidRPr="00364D6D">
        <w:rPr>
          <w:szCs w:val="22"/>
        </w:rPr>
        <w:t xml:space="preserve"> hodnoty </w:t>
      </w:r>
      <w:r w:rsidR="00A20E5A" w:rsidRPr="00364D6D">
        <w:rPr>
          <w:szCs w:val="22"/>
        </w:rPr>
        <w:t xml:space="preserve">jejího </w:t>
      </w:r>
      <w:r w:rsidR="00B01126" w:rsidRPr="00364D6D">
        <w:rPr>
          <w:szCs w:val="22"/>
        </w:rPr>
        <w:t>hospodaření a důležit</w:t>
      </w:r>
      <w:r w:rsidRPr="00364D6D">
        <w:rPr>
          <w:szCs w:val="22"/>
        </w:rPr>
        <w:t>é</w:t>
      </w:r>
      <w:r w:rsidR="00B01126" w:rsidRPr="00364D6D">
        <w:rPr>
          <w:szCs w:val="22"/>
        </w:rPr>
        <w:t xml:space="preserve"> ukazatel</w:t>
      </w:r>
      <w:r w:rsidRPr="00364D6D">
        <w:rPr>
          <w:szCs w:val="22"/>
        </w:rPr>
        <w:t>e,</w:t>
      </w:r>
      <w:r w:rsidR="00B01126" w:rsidRPr="00364D6D">
        <w:rPr>
          <w:szCs w:val="22"/>
        </w:rPr>
        <w:t xml:space="preserve"> včetně a</w:t>
      </w:r>
      <w:r w:rsidR="00B01126" w:rsidRPr="00364D6D">
        <w:rPr>
          <w:rStyle w:val="Bodytext2Bold"/>
          <w:b w:val="0"/>
          <w:bCs w:val="0"/>
          <w:sz w:val="22"/>
          <w:szCs w:val="22"/>
          <w:shd w:val="clear" w:color="auto" w:fill="auto"/>
        </w:rPr>
        <w:t xml:space="preserve">ktivního řízení zadluženosti </w:t>
      </w:r>
      <w:r w:rsidR="00B01126" w:rsidRPr="00364D6D">
        <w:rPr>
          <w:szCs w:val="22"/>
        </w:rPr>
        <w:t>s cílem stanovit únosnou dluhovou službu, kterou bude v budoucnu schopna splácet.</w:t>
      </w:r>
    </w:p>
    <w:p w14:paraId="2C248698" w14:textId="659F5DCF" w:rsidR="00AF39E1" w:rsidRDefault="00823476" w:rsidP="00AF39E1">
      <w:pPr>
        <w:rPr>
          <w:szCs w:val="22"/>
        </w:rPr>
      </w:pPr>
      <w:r w:rsidRPr="00F2308A">
        <w:rPr>
          <w:szCs w:val="22"/>
        </w:rPr>
        <w:lastRenderedPageBreak/>
        <w:t>Velice rychlým a jednoduchým testem zadluženosti obce j</w:t>
      </w:r>
      <w:r w:rsidR="00A54728">
        <w:rPr>
          <w:szCs w:val="22"/>
        </w:rPr>
        <w:t>sou</w:t>
      </w:r>
      <w:r w:rsidRPr="00F2308A">
        <w:rPr>
          <w:szCs w:val="22"/>
        </w:rPr>
        <w:t xml:space="preserve"> </w:t>
      </w:r>
      <w:r w:rsidRPr="00F2308A">
        <w:rPr>
          <w:b/>
          <w:szCs w:val="22"/>
        </w:rPr>
        <w:t>ukazatel</w:t>
      </w:r>
      <w:r w:rsidR="00F2308A" w:rsidRPr="00F2308A">
        <w:rPr>
          <w:b/>
          <w:szCs w:val="22"/>
        </w:rPr>
        <w:t xml:space="preserve"> provozního krytí dluhu (platební schopnost I. řádu</w:t>
      </w:r>
      <w:r w:rsidRPr="00F2308A">
        <w:rPr>
          <w:szCs w:val="22"/>
        </w:rPr>
        <w:t>, který říká</w:t>
      </w:r>
      <w:r w:rsidR="00E513AC">
        <w:rPr>
          <w:szCs w:val="22"/>
        </w:rPr>
        <w:t xml:space="preserve">, </w:t>
      </w:r>
      <w:r w:rsidRPr="00F2308A">
        <w:rPr>
          <w:szCs w:val="22"/>
        </w:rPr>
        <w:t>za kolik let je obec schopna splatit své dlouhodobé závazky z vlastních zdrojů</w:t>
      </w:r>
      <w:r w:rsidR="00A54728">
        <w:rPr>
          <w:szCs w:val="22"/>
        </w:rPr>
        <w:t>,</w:t>
      </w:r>
      <w:r w:rsidRPr="00F2308A">
        <w:rPr>
          <w:szCs w:val="22"/>
        </w:rPr>
        <w:t xml:space="preserve"> </w:t>
      </w:r>
      <w:r w:rsidR="00A54728" w:rsidRPr="00A54728">
        <w:rPr>
          <w:b/>
          <w:bCs/>
          <w:szCs w:val="22"/>
        </w:rPr>
        <w:t>ukazatel</w:t>
      </w:r>
      <w:r w:rsidR="00A54728">
        <w:rPr>
          <w:szCs w:val="22"/>
        </w:rPr>
        <w:t xml:space="preserve"> </w:t>
      </w:r>
      <w:r w:rsidR="00A54728" w:rsidRPr="00B200B0">
        <w:rPr>
          <w:b/>
          <w:szCs w:val="22"/>
        </w:rPr>
        <w:t>krytí roční dluhové služby (platební schopnost II. řádu</w:t>
      </w:r>
      <w:r w:rsidR="00A54728">
        <w:rPr>
          <w:szCs w:val="22"/>
        </w:rPr>
        <w:t>,</w:t>
      </w:r>
      <w:r w:rsidR="00A54728" w:rsidRPr="00B200B0">
        <w:rPr>
          <w:szCs w:val="22"/>
        </w:rPr>
        <w:t xml:space="preserve"> </w:t>
      </w:r>
      <w:r w:rsidR="00A54728">
        <w:rPr>
          <w:szCs w:val="22"/>
        </w:rPr>
        <w:t xml:space="preserve">jehož </w:t>
      </w:r>
      <w:r w:rsidR="00A54728" w:rsidRPr="005A18E6">
        <w:rPr>
          <w:szCs w:val="22"/>
        </w:rPr>
        <w:t>vyjadřující poměr ročních splátek dluhu k provoznímu přebytku</w:t>
      </w:r>
      <w:r w:rsidR="00A54728">
        <w:rPr>
          <w:szCs w:val="22"/>
        </w:rPr>
        <w:t>) a</w:t>
      </w:r>
      <w:r w:rsidR="00A54728" w:rsidRPr="00A54728">
        <w:rPr>
          <w:szCs w:val="22"/>
        </w:rPr>
        <w:t xml:space="preserve"> </w:t>
      </w:r>
      <w:r w:rsidR="00A54728" w:rsidRPr="00A54728">
        <w:rPr>
          <w:b/>
          <w:bCs/>
          <w:szCs w:val="22"/>
        </w:rPr>
        <w:t>ukazatel</w:t>
      </w:r>
      <w:r w:rsidR="00A54728" w:rsidRPr="00F2308A">
        <w:rPr>
          <w:szCs w:val="22"/>
        </w:rPr>
        <w:t xml:space="preserve"> </w:t>
      </w:r>
      <w:r w:rsidR="00A54728" w:rsidRPr="00F2308A">
        <w:rPr>
          <w:b/>
          <w:szCs w:val="22"/>
        </w:rPr>
        <w:t>Finanční zadluženosti</w:t>
      </w:r>
      <w:r w:rsidR="00A54728">
        <w:rPr>
          <w:b/>
          <w:szCs w:val="22"/>
        </w:rPr>
        <w:t xml:space="preserve">, </w:t>
      </w:r>
      <w:r w:rsidR="00A54728" w:rsidRPr="00A54728">
        <w:rPr>
          <w:bCs/>
          <w:szCs w:val="22"/>
        </w:rPr>
        <w:t>který</w:t>
      </w:r>
      <w:r w:rsidR="00A54728" w:rsidRPr="00F2308A">
        <w:rPr>
          <w:szCs w:val="22"/>
        </w:rPr>
        <w:t xml:space="preserve"> je konstruován jako poměr ročních splátek dluhu k běžným příjmům města a vyjadřuje podíl běžných příjmů, které je potřeba vyčlenit na roční splátku dluhu</w:t>
      </w:r>
      <w:r w:rsidR="00A54728" w:rsidRPr="005A18E6">
        <w:rPr>
          <w:szCs w:val="22"/>
        </w:rPr>
        <w:t>.</w:t>
      </w:r>
      <w:r w:rsidR="00A54728">
        <w:rPr>
          <w:szCs w:val="22"/>
        </w:rPr>
        <w:t xml:space="preserve"> </w:t>
      </w:r>
      <w:r w:rsidR="00A54728" w:rsidRPr="00D04EA5">
        <w:t>Při stávající nulové výši dluhu na konci roku 2024</w:t>
      </w:r>
      <w:r w:rsidR="00A54728">
        <w:t xml:space="preserve"> všechny tři ukazatelé nabývají nulových hodnot.</w:t>
      </w:r>
    </w:p>
    <w:p w14:paraId="1F867CB0" w14:textId="382169A7" w:rsidR="00B86A95" w:rsidRPr="0035381A" w:rsidRDefault="00B86A95" w:rsidP="00B86A95">
      <w:pPr>
        <w:rPr>
          <w:i/>
          <w:szCs w:val="22"/>
        </w:rPr>
      </w:pPr>
      <w:r w:rsidRPr="0035381A">
        <w:rPr>
          <w:szCs w:val="22"/>
        </w:rPr>
        <w:t xml:space="preserve">Za pomocí výše uvedeného jsme </w:t>
      </w:r>
      <w:r w:rsidR="0035381A" w:rsidRPr="0035381A">
        <w:rPr>
          <w:szCs w:val="22"/>
        </w:rPr>
        <w:t>s</w:t>
      </w:r>
      <w:r w:rsidR="00CA0DE4" w:rsidRPr="0035381A">
        <w:rPr>
          <w:szCs w:val="22"/>
        </w:rPr>
        <w:t xml:space="preserve">tanovili </w:t>
      </w:r>
      <w:r w:rsidRPr="0035381A">
        <w:rPr>
          <w:szCs w:val="22"/>
        </w:rPr>
        <w:t>bezpečnou výši zadlužení pro období střednědobého výhledu. Výpočet vychází z</w:t>
      </w:r>
      <w:r w:rsidR="00C02956">
        <w:rPr>
          <w:szCs w:val="22"/>
        </w:rPr>
        <w:t> </w:t>
      </w:r>
      <w:r w:rsidRPr="0035381A">
        <w:rPr>
          <w:szCs w:val="22"/>
        </w:rPr>
        <w:t>nastaven</w:t>
      </w:r>
      <w:r w:rsidR="00C02956">
        <w:rPr>
          <w:szCs w:val="22"/>
        </w:rPr>
        <w:t>ých hodnot</w:t>
      </w:r>
      <w:r w:rsidRPr="0035381A">
        <w:rPr>
          <w:szCs w:val="22"/>
        </w:rPr>
        <w:t xml:space="preserve"> ukazatelů, kde stěžejní roli hraj</w:t>
      </w:r>
      <w:r w:rsidR="00C33820" w:rsidRPr="0035381A">
        <w:rPr>
          <w:szCs w:val="22"/>
        </w:rPr>
        <w:t>e vývoj</w:t>
      </w:r>
      <w:r w:rsidRPr="0035381A">
        <w:rPr>
          <w:szCs w:val="22"/>
        </w:rPr>
        <w:t xml:space="preserve"> příjm</w:t>
      </w:r>
      <w:r w:rsidR="00C33820" w:rsidRPr="0035381A">
        <w:rPr>
          <w:szCs w:val="22"/>
        </w:rPr>
        <w:t>ů</w:t>
      </w:r>
      <w:r w:rsidRPr="0035381A">
        <w:rPr>
          <w:szCs w:val="22"/>
        </w:rPr>
        <w:t xml:space="preserve"> ze sdílených daní</w:t>
      </w:r>
      <w:r w:rsidR="00C33820" w:rsidRPr="0035381A">
        <w:rPr>
          <w:szCs w:val="22"/>
        </w:rPr>
        <w:t>, výše a predikce provozního přebytku samotných běžných příjmů</w:t>
      </w:r>
      <w:r w:rsidRPr="0035381A">
        <w:rPr>
          <w:szCs w:val="22"/>
        </w:rPr>
        <w:t xml:space="preserve"> na příjmové straně</w:t>
      </w:r>
      <w:r w:rsidR="00CA0DE4" w:rsidRPr="0035381A">
        <w:rPr>
          <w:szCs w:val="22"/>
        </w:rPr>
        <w:t>,</w:t>
      </w:r>
      <w:r w:rsidRPr="0035381A">
        <w:rPr>
          <w:szCs w:val="22"/>
        </w:rPr>
        <w:t xml:space="preserve"> výdaje na platy včetně pojistného</w:t>
      </w:r>
      <w:r w:rsidR="00C33820" w:rsidRPr="0035381A">
        <w:rPr>
          <w:szCs w:val="22"/>
        </w:rPr>
        <w:t xml:space="preserve"> </w:t>
      </w:r>
      <w:r w:rsidR="00164BA3" w:rsidRPr="0035381A">
        <w:rPr>
          <w:szCs w:val="22"/>
        </w:rPr>
        <w:t>a struktura</w:t>
      </w:r>
      <w:r w:rsidR="00C33820" w:rsidRPr="0035381A">
        <w:rPr>
          <w:szCs w:val="22"/>
        </w:rPr>
        <w:t xml:space="preserve"> výdajových položek</w:t>
      </w:r>
      <w:r w:rsidRPr="0035381A">
        <w:rPr>
          <w:szCs w:val="22"/>
        </w:rPr>
        <w:t xml:space="preserve"> na straně běžných výdajů.</w:t>
      </w:r>
      <w:r w:rsidR="00C33820" w:rsidRPr="0035381A">
        <w:rPr>
          <w:szCs w:val="22"/>
        </w:rPr>
        <w:t xml:space="preserve"> Ve splátkách dluhu hraje významnou roli provozní přebytek</w:t>
      </w:r>
      <w:r w:rsidR="00DD3034" w:rsidRPr="0035381A">
        <w:rPr>
          <w:szCs w:val="22"/>
        </w:rPr>
        <w:t>. K určení hranice pro bezpečnou výši zadlužení vycházíme z předpokladu, že doba k ce</w:t>
      </w:r>
      <w:r w:rsidR="00E534FE" w:rsidRPr="0035381A">
        <w:rPr>
          <w:szCs w:val="22"/>
        </w:rPr>
        <w:t>lkovému umoření dluhu nebude del</w:t>
      </w:r>
      <w:r w:rsidR="00DD3034" w:rsidRPr="0035381A">
        <w:rPr>
          <w:szCs w:val="22"/>
        </w:rPr>
        <w:t xml:space="preserve">ší než 10 let, optimálně by mělo stačit 6 let. </w:t>
      </w:r>
      <w:r w:rsidRPr="0035381A">
        <w:rPr>
          <w:szCs w:val="22"/>
        </w:rPr>
        <w:t>Hranice</w:t>
      </w:r>
      <w:r w:rsidR="00DD3034" w:rsidRPr="0035381A">
        <w:rPr>
          <w:szCs w:val="22"/>
        </w:rPr>
        <w:t xml:space="preserve"> </w:t>
      </w:r>
      <w:r w:rsidR="002D36F6">
        <w:rPr>
          <w:szCs w:val="22"/>
        </w:rPr>
        <w:t xml:space="preserve">pro </w:t>
      </w:r>
      <w:r w:rsidR="002D36F6" w:rsidRPr="008B0BED">
        <w:rPr>
          <w:szCs w:val="22"/>
        </w:rPr>
        <w:t>bezpečnou</w:t>
      </w:r>
      <w:r w:rsidRPr="008B0BED">
        <w:rPr>
          <w:szCs w:val="22"/>
        </w:rPr>
        <w:t xml:space="preserve"> výši</w:t>
      </w:r>
      <w:r w:rsidRPr="0035381A">
        <w:rPr>
          <w:szCs w:val="22"/>
        </w:rPr>
        <w:t xml:space="preserve"> zadlužení </w:t>
      </w:r>
      <w:r w:rsidR="00DD3034" w:rsidRPr="0035381A">
        <w:rPr>
          <w:szCs w:val="22"/>
        </w:rPr>
        <w:t>j</w:t>
      </w:r>
      <w:r w:rsidRPr="0035381A">
        <w:rPr>
          <w:szCs w:val="22"/>
        </w:rPr>
        <w:t>e stanov</w:t>
      </w:r>
      <w:r w:rsidR="00DD3034" w:rsidRPr="0035381A">
        <w:rPr>
          <w:szCs w:val="22"/>
        </w:rPr>
        <w:t>ena</w:t>
      </w:r>
      <w:r w:rsidRPr="0035381A">
        <w:rPr>
          <w:szCs w:val="22"/>
        </w:rPr>
        <w:t xml:space="preserve"> na:</w:t>
      </w:r>
    </w:p>
    <w:p w14:paraId="08E631BC" w14:textId="343CC60E" w:rsidR="00132653" w:rsidRPr="00FB4E51" w:rsidRDefault="00132653" w:rsidP="00B86A95">
      <w:pPr>
        <w:pStyle w:val="altNadpis1"/>
        <w:jc w:val="center"/>
      </w:pPr>
      <w:r w:rsidRPr="00606A5A">
        <w:t>953,0 mil. Kč</w:t>
      </w:r>
    </w:p>
    <w:p w14:paraId="532178BB" w14:textId="5E36998F" w:rsidR="00B86A95" w:rsidRDefault="004C28B2" w:rsidP="00993408">
      <w:r w:rsidRPr="00846D3C">
        <w:rPr>
          <w:rFonts w:ascii="Verdana" w:hAnsi="Verdana"/>
          <w:noProof/>
          <w:sz w:val="19"/>
          <w:szCs w:val="22"/>
          <w:highlight w:val="cyan"/>
          <w:lang w:eastAsia="cs-CZ"/>
        </w:rPr>
        <mc:AlternateContent>
          <mc:Choice Requires="wps">
            <w:drawing>
              <wp:anchor distT="0" distB="0" distL="114300" distR="114300" simplePos="0" relativeHeight="251663872" behindDoc="0" locked="0" layoutInCell="1" allowOverlap="1" wp14:anchorId="0EE1BE2D" wp14:editId="72285195">
                <wp:simplePos x="0" y="0"/>
                <wp:positionH relativeFrom="page">
                  <wp:posOffset>539115</wp:posOffset>
                </wp:positionH>
                <wp:positionV relativeFrom="paragraph">
                  <wp:posOffset>0</wp:posOffset>
                </wp:positionV>
                <wp:extent cx="1404000" cy="878400"/>
                <wp:effectExtent l="0" t="0" r="5715" b="0"/>
                <wp:wrapNone/>
                <wp:docPr id="40"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87840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70FA0B33" w14:textId="54AA6797" w:rsidR="0031735E" w:rsidRPr="00370D4F" w:rsidRDefault="0031735E" w:rsidP="004C28B2">
                            <w:pPr>
                              <w:spacing w:before="0"/>
                              <w:jc w:val="left"/>
                              <w:rPr>
                                <w:rFonts w:cstheme="minorHAnsi"/>
                                <w:i/>
                                <w:szCs w:val="22"/>
                              </w:rPr>
                            </w:pPr>
                            <w:r>
                              <w:rPr>
                                <w:rStyle w:val="Odkaznakoment"/>
                                <w:rFonts w:cstheme="minorHAnsi"/>
                                <w:i/>
                                <w:sz w:val="20"/>
                                <w:szCs w:val="20"/>
                              </w:rPr>
                              <w:t xml:space="preserve">Hranice bezpečné výše zadlužení je </w:t>
                            </w:r>
                            <w:r w:rsidR="00E77FC3">
                              <w:t>vyš</w:t>
                            </w:r>
                            <w:r w:rsidR="002F3709">
                              <w:t>š</w:t>
                            </w:r>
                            <w:r w:rsidR="00E77FC3">
                              <w:t>í</w:t>
                            </w:r>
                            <w:r w:rsidR="002F3709">
                              <w:t>,</w:t>
                            </w:r>
                            <w:r>
                              <w:rPr>
                                <w:rStyle w:val="Odkaznakoment"/>
                                <w:rFonts w:cstheme="minorHAnsi"/>
                                <w:i/>
                                <w:sz w:val="20"/>
                                <w:szCs w:val="20"/>
                              </w:rPr>
                              <w:t xml:space="preserve"> než určuje zákon o rozpočtové odpovědnosti</w:t>
                            </w:r>
                          </w:p>
                          <w:p w14:paraId="438CAA66" w14:textId="77777777" w:rsidR="0031735E" w:rsidRPr="001B58F3" w:rsidRDefault="0031735E" w:rsidP="00E03088">
                            <w:pPr>
                              <w:spacing w:after="0"/>
                              <w:jc w:val="left"/>
                              <w:rPr>
                                <w:rFonts w:cstheme="minorHAnsi"/>
                                <w:i/>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0EE1BE2D" id="_x0000_s1062" type="#_x0000_t202" style="position:absolute;left:0;text-align:left;margin-left:42.45pt;margin-top:0;width:110.55pt;height:69.15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" fillcolor="white [3201]" stroked="f" strokeweight=".5pt">
                <v:path arrowok="t"/>
                <v:textbox inset="0,0,0,0">
                  <w:txbxContent>
                    <w:p w14:paraId="70FA0B33" w14:textId="54AA6797" w:rsidR="0031735E" w:rsidRPr="00370D4F" w:rsidRDefault="0031735E" w:rsidP="004C28B2">
                      <w:pPr>
                        <w:spacing w:before="0"/>
                        <w:jc w:val="left"/>
                        <w:rPr>
                          <w:rFonts w:cstheme="minorHAnsi"/>
                          <w:i/>
                          <w:szCs w:val="22"/>
                        </w:rPr>
                      </w:pPr>
                      <w:r>
                        <w:rPr>
                          <w:rStyle w:val="Odkaznakoment"/>
                          <w:rFonts w:cstheme="minorHAnsi"/>
                          <w:i/>
                          <w:sz w:val="20"/>
                          <w:szCs w:val="20"/>
                        </w:rPr>
                        <w:t xml:space="preserve">Hranice bezpečné výše zadlužení je </w:t>
                      </w:r>
                      <w:r w:rsidR="00E77FC3">
                        <w:t>vyš</w:t>
                      </w:r>
                      <w:r w:rsidR="002F3709">
                        <w:t>š</w:t>
                      </w:r>
                      <w:r w:rsidR="00E77FC3">
                        <w:t>í</w:t>
                      </w:r>
                      <w:r w:rsidR="002F3709">
                        <w:t>,</w:t>
                      </w:r>
                      <w:r>
                        <w:rPr>
                          <w:rStyle w:val="Odkaznakoment"/>
                          <w:rFonts w:cstheme="minorHAnsi"/>
                          <w:i/>
                          <w:sz w:val="20"/>
                          <w:szCs w:val="20"/>
                        </w:rPr>
                        <w:t xml:space="preserve"> než určuje zákon o rozpočtové odpovědnosti</w:t>
                      </w:r>
                    </w:p>
                    <w:p w14:paraId="438CAA66" w14:textId="77777777" w:rsidR="0031735E" w:rsidRPr="001B58F3" w:rsidRDefault="0031735E" w:rsidP="00E03088">
                      <w:pPr>
                        <w:spacing w:after="0"/>
                        <w:jc w:val="left"/>
                        <w:rPr>
                          <w:rFonts w:cstheme="minorHAnsi"/>
                          <w:i/>
                          <w:sz w:val="20"/>
                          <w:szCs w:val="20"/>
                        </w:rPr>
                      </w:pPr>
                    </w:p>
                  </w:txbxContent>
                </v:textbox>
                <w10:wrap anchorx="page"/>
              </v:shape>
            </w:pict>
          </mc:Fallback>
        </mc:AlternateContent>
      </w:r>
      <w:r w:rsidR="00DD3034" w:rsidRPr="00FB4E51">
        <w:rPr>
          <w:szCs w:val="22"/>
        </w:rPr>
        <w:t xml:space="preserve">Při této výši zadlužení bude zajištěn bezproblémový </w:t>
      </w:r>
      <w:r w:rsidR="00F63AF6" w:rsidRPr="00FB4E51">
        <w:rPr>
          <w:szCs w:val="22"/>
        </w:rPr>
        <w:t xml:space="preserve">provoz a nebude ani omezen další rozvoj města. </w:t>
      </w:r>
      <w:r w:rsidR="00C07709" w:rsidRPr="00FB4E51">
        <w:rPr>
          <w:szCs w:val="22"/>
        </w:rPr>
        <w:t>Nelze ale zaměňovat výši dluhu neomezené</w:t>
      </w:r>
      <w:r w:rsidR="007D7574">
        <w:rPr>
          <w:szCs w:val="22"/>
        </w:rPr>
        <w:t>ho</w:t>
      </w:r>
      <w:r w:rsidR="00C07709" w:rsidRPr="00FB4E51">
        <w:rPr>
          <w:szCs w:val="22"/>
        </w:rPr>
        <w:t xml:space="preserve"> zákonem o rozpočtové odpovědnosti s povinností zajistit splátky z výše dluhu (požadavek zákona). Podle zákona o rozpočtové odpovědnosti je požadavek na zajištění meziročních splátek celkového dluhu </w:t>
      </w:r>
      <w:r w:rsidR="00C02956" w:rsidRPr="00C02956">
        <w:rPr>
          <w:szCs w:val="22"/>
        </w:rPr>
        <w:t>nad hodnoty v tabulce „Predikce rozpočtové odpovědnosti“</w:t>
      </w:r>
      <w:r w:rsidR="00C07709" w:rsidRPr="00FB4E51">
        <w:rPr>
          <w:szCs w:val="22"/>
        </w:rPr>
        <w:t xml:space="preserve"> ve výši 5</w:t>
      </w:r>
      <w:r w:rsidR="002F3709">
        <w:rPr>
          <w:szCs w:val="22"/>
        </w:rPr>
        <w:t> </w:t>
      </w:r>
      <w:r w:rsidR="00C07709" w:rsidRPr="00FB4E51">
        <w:rPr>
          <w:szCs w:val="22"/>
        </w:rPr>
        <w:t xml:space="preserve">% </w:t>
      </w:r>
      <w:r w:rsidR="008E6FAF" w:rsidRPr="00FB4E51">
        <w:rPr>
          <w:szCs w:val="22"/>
        </w:rPr>
        <w:t xml:space="preserve">z rozdílu mezi </w:t>
      </w:r>
      <w:r w:rsidR="008E6FAF" w:rsidRPr="00FB4E51">
        <w:t>výší dluhu a 60 % jeho průměrných příjmů za poslední 4 roky</w:t>
      </w:r>
      <w:r w:rsidR="005A5E75" w:rsidRPr="00FB4E51">
        <w:t>.</w:t>
      </w:r>
      <w:r w:rsidR="00DB7CA6" w:rsidRPr="00FB4E51">
        <w:t xml:space="preserve"> </w:t>
      </w:r>
      <w:r w:rsidR="006E7538" w:rsidRPr="00FB4E51">
        <w:t>H</w:t>
      </w:r>
      <w:r w:rsidR="005A5E75" w:rsidRPr="00FB4E51">
        <w:t xml:space="preserve">ranice bezpečného zadlužení </w:t>
      </w:r>
      <w:r w:rsidR="006E7538" w:rsidRPr="00FB4E51">
        <w:t xml:space="preserve">je </w:t>
      </w:r>
      <w:r w:rsidR="006E7538" w:rsidRPr="006A53D8">
        <w:t xml:space="preserve">o </w:t>
      </w:r>
      <w:r w:rsidR="00CD1239" w:rsidRPr="006A53D8">
        <w:t xml:space="preserve">cca </w:t>
      </w:r>
      <w:r w:rsidR="00132653" w:rsidRPr="006A53D8">
        <w:t>65,3</w:t>
      </w:r>
      <w:r w:rsidR="00132653">
        <w:t xml:space="preserve"> </w:t>
      </w:r>
      <w:r w:rsidR="006E7538" w:rsidRPr="00FB4E51">
        <w:t xml:space="preserve">mil. Kč </w:t>
      </w:r>
      <w:r w:rsidR="00E77FC3">
        <w:t>vyšší</w:t>
      </w:r>
      <w:r w:rsidR="006E7538" w:rsidRPr="00FB4E51">
        <w:t xml:space="preserve"> než hodnota vypočítaná dle zákona o rozpočtové odpovědnosti</w:t>
      </w:r>
      <w:r w:rsidR="000A374A">
        <w:t xml:space="preserve"> na aktuální rok</w:t>
      </w:r>
      <w:r w:rsidR="006E7538" w:rsidRPr="00FB4E51">
        <w:t xml:space="preserve">. Tato skutečnost vyplývá z algoritmu výpočtu. Zatím co zákon vychází z hodnot celkových příjmů za minulé 4 roky, výpočet hranice bezpečné výše zadlužení využívá hodnoty budoucích let </w:t>
      </w:r>
      <w:r w:rsidR="000D195F" w:rsidRPr="00FB4E51">
        <w:t>SVR</w:t>
      </w:r>
      <w:r w:rsidR="002B549D">
        <w:t>.</w:t>
      </w:r>
    </w:p>
    <w:p w14:paraId="4621826A" w14:textId="77777777" w:rsidR="003137C1" w:rsidRDefault="003137C1" w:rsidP="00993408">
      <w:r>
        <w:br w:type="page"/>
      </w:r>
    </w:p>
    <w:p w14:paraId="0E94E63E" w14:textId="77777777" w:rsidR="00B01126" w:rsidRPr="001F6AC2" w:rsidRDefault="00B01126" w:rsidP="00993408">
      <w:pPr>
        <w:pStyle w:val="Nadpis1"/>
      </w:pPr>
      <w:bookmarkStart w:id="141" w:name="_Toc62211729"/>
      <w:bookmarkStart w:id="142" w:name="_Toc180650329"/>
      <w:r w:rsidRPr="001F6AC2">
        <w:lastRenderedPageBreak/>
        <w:t>Ekonomické hodnocení</w:t>
      </w:r>
      <w:bookmarkEnd w:id="141"/>
      <w:bookmarkEnd w:id="142"/>
    </w:p>
    <w:p w14:paraId="015181D0" w14:textId="77777777" w:rsidR="00B01126" w:rsidRPr="001F6AC2" w:rsidRDefault="00B01126" w:rsidP="00993408">
      <w:r w:rsidRPr="001F6AC2">
        <w:t xml:space="preserve">Územní samosprávný celek by měl při tvorbě koncepčních materiálů a dlouhodobějších plánů, ale i při hledání všech finančních zdrojů, vycházet z odborného posouzení schopností vlastní ekonomiky. Ekonomická analýza by se měla opírat o komplexní hodnocení řady kritérií, které přináší například </w:t>
      </w:r>
      <w:r w:rsidR="00742F18" w:rsidRPr="001F6AC2">
        <w:t>ekonomické hodnocení</w:t>
      </w:r>
      <w:r w:rsidRPr="001F6AC2">
        <w:t xml:space="preserve"> územního samosprávného celku. </w:t>
      </w:r>
      <w:r w:rsidR="00742F18" w:rsidRPr="001F6AC2">
        <w:t>Ekonomické hodnocení</w:t>
      </w:r>
      <w:r w:rsidRPr="001F6AC2">
        <w:t xml:space="preserve"> společnosti AQE, </w:t>
      </w:r>
      <w:proofErr w:type="spellStart"/>
      <w:r w:rsidRPr="001F6AC2">
        <w:t>advisors</w:t>
      </w:r>
      <w:proofErr w:type="spellEnd"/>
      <w:r w:rsidRPr="001F6AC2">
        <w:t>, a.s. je sestaven</w:t>
      </w:r>
      <w:r w:rsidR="001A3B44" w:rsidRPr="001F6AC2">
        <w:t>o</w:t>
      </w:r>
      <w:r w:rsidRPr="001F6AC2">
        <w:t xml:space="preserve"> na základě 20 vybraných ukazatelů rozdělených do 5 dílčích oblastí hospodaření.</w:t>
      </w:r>
    </w:p>
    <w:p w14:paraId="2EEDBF43" w14:textId="77777777" w:rsidR="008F135F" w:rsidRPr="001F6AC2" w:rsidRDefault="008F135F" w:rsidP="00080619">
      <w:pPr>
        <w:pStyle w:val="Kaskda0"/>
        <w:numPr>
          <w:ilvl w:val="0"/>
          <w:numId w:val="36"/>
        </w:numPr>
      </w:pPr>
      <w:r w:rsidRPr="001F6AC2">
        <w:t>Příjmy – zhodnocení příjmových kategorií</w:t>
      </w:r>
    </w:p>
    <w:p w14:paraId="71CF37BE" w14:textId="77777777" w:rsidR="008F135F" w:rsidRPr="001F6AC2" w:rsidRDefault="008F135F" w:rsidP="00080619">
      <w:pPr>
        <w:pStyle w:val="Kaskda0"/>
        <w:numPr>
          <w:ilvl w:val="0"/>
          <w:numId w:val="36"/>
        </w:numPr>
      </w:pPr>
      <w:r w:rsidRPr="001F6AC2">
        <w:t>Hospodaření – zhodnocení stavu a vývoje hospodaření s příjmy a výdaji</w:t>
      </w:r>
    </w:p>
    <w:p w14:paraId="359A6787" w14:textId="77777777" w:rsidR="008F135F" w:rsidRPr="001F6AC2" w:rsidRDefault="008F135F" w:rsidP="00080619">
      <w:pPr>
        <w:pStyle w:val="Kaskda0"/>
        <w:numPr>
          <w:ilvl w:val="0"/>
          <w:numId w:val="36"/>
        </w:numPr>
      </w:pPr>
      <w:r w:rsidRPr="001F6AC2">
        <w:t>Dluhové – zhodnocení dluhové služby a schopnosti splácet dluh</w:t>
      </w:r>
    </w:p>
    <w:p w14:paraId="7F826CB2" w14:textId="77777777" w:rsidR="008F135F" w:rsidRPr="001F6AC2" w:rsidRDefault="008F135F" w:rsidP="00080619">
      <w:pPr>
        <w:pStyle w:val="Kaskda0"/>
        <w:numPr>
          <w:ilvl w:val="0"/>
          <w:numId w:val="36"/>
        </w:numPr>
      </w:pPr>
      <w:r w:rsidRPr="001F6AC2">
        <w:t>Finanční – zhodnocení finanční nezávislosti a její ovlivnitelnost</w:t>
      </w:r>
      <w:r w:rsidR="00E534FE" w:rsidRPr="001F6AC2">
        <w:t>i</w:t>
      </w:r>
      <w:r w:rsidRPr="001F6AC2">
        <w:t xml:space="preserve"> </w:t>
      </w:r>
    </w:p>
    <w:p w14:paraId="4990F3E1" w14:textId="77777777" w:rsidR="008F135F" w:rsidRPr="001F6AC2" w:rsidRDefault="008F135F" w:rsidP="00080619">
      <w:pPr>
        <w:pStyle w:val="Kaskda0"/>
        <w:numPr>
          <w:ilvl w:val="0"/>
          <w:numId w:val="36"/>
        </w:numPr>
      </w:pPr>
      <w:r w:rsidRPr="001F6AC2">
        <w:t>Likvidita – zhodnocení disponibility prostředků a schopnosti jejich aktivace</w:t>
      </w:r>
    </w:p>
    <w:p w14:paraId="58E8EB75" w14:textId="62B2CF83" w:rsidR="00B01126" w:rsidRPr="001F6AC2" w:rsidRDefault="00B01126" w:rsidP="00993408">
      <w:r w:rsidRPr="001F6AC2">
        <w:t>Relativní zhodnocení oblastí je znázorněno v</w:t>
      </w:r>
      <w:r w:rsidR="0041031E" w:rsidRPr="001F6AC2">
        <w:t> následujícím grafu</w:t>
      </w:r>
      <w:r w:rsidRPr="001F6AC2">
        <w:t>. Z </w:t>
      </w:r>
      <w:r w:rsidRPr="00D518C8">
        <w:t xml:space="preserve">průměrného hodnocení ukazatelů se nejvíce odchyluje oblast </w:t>
      </w:r>
      <w:r w:rsidR="00A02833" w:rsidRPr="00D518C8">
        <w:t>Příjmová</w:t>
      </w:r>
      <w:r w:rsidR="00D518C8" w:rsidRPr="00D518C8">
        <w:t xml:space="preserve">, Dluhová a </w:t>
      </w:r>
      <w:r w:rsidR="00A02833" w:rsidRPr="00D518C8">
        <w:t>Finanční</w:t>
      </w:r>
      <w:r w:rsidRPr="00D518C8">
        <w:t>.</w:t>
      </w:r>
      <w:r w:rsidRPr="00427409">
        <w:t xml:space="preserve"> </w:t>
      </w:r>
    </w:p>
    <w:p w14:paraId="7A9DD6D8" w14:textId="77777777" w:rsidR="00B01126" w:rsidRPr="00D518C8" w:rsidRDefault="00B01126" w:rsidP="00243A70">
      <w:pPr>
        <w:pStyle w:val="Graf0"/>
      </w:pPr>
      <w:bookmarkStart w:id="143" w:name="_Toc58244034"/>
      <w:bookmarkStart w:id="144" w:name="_Toc180650305"/>
      <w:r w:rsidRPr="00D518C8">
        <w:t>Relativní zhodnocení dílčích oblastí</w:t>
      </w:r>
      <w:bookmarkEnd w:id="143"/>
      <w:bookmarkEnd w:id="144"/>
    </w:p>
    <w:p w14:paraId="14481987" w14:textId="53CAF238" w:rsidR="00B01126" w:rsidRPr="00D518C8" w:rsidRDefault="00D518C8" w:rsidP="005A4747">
      <w:pPr>
        <w:pStyle w:val="Objekt"/>
      </w:pPr>
      <w:r w:rsidRPr="00D518C8">
        <w:rPr>
          <w:noProof/>
        </w:rPr>
        <w:drawing>
          <wp:inline distT="0" distB="0" distL="0" distR="0" wp14:anchorId="0C39F7DA" wp14:editId="00AE5006">
            <wp:extent cx="4860925" cy="1939925"/>
            <wp:effectExtent l="0" t="0" r="0" b="0"/>
            <wp:docPr id="425668702" name="Obráze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860925" cy="1939925"/>
                    </a:xfrm>
                    <a:prstGeom prst="rect">
                      <a:avLst/>
                    </a:prstGeom>
                    <a:noFill/>
                    <a:ln>
                      <a:noFill/>
                    </a:ln>
                  </pic:spPr>
                </pic:pic>
              </a:graphicData>
            </a:graphic>
          </wp:inline>
        </w:drawing>
      </w:r>
    </w:p>
    <w:p w14:paraId="2D0809AA" w14:textId="77777777" w:rsidR="00B01126" w:rsidRPr="00D518C8" w:rsidRDefault="00B01126" w:rsidP="00522B81">
      <w:pPr>
        <w:pStyle w:val="Poznmka"/>
      </w:pPr>
      <w:r w:rsidRPr="00D518C8">
        <w:t>Poznámka: Průměr představuje průměrné hodnocení za všechny hodnocené oblasti</w:t>
      </w:r>
    </w:p>
    <w:p w14:paraId="28678C63" w14:textId="77777777" w:rsidR="003B60D4" w:rsidRDefault="003B60D4" w:rsidP="003B60D4">
      <w:r w:rsidRPr="00D518C8">
        <w:t>Ekonomická situace je zhodnocena</w:t>
      </w:r>
      <w:r w:rsidRPr="00277D96">
        <w:t xml:space="preserve"> ve dvou obdobích, a to na základě hodnoceného časového rozpětí. Ekonomické hodnocení je prováděno stejnou soustavou ukazatelů, protože je ale zhodnocení výhledového období zatíženo určitou mírou nejistoty, je </w:t>
      </w:r>
      <w:r w:rsidRPr="00051967">
        <w:t xml:space="preserve">využito dvou stupnic s rozdílnou citlivostí na dosažené hodnoty. </w:t>
      </w:r>
    </w:p>
    <w:p w14:paraId="27816C56" w14:textId="3EC29506" w:rsidR="00AB5156" w:rsidRPr="00D518C8" w:rsidRDefault="00AB5156" w:rsidP="00AB5156">
      <w:pPr>
        <w:pStyle w:val="Kaskda0"/>
        <w:ind w:left="644" w:hanging="360"/>
      </w:pPr>
      <w:r w:rsidRPr="00D518C8">
        <w:t xml:space="preserve">Ekonomické hodnocení minulého období </w:t>
      </w:r>
      <w:proofErr w:type="gramStart"/>
      <w:r w:rsidR="00E77FC3" w:rsidRPr="00D518C8">
        <w:t>2019</w:t>
      </w:r>
      <w:r w:rsidRPr="00D518C8">
        <w:t xml:space="preserve"> - </w:t>
      </w:r>
      <w:r w:rsidR="00E77FC3" w:rsidRPr="00D518C8">
        <w:t>2023</w:t>
      </w:r>
      <w:proofErr w:type="gramEnd"/>
    </w:p>
    <w:p w14:paraId="2B25E5D4" w14:textId="7714AA3E" w:rsidR="00AB5156" w:rsidRPr="00D518C8" w:rsidRDefault="00D518C8" w:rsidP="00AB5156">
      <w:pPr>
        <w:pStyle w:val="Objekt"/>
      </w:pPr>
      <w:r w:rsidRPr="00D518C8">
        <w:rPr>
          <w:noProof/>
          <w:lang w:eastAsia="cs-CZ"/>
        </w:rPr>
        <w:drawing>
          <wp:inline distT="0" distB="0" distL="0" distR="0" wp14:anchorId="6ED40E72" wp14:editId="7DA658BC">
            <wp:extent cx="4860925" cy="334645"/>
            <wp:effectExtent l="0" t="0" r="0" b="8255"/>
            <wp:docPr id="58" name="Obráze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860925" cy="334645"/>
                    </a:xfrm>
                    <a:prstGeom prst="rect">
                      <a:avLst/>
                    </a:prstGeom>
                    <a:noFill/>
                    <a:ln>
                      <a:noFill/>
                    </a:ln>
                  </pic:spPr>
                </pic:pic>
              </a:graphicData>
            </a:graphic>
          </wp:inline>
        </w:drawing>
      </w:r>
    </w:p>
    <w:p w14:paraId="67EEAD89" w14:textId="420DF44E" w:rsidR="00AB5156" w:rsidRPr="00D518C8" w:rsidRDefault="00AB5156" w:rsidP="00AB5156">
      <w:pPr>
        <w:pStyle w:val="Kaskda0"/>
        <w:ind w:left="644" w:hanging="360"/>
      </w:pPr>
      <w:r w:rsidRPr="00D518C8">
        <w:t xml:space="preserve">Ekonomické hodnocení výhledového období </w:t>
      </w:r>
      <w:proofErr w:type="gramStart"/>
      <w:r w:rsidR="00E77FC3" w:rsidRPr="00D518C8">
        <w:t>2025</w:t>
      </w:r>
      <w:r w:rsidRPr="00D518C8">
        <w:t xml:space="preserve"> – </w:t>
      </w:r>
      <w:r w:rsidR="00E77FC3" w:rsidRPr="00D518C8">
        <w:t>2029</w:t>
      </w:r>
      <w:proofErr w:type="gramEnd"/>
    </w:p>
    <w:p w14:paraId="4A845176" w14:textId="77777777" w:rsidR="00AB5156" w:rsidRPr="00D518C8" w:rsidRDefault="00AB5156" w:rsidP="00A973E9">
      <w:pPr>
        <w:spacing w:before="0"/>
      </w:pPr>
      <w:r w:rsidRPr="00D518C8">
        <w:rPr>
          <w:noProof/>
          <w:lang w:eastAsia="cs-CZ"/>
        </w:rPr>
        <w:drawing>
          <wp:inline distT="0" distB="0" distL="0" distR="0" wp14:anchorId="6F498C06" wp14:editId="738DBBA3">
            <wp:extent cx="4860925" cy="334651"/>
            <wp:effectExtent l="0" t="0" r="0" b="825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860925" cy="334651"/>
                    </a:xfrm>
                    <a:prstGeom prst="rect">
                      <a:avLst/>
                    </a:prstGeom>
                    <a:noFill/>
                    <a:ln>
                      <a:noFill/>
                    </a:ln>
                  </pic:spPr>
                </pic:pic>
              </a:graphicData>
            </a:graphic>
          </wp:inline>
        </w:drawing>
      </w:r>
    </w:p>
    <w:p w14:paraId="5135FCE6" w14:textId="2255E5EE" w:rsidR="00B01126" w:rsidRDefault="00B01126" w:rsidP="005A4747">
      <w:r w:rsidRPr="00D518C8">
        <w:t>Úspěšné hodnocení pomůže předcházet ekonomickým problémům</w:t>
      </w:r>
      <w:r w:rsidR="005A4747" w:rsidRPr="00D518C8">
        <w:t xml:space="preserve"> </w:t>
      </w:r>
      <w:r w:rsidRPr="00D518C8">
        <w:t>v budoucnosti. Poskytuje také</w:t>
      </w:r>
      <w:r w:rsidRPr="00FB4E51">
        <w:t xml:space="preserve"> potenciálním věřitelům cenné detailní informace, protože výsledek</w:t>
      </w:r>
      <w:r w:rsidRPr="00277D96">
        <w:t xml:space="preserve"> hodnocení vyjadřuje schopnost hodnocené</w:t>
      </w:r>
      <w:r w:rsidR="000D195F" w:rsidRPr="00277D96">
        <w:t>ho</w:t>
      </w:r>
      <w:r w:rsidRPr="00277D96">
        <w:t xml:space="preserve"> </w:t>
      </w:r>
      <w:r w:rsidR="000D195F" w:rsidRPr="00277D96">
        <w:t>ÚSC</w:t>
      </w:r>
      <w:r w:rsidRPr="00277D96">
        <w:t xml:space="preserve"> dostát svým závazkům a tím tedy poskytuje doporučení, zda a za jakých podmínek </w:t>
      </w:r>
      <w:r w:rsidR="00E6424A">
        <w:t>uzavřít</w:t>
      </w:r>
      <w:r w:rsidRPr="00277D96">
        <w:t xml:space="preserve"> s daným subjektem obchodní vztah. Výhoda zdravého hospodaření se promítá také do žádostí o různé dotace a půjčky ze státního rozpočtu a státních fondů. </w:t>
      </w:r>
      <w:r w:rsidR="000D195F" w:rsidRPr="00277D96">
        <w:t>Municipality</w:t>
      </w:r>
      <w:r w:rsidRPr="00277D96">
        <w:t xml:space="preserve"> též používají ratingová </w:t>
      </w:r>
      <w:r w:rsidRPr="00277D96">
        <w:lastRenderedPageBreak/>
        <w:t>hodnocení jako výhodu při vyjednávání se zahraničními investory. Informace, které rating poskytuje, jsou komplexní a mohou sloužit jako jeden z faktorů, které investoři zvažují během složitého rozhodování při výběru nejvhodnější oblasti pro realizaci svých investičních záměrů.</w:t>
      </w:r>
    </w:p>
    <w:p w14:paraId="1D4F96D3" w14:textId="2929DA7E" w:rsidR="00911FE2" w:rsidRPr="007F7EE4" w:rsidRDefault="00887D2D" w:rsidP="00911FE2">
      <w:pPr>
        <w:pStyle w:val="Graf0"/>
      </w:pPr>
      <w:bookmarkStart w:id="145" w:name="_Toc180650306"/>
      <w:r>
        <w:t>P</w:t>
      </w:r>
      <w:r w:rsidR="00911FE2">
        <w:t>řidělené ekonomické hodnocení</w:t>
      </w:r>
      <w:bookmarkEnd w:id="145"/>
    </w:p>
    <w:p w14:paraId="1159F080" w14:textId="5C09F93B" w:rsidR="00911FE2" w:rsidRDefault="00481EBD" w:rsidP="00911FE2">
      <w:pPr>
        <w:jc w:val="center"/>
      </w:pPr>
      <w:r w:rsidRPr="00481EBD">
        <w:rPr>
          <w:noProof/>
        </w:rPr>
        <w:drawing>
          <wp:inline distT="0" distB="0" distL="0" distR="0" wp14:anchorId="249B825F" wp14:editId="228AD59C">
            <wp:extent cx="2761200" cy="2602800"/>
            <wp:effectExtent l="0" t="0" r="1270" b="7620"/>
            <wp:docPr id="2042760327" name="Obráze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761200" cy="2602800"/>
                    </a:xfrm>
                    <a:prstGeom prst="rect">
                      <a:avLst/>
                    </a:prstGeom>
                    <a:noFill/>
                    <a:ln>
                      <a:noFill/>
                    </a:ln>
                  </pic:spPr>
                </pic:pic>
              </a:graphicData>
            </a:graphic>
          </wp:inline>
        </w:drawing>
      </w:r>
    </w:p>
    <w:p w14:paraId="6FC2A7C8" w14:textId="77777777" w:rsidR="00911FE2" w:rsidRDefault="00911FE2" w:rsidP="00911FE2">
      <w:r w:rsidRPr="00E6424A">
        <w:t xml:space="preserve">Ekonomické hodnocení města poukazuje na stabilní trend jeho vývoje. Vychází z </w:t>
      </w:r>
      <w:r w:rsidRPr="00B12F7B">
        <w:t>hospodaření města v minulosti a z nastavených trendů vývoje v budoucích pěti letech.</w:t>
      </w:r>
    </w:p>
    <w:p w14:paraId="1F33E603" w14:textId="7FC95A22" w:rsidR="005B7F1F" w:rsidRPr="007F7EE4" w:rsidRDefault="005B7F1F" w:rsidP="009A770A">
      <w:pPr>
        <w:pStyle w:val="Tabulka"/>
      </w:pPr>
      <w:bookmarkStart w:id="146" w:name="_Toc180650274"/>
      <w:r w:rsidRPr="007F7EE4">
        <w:t xml:space="preserve">Ekonomické hodnocení města v letech </w:t>
      </w:r>
      <w:proofErr w:type="gramStart"/>
      <w:r w:rsidRPr="007F7EE4">
        <w:t>2013 - 2020</w:t>
      </w:r>
      <w:proofErr w:type="gramEnd"/>
      <w:r w:rsidRPr="007F7EE4">
        <w:t xml:space="preserve"> (staré)</w:t>
      </w:r>
      <w:bookmarkEnd w:id="146"/>
    </w:p>
    <w:tbl>
      <w:tblPr>
        <w:tblW w:w="4533" w:type="pct"/>
        <w:tblCellMar>
          <w:left w:w="0" w:type="dxa"/>
          <w:right w:w="0" w:type="dxa"/>
        </w:tblCellMar>
        <w:tblLook w:val="04A0" w:firstRow="1" w:lastRow="0" w:firstColumn="1" w:lastColumn="0" w:noHBand="0" w:noVBand="1"/>
      </w:tblPr>
      <w:tblGrid>
        <w:gridCol w:w="1152"/>
        <w:gridCol w:w="723"/>
        <w:gridCol w:w="724"/>
        <w:gridCol w:w="724"/>
        <w:gridCol w:w="724"/>
        <w:gridCol w:w="724"/>
        <w:gridCol w:w="724"/>
        <w:gridCol w:w="719"/>
        <w:gridCol w:w="717"/>
      </w:tblGrid>
      <w:tr w:rsidR="00AB5156" w:rsidRPr="001F6AC2" w14:paraId="27190AF9" w14:textId="77777777" w:rsidTr="00AB5156">
        <w:trPr>
          <w:trHeight w:hRule="exact" w:val="284"/>
        </w:trPr>
        <w:tc>
          <w:tcPr>
            <w:tcW w:w="832"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250BCE7E" w14:textId="77777777" w:rsidR="00AB5156" w:rsidRPr="001F6AC2" w:rsidRDefault="00AB5156" w:rsidP="00325803">
            <w:pPr>
              <w:spacing w:before="0" w:line="240" w:lineRule="auto"/>
              <w:jc w:val="center"/>
              <w:rPr>
                <w:rFonts w:eastAsia="Times New Roman" w:cstheme="minorHAnsi"/>
                <w:bCs/>
                <w:szCs w:val="22"/>
              </w:rPr>
            </w:pPr>
            <w:r w:rsidRPr="001F6AC2">
              <w:rPr>
                <w:rFonts w:eastAsia="Times New Roman" w:cstheme="minorHAnsi"/>
                <w:bCs/>
                <w:szCs w:val="22"/>
              </w:rPr>
              <w:t>Hodnocení</w:t>
            </w:r>
          </w:p>
        </w:tc>
        <w:tc>
          <w:tcPr>
            <w:tcW w:w="522" w:type="pct"/>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14:paraId="50FD839A" w14:textId="77777777" w:rsidR="00AB5156" w:rsidRPr="001F6AC2" w:rsidRDefault="00AB5156" w:rsidP="00AB5156">
            <w:pPr>
              <w:spacing w:before="0" w:line="240" w:lineRule="auto"/>
              <w:jc w:val="center"/>
              <w:rPr>
                <w:rFonts w:eastAsia="Times New Roman" w:cstheme="minorHAnsi"/>
                <w:bCs/>
                <w:szCs w:val="22"/>
              </w:rPr>
            </w:pPr>
            <w:r w:rsidRPr="001F6AC2">
              <w:rPr>
                <w:rFonts w:eastAsia="Times New Roman" w:cstheme="minorHAnsi"/>
                <w:bCs/>
                <w:szCs w:val="22"/>
              </w:rPr>
              <w:t>201</w:t>
            </w:r>
            <w:r>
              <w:rPr>
                <w:rFonts w:eastAsia="Times New Roman" w:cstheme="minorHAnsi"/>
                <w:bCs/>
                <w:szCs w:val="22"/>
              </w:rPr>
              <w:t>3</w:t>
            </w:r>
          </w:p>
        </w:tc>
        <w:tc>
          <w:tcPr>
            <w:tcW w:w="522" w:type="pct"/>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14:paraId="28AE7DE5" w14:textId="77777777" w:rsidR="00AB5156" w:rsidRPr="001F6AC2" w:rsidRDefault="00AB5156" w:rsidP="00AB5156">
            <w:pPr>
              <w:spacing w:before="0" w:line="240" w:lineRule="auto"/>
              <w:jc w:val="center"/>
              <w:rPr>
                <w:rFonts w:eastAsia="Times New Roman" w:cstheme="minorHAnsi"/>
                <w:bCs/>
                <w:szCs w:val="22"/>
              </w:rPr>
            </w:pPr>
            <w:r w:rsidRPr="001F6AC2">
              <w:rPr>
                <w:rFonts w:eastAsia="Times New Roman" w:cstheme="minorHAnsi"/>
                <w:bCs/>
                <w:szCs w:val="22"/>
              </w:rPr>
              <w:t>201</w:t>
            </w:r>
            <w:r>
              <w:rPr>
                <w:rFonts w:eastAsia="Times New Roman" w:cstheme="minorHAnsi"/>
                <w:bCs/>
                <w:szCs w:val="22"/>
              </w:rPr>
              <w:t>4</w:t>
            </w:r>
          </w:p>
        </w:tc>
        <w:tc>
          <w:tcPr>
            <w:tcW w:w="522" w:type="pct"/>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14:paraId="49207097" w14:textId="77777777" w:rsidR="00AB5156" w:rsidRPr="001F6AC2" w:rsidRDefault="00AB5156" w:rsidP="00AB5156">
            <w:pPr>
              <w:spacing w:before="0" w:line="240" w:lineRule="auto"/>
              <w:jc w:val="center"/>
              <w:rPr>
                <w:rFonts w:eastAsia="Times New Roman" w:cstheme="minorHAnsi"/>
                <w:bCs/>
                <w:szCs w:val="22"/>
              </w:rPr>
            </w:pPr>
            <w:r w:rsidRPr="001F6AC2">
              <w:rPr>
                <w:rFonts w:eastAsia="Times New Roman" w:cstheme="minorHAnsi"/>
                <w:bCs/>
                <w:szCs w:val="22"/>
              </w:rPr>
              <w:t>201</w:t>
            </w:r>
            <w:r>
              <w:rPr>
                <w:rFonts w:eastAsia="Times New Roman" w:cstheme="minorHAnsi"/>
                <w:bCs/>
                <w:szCs w:val="22"/>
              </w:rPr>
              <w:t>5</w:t>
            </w:r>
          </w:p>
        </w:tc>
        <w:tc>
          <w:tcPr>
            <w:tcW w:w="522" w:type="pct"/>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14:paraId="7C8C25BF" w14:textId="77777777" w:rsidR="00AB5156" w:rsidRPr="001F6AC2" w:rsidRDefault="00AB5156" w:rsidP="00AB5156">
            <w:pPr>
              <w:spacing w:before="0" w:line="240" w:lineRule="auto"/>
              <w:jc w:val="center"/>
              <w:rPr>
                <w:rFonts w:eastAsia="Times New Roman" w:cstheme="minorHAnsi"/>
                <w:bCs/>
                <w:szCs w:val="22"/>
              </w:rPr>
            </w:pPr>
            <w:r w:rsidRPr="001F6AC2">
              <w:rPr>
                <w:rFonts w:eastAsia="Times New Roman" w:cstheme="minorHAnsi"/>
                <w:bCs/>
                <w:szCs w:val="22"/>
              </w:rPr>
              <w:t>201</w:t>
            </w:r>
            <w:r>
              <w:rPr>
                <w:rFonts w:eastAsia="Times New Roman" w:cstheme="minorHAnsi"/>
                <w:bCs/>
                <w:szCs w:val="22"/>
              </w:rPr>
              <w:t>6</w:t>
            </w:r>
          </w:p>
        </w:tc>
        <w:tc>
          <w:tcPr>
            <w:tcW w:w="522" w:type="pct"/>
            <w:tcBorders>
              <w:top w:val="single" w:sz="4" w:space="0" w:color="auto"/>
              <w:left w:val="nil"/>
              <w:bottom w:val="single" w:sz="4" w:space="0" w:color="auto"/>
              <w:right w:val="single" w:sz="4" w:space="0" w:color="auto"/>
            </w:tcBorders>
            <w:shd w:val="clear" w:color="auto" w:fill="BFBFBF" w:themeFill="background1" w:themeFillShade="BF"/>
            <w:vAlign w:val="center"/>
          </w:tcPr>
          <w:p w14:paraId="279108E0" w14:textId="77777777" w:rsidR="00AB5156" w:rsidRPr="001F6AC2" w:rsidRDefault="00AB5156" w:rsidP="00AB5156">
            <w:pPr>
              <w:spacing w:before="0" w:line="240" w:lineRule="auto"/>
              <w:jc w:val="center"/>
              <w:rPr>
                <w:rFonts w:eastAsia="Times New Roman" w:cstheme="minorHAnsi"/>
                <w:bCs/>
                <w:szCs w:val="22"/>
              </w:rPr>
            </w:pPr>
            <w:r w:rsidRPr="001F6AC2">
              <w:rPr>
                <w:rFonts w:eastAsia="Times New Roman" w:cstheme="minorHAnsi"/>
                <w:bCs/>
                <w:szCs w:val="22"/>
              </w:rPr>
              <w:t>201</w:t>
            </w:r>
            <w:r>
              <w:rPr>
                <w:rFonts w:eastAsia="Times New Roman" w:cstheme="minorHAnsi"/>
                <w:bCs/>
                <w:szCs w:val="22"/>
              </w:rPr>
              <w:t>7</w:t>
            </w:r>
          </w:p>
        </w:tc>
        <w:tc>
          <w:tcPr>
            <w:tcW w:w="522" w:type="pct"/>
            <w:tcBorders>
              <w:top w:val="single" w:sz="4" w:space="0" w:color="auto"/>
              <w:left w:val="nil"/>
              <w:bottom w:val="single" w:sz="4" w:space="0" w:color="auto"/>
              <w:right w:val="single" w:sz="4" w:space="0" w:color="auto"/>
            </w:tcBorders>
            <w:shd w:val="clear" w:color="auto" w:fill="BFBFBF" w:themeFill="background1" w:themeFillShade="BF"/>
            <w:vAlign w:val="center"/>
          </w:tcPr>
          <w:p w14:paraId="020E2FDA" w14:textId="77777777" w:rsidR="00AB5156" w:rsidRPr="001F6AC2" w:rsidRDefault="00AB5156" w:rsidP="00AB5156">
            <w:pPr>
              <w:spacing w:before="0" w:line="240" w:lineRule="auto"/>
              <w:jc w:val="center"/>
              <w:rPr>
                <w:rFonts w:eastAsia="Times New Roman" w:cstheme="minorHAnsi"/>
                <w:bCs/>
                <w:szCs w:val="22"/>
              </w:rPr>
            </w:pPr>
            <w:r w:rsidRPr="001F6AC2">
              <w:rPr>
                <w:rFonts w:eastAsia="Times New Roman" w:cstheme="minorHAnsi"/>
                <w:bCs/>
                <w:szCs w:val="22"/>
              </w:rPr>
              <w:t>201</w:t>
            </w:r>
            <w:r>
              <w:rPr>
                <w:rFonts w:eastAsia="Times New Roman" w:cstheme="minorHAnsi"/>
                <w:bCs/>
                <w:szCs w:val="22"/>
              </w:rPr>
              <w:t>8</w:t>
            </w:r>
          </w:p>
        </w:tc>
        <w:tc>
          <w:tcPr>
            <w:tcW w:w="519" w:type="pct"/>
            <w:tcBorders>
              <w:top w:val="single" w:sz="4" w:space="0" w:color="auto"/>
              <w:left w:val="nil"/>
              <w:bottom w:val="single" w:sz="4" w:space="0" w:color="auto"/>
              <w:right w:val="single" w:sz="4" w:space="0" w:color="auto"/>
            </w:tcBorders>
            <w:shd w:val="clear" w:color="auto" w:fill="BFBFBF" w:themeFill="background1" w:themeFillShade="BF"/>
            <w:vAlign w:val="center"/>
          </w:tcPr>
          <w:p w14:paraId="754E73B1" w14:textId="77777777" w:rsidR="00AB5156" w:rsidRPr="001F6AC2" w:rsidRDefault="00AB5156" w:rsidP="00AB5156">
            <w:pPr>
              <w:spacing w:before="0" w:line="240" w:lineRule="auto"/>
              <w:jc w:val="center"/>
              <w:rPr>
                <w:rFonts w:eastAsia="Times New Roman" w:cstheme="minorHAnsi"/>
                <w:bCs/>
                <w:szCs w:val="22"/>
              </w:rPr>
            </w:pPr>
            <w:r w:rsidRPr="001F6AC2">
              <w:rPr>
                <w:rFonts w:eastAsia="Times New Roman" w:cstheme="minorHAnsi"/>
                <w:bCs/>
                <w:szCs w:val="22"/>
              </w:rPr>
              <w:t>20</w:t>
            </w:r>
            <w:r>
              <w:rPr>
                <w:rFonts w:eastAsia="Times New Roman" w:cstheme="minorHAnsi"/>
                <w:bCs/>
                <w:szCs w:val="22"/>
              </w:rPr>
              <w:t>19</w:t>
            </w:r>
          </w:p>
        </w:tc>
        <w:tc>
          <w:tcPr>
            <w:tcW w:w="517" w:type="pct"/>
            <w:tcBorders>
              <w:top w:val="single" w:sz="4" w:space="0" w:color="auto"/>
              <w:left w:val="nil"/>
              <w:bottom w:val="single" w:sz="4" w:space="0" w:color="auto"/>
              <w:right w:val="single" w:sz="4" w:space="0" w:color="auto"/>
            </w:tcBorders>
            <w:shd w:val="clear" w:color="auto" w:fill="BFBFBF" w:themeFill="background1" w:themeFillShade="BF"/>
            <w:vAlign w:val="center"/>
          </w:tcPr>
          <w:p w14:paraId="5DB941AA" w14:textId="77777777" w:rsidR="00AB5156" w:rsidRPr="001F6AC2" w:rsidRDefault="00AB5156" w:rsidP="00AB5156">
            <w:pPr>
              <w:spacing w:before="0" w:line="240" w:lineRule="auto"/>
              <w:jc w:val="center"/>
              <w:rPr>
                <w:rFonts w:eastAsia="Times New Roman" w:cstheme="minorHAnsi"/>
                <w:bCs/>
                <w:szCs w:val="22"/>
              </w:rPr>
            </w:pPr>
            <w:r w:rsidRPr="001F6AC2">
              <w:rPr>
                <w:rFonts w:eastAsia="Times New Roman" w:cstheme="minorHAnsi"/>
                <w:bCs/>
                <w:szCs w:val="22"/>
              </w:rPr>
              <w:t>2020</w:t>
            </w:r>
          </w:p>
        </w:tc>
      </w:tr>
      <w:tr w:rsidR="00AB5156" w:rsidRPr="001F6AC2" w14:paraId="32B196C1" w14:textId="77777777" w:rsidTr="00AB5156">
        <w:trPr>
          <w:trHeight w:hRule="exact" w:val="284"/>
        </w:trPr>
        <w:tc>
          <w:tcPr>
            <w:tcW w:w="832" w:type="pct"/>
            <w:tcBorders>
              <w:top w:val="nil"/>
              <w:left w:val="single" w:sz="4" w:space="0" w:color="auto"/>
              <w:bottom w:val="nil"/>
              <w:right w:val="single" w:sz="4" w:space="0" w:color="auto"/>
            </w:tcBorders>
            <w:shd w:val="clear" w:color="auto" w:fill="auto"/>
            <w:noWrap/>
            <w:vAlign w:val="center"/>
            <w:hideMark/>
          </w:tcPr>
          <w:p w14:paraId="06C6C1BC" w14:textId="77777777" w:rsidR="00AB5156" w:rsidRPr="001F6AC2" w:rsidRDefault="00AB5156" w:rsidP="00AB5156">
            <w:pPr>
              <w:spacing w:before="0" w:line="240" w:lineRule="auto"/>
              <w:jc w:val="center"/>
              <w:rPr>
                <w:rFonts w:eastAsia="Times New Roman" w:cstheme="minorHAnsi"/>
                <w:bCs/>
                <w:szCs w:val="22"/>
              </w:rPr>
            </w:pPr>
            <w:r w:rsidRPr="001F6AC2">
              <w:rPr>
                <w:rFonts w:eastAsia="Times New Roman" w:cstheme="minorHAnsi"/>
                <w:bCs/>
                <w:szCs w:val="22"/>
              </w:rPr>
              <w:t>Dlouhodobé</w:t>
            </w:r>
          </w:p>
        </w:tc>
        <w:tc>
          <w:tcPr>
            <w:tcW w:w="522" w:type="pct"/>
            <w:tcBorders>
              <w:top w:val="nil"/>
              <w:left w:val="nil"/>
              <w:bottom w:val="nil"/>
              <w:right w:val="single" w:sz="4" w:space="0" w:color="auto"/>
            </w:tcBorders>
            <w:shd w:val="clear" w:color="auto" w:fill="auto"/>
            <w:noWrap/>
            <w:vAlign w:val="center"/>
            <w:hideMark/>
          </w:tcPr>
          <w:p w14:paraId="12030385" w14:textId="38281662" w:rsidR="00AB5156" w:rsidRPr="001F6AC2" w:rsidRDefault="00D518C8" w:rsidP="00F15ADB">
            <w:pPr>
              <w:spacing w:before="0" w:line="240" w:lineRule="auto"/>
              <w:jc w:val="center"/>
              <w:rPr>
                <w:rFonts w:eastAsia="Times New Roman" w:cstheme="minorHAnsi"/>
                <w:bCs/>
                <w:szCs w:val="22"/>
              </w:rPr>
            </w:pPr>
            <w:r>
              <w:rPr>
                <w:rFonts w:eastAsia="Times New Roman" w:cstheme="minorHAnsi"/>
                <w:bCs/>
                <w:szCs w:val="22"/>
              </w:rPr>
              <w:t>B-</w:t>
            </w:r>
          </w:p>
        </w:tc>
        <w:tc>
          <w:tcPr>
            <w:tcW w:w="522" w:type="pct"/>
            <w:tcBorders>
              <w:top w:val="nil"/>
              <w:left w:val="nil"/>
              <w:bottom w:val="nil"/>
              <w:right w:val="single" w:sz="4" w:space="0" w:color="auto"/>
            </w:tcBorders>
            <w:shd w:val="clear" w:color="auto" w:fill="auto"/>
            <w:noWrap/>
            <w:vAlign w:val="center"/>
            <w:hideMark/>
          </w:tcPr>
          <w:p w14:paraId="18AABDF7" w14:textId="5F16F00D" w:rsidR="00AB5156" w:rsidRPr="001F6AC2" w:rsidRDefault="00D518C8" w:rsidP="00325803">
            <w:pPr>
              <w:spacing w:before="0" w:line="240" w:lineRule="auto"/>
              <w:jc w:val="center"/>
              <w:rPr>
                <w:rFonts w:eastAsia="Times New Roman" w:cstheme="minorHAnsi"/>
                <w:bCs/>
                <w:szCs w:val="22"/>
              </w:rPr>
            </w:pPr>
            <w:r>
              <w:rPr>
                <w:rFonts w:eastAsia="Times New Roman" w:cstheme="minorHAnsi"/>
                <w:bCs/>
                <w:szCs w:val="22"/>
              </w:rPr>
              <w:t>B+</w:t>
            </w:r>
          </w:p>
        </w:tc>
        <w:tc>
          <w:tcPr>
            <w:tcW w:w="522" w:type="pct"/>
            <w:tcBorders>
              <w:top w:val="nil"/>
              <w:left w:val="nil"/>
              <w:bottom w:val="nil"/>
              <w:right w:val="single" w:sz="4" w:space="0" w:color="auto"/>
            </w:tcBorders>
            <w:shd w:val="clear" w:color="auto" w:fill="auto"/>
            <w:noWrap/>
            <w:vAlign w:val="center"/>
            <w:hideMark/>
          </w:tcPr>
          <w:p w14:paraId="69466C7E" w14:textId="76C7FA3C" w:rsidR="00AB5156" w:rsidRPr="001F6AC2" w:rsidRDefault="00D518C8" w:rsidP="00325803">
            <w:pPr>
              <w:spacing w:before="0" w:line="240" w:lineRule="auto"/>
              <w:jc w:val="center"/>
              <w:rPr>
                <w:rFonts w:eastAsia="Times New Roman" w:cstheme="minorHAnsi"/>
                <w:bCs/>
                <w:szCs w:val="22"/>
              </w:rPr>
            </w:pPr>
            <w:r>
              <w:rPr>
                <w:rFonts w:eastAsia="Times New Roman" w:cstheme="minorHAnsi"/>
                <w:bCs/>
                <w:szCs w:val="22"/>
              </w:rPr>
              <w:t>B-</w:t>
            </w:r>
          </w:p>
        </w:tc>
        <w:tc>
          <w:tcPr>
            <w:tcW w:w="522" w:type="pct"/>
            <w:tcBorders>
              <w:top w:val="nil"/>
              <w:left w:val="nil"/>
              <w:bottom w:val="nil"/>
              <w:right w:val="single" w:sz="4" w:space="0" w:color="auto"/>
            </w:tcBorders>
            <w:shd w:val="clear" w:color="auto" w:fill="auto"/>
            <w:noWrap/>
            <w:vAlign w:val="center"/>
            <w:hideMark/>
          </w:tcPr>
          <w:p w14:paraId="4DBD0DB7" w14:textId="6461AC0A" w:rsidR="00AB5156" w:rsidRPr="001F6AC2" w:rsidRDefault="00D518C8" w:rsidP="00325803">
            <w:pPr>
              <w:spacing w:before="0" w:line="240" w:lineRule="auto"/>
              <w:jc w:val="center"/>
              <w:rPr>
                <w:rFonts w:eastAsia="Times New Roman" w:cstheme="minorHAnsi"/>
                <w:bCs/>
                <w:szCs w:val="22"/>
              </w:rPr>
            </w:pPr>
            <w:r>
              <w:rPr>
                <w:rFonts w:eastAsia="Times New Roman" w:cstheme="minorHAnsi"/>
                <w:bCs/>
                <w:szCs w:val="22"/>
              </w:rPr>
              <w:t>B+</w:t>
            </w:r>
          </w:p>
        </w:tc>
        <w:tc>
          <w:tcPr>
            <w:tcW w:w="522" w:type="pct"/>
            <w:tcBorders>
              <w:top w:val="nil"/>
              <w:left w:val="nil"/>
              <w:bottom w:val="nil"/>
              <w:right w:val="single" w:sz="4" w:space="0" w:color="auto"/>
            </w:tcBorders>
            <w:vAlign w:val="center"/>
          </w:tcPr>
          <w:p w14:paraId="68C40D8E" w14:textId="565BD966" w:rsidR="00AB5156" w:rsidRPr="001F6AC2" w:rsidRDefault="00D518C8" w:rsidP="00325803">
            <w:pPr>
              <w:spacing w:before="0" w:line="240" w:lineRule="auto"/>
              <w:jc w:val="center"/>
              <w:rPr>
                <w:rFonts w:eastAsia="Times New Roman" w:cstheme="minorHAnsi"/>
                <w:bCs/>
                <w:szCs w:val="22"/>
              </w:rPr>
            </w:pPr>
            <w:r>
              <w:rPr>
                <w:rFonts w:eastAsia="Times New Roman" w:cstheme="minorHAnsi"/>
                <w:bCs/>
                <w:szCs w:val="22"/>
              </w:rPr>
              <w:t>B+</w:t>
            </w:r>
          </w:p>
        </w:tc>
        <w:tc>
          <w:tcPr>
            <w:tcW w:w="522" w:type="pct"/>
            <w:tcBorders>
              <w:top w:val="nil"/>
              <w:left w:val="nil"/>
              <w:bottom w:val="nil"/>
              <w:right w:val="single" w:sz="4" w:space="0" w:color="auto"/>
            </w:tcBorders>
            <w:vAlign w:val="center"/>
          </w:tcPr>
          <w:p w14:paraId="4448E5E4" w14:textId="248F6BD5" w:rsidR="00AB5156" w:rsidRPr="001F6AC2" w:rsidRDefault="00D518C8" w:rsidP="00325803">
            <w:pPr>
              <w:spacing w:before="0" w:line="240" w:lineRule="auto"/>
              <w:jc w:val="center"/>
              <w:rPr>
                <w:rFonts w:eastAsia="Times New Roman" w:cstheme="minorHAnsi"/>
                <w:bCs/>
                <w:szCs w:val="22"/>
              </w:rPr>
            </w:pPr>
            <w:r>
              <w:rPr>
                <w:rFonts w:eastAsia="Times New Roman" w:cstheme="minorHAnsi"/>
                <w:bCs/>
                <w:szCs w:val="22"/>
              </w:rPr>
              <w:t>B+</w:t>
            </w:r>
          </w:p>
        </w:tc>
        <w:tc>
          <w:tcPr>
            <w:tcW w:w="519" w:type="pct"/>
            <w:tcBorders>
              <w:top w:val="nil"/>
              <w:left w:val="nil"/>
              <w:bottom w:val="nil"/>
              <w:right w:val="single" w:sz="4" w:space="0" w:color="auto"/>
            </w:tcBorders>
            <w:vAlign w:val="center"/>
          </w:tcPr>
          <w:p w14:paraId="3BA8257C" w14:textId="08D5252D" w:rsidR="00AB5156" w:rsidRPr="001F6AC2" w:rsidRDefault="00D518C8" w:rsidP="00325803">
            <w:pPr>
              <w:spacing w:before="0" w:line="240" w:lineRule="auto"/>
              <w:jc w:val="center"/>
              <w:rPr>
                <w:rFonts w:eastAsia="Times New Roman" w:cstheme="minorHAnsi"/>
                <w:bCs/>
                <w:szCs w:val="22"/>
              </w:rPr>
            </w:pPr>
            <w:r>
              <w:rPr>
                <w:rFonts w:eastAsia="Times New Roman" w:cstheme="minorHAnsi"/>
                <w:bCs/>
                <w:szCs w:val="22"/>
              </w:rPr>
              <w:t>B+</w:t>
            </w:r>
          </w:p>
        </w:tc>
        <w:tc>
          <w:tcPr>
            <w:tcW w:w="517" w:type="pct"/>
            <w:tcBorders>
              <w:top w:val="nil"/>
              <w:left w:val="nil"/>
              <w:bottom w:val="nil"/>
              <w:right w:val="single" w:sz="4" w:space="0" w:color="auto"/>
            </w:tcBorders>
            <w:vAlign w:val="center"/>
          </w:tcPr>
          <w:p w14:paraId="3CB2CEBA" w14:textId="3DD2661D" w:rsidR="00AB5156" w:rsidRPr="001F6AC2" w:rsidRDefault="00D518C8" w:rsidP="00AB5156">
            <w:pPr>
              <w:spacing w:before="0" w:line="240" w:lineRule="auto"/>
              <w:jc w:val="center"/>
              <w:rPr>
                <w:rFonts w:eastAsia="Times New Roman" w:cstheme="minorHAnsi"/>
                <w:bCs/>
                <w:szCs w:val="22"/>
              </w:rPr>
            </w:pPr>
            <w:r>
              <w:rPr>
                <w:rFonts w:eastAsia="Times New Roman" w:cstheme="minorHAnsi"/>
                <w:bCs/>
                <w:szCs w:val="22"/>
              </w:rPr>
              <w:t>B+</w:t>
            </w:r>
          </w:p>
        </w:tc>
      </w:tr>
      <w:tr w:rsidR="00AB5156" w:rsidRPr="001F6AC2" w14:paraId="2EC87517" w14:textId="77777777" w:rsidTr="00AB5156">
        <w:trPr>
          <w:trHeight w:hRule="exact" w:val="284"/>
        </w:trPr>
        <w:tc>
          <w:tcPr>
            <w:tcW w:w="832" w:type="pct"/>
            <w:tcBorders>
              <w:top w:val="nil"/>
              <w:left w:val="single" w:sz="4" w:space="0" w:color="auto"/>
              <w:bottom w:val="single" w:sz="4" w:space="0" w:color="auto"/>
              <w:right w:val="single" w:sz="4" w:space="0" w:color="auto"/>
            </w:tcBorders>
            <w:shd w:val="clear" w:color="auto" w:fill="auto"/>
            <w:noWrap/>
            <w:vAlign w:val="center"/>
            <w:hideMark/>
          </w:tcPr>
          <w:p w14:paraId="61F13424" w14:textId="77777777" w:rsidR="00AB5156" w:rsidRPr="001F6AC2" w:rsidRDefault="00AB5156" w:rsidP="00AB5156">
            <w:pPr>
              <w:spacing w:before="0" w:line="240" w:lineRule="auto"/>
              <w:jc w:val="center"/>
              <w:rPr>
                <w:rFonts w:eastAsia="Times New Roman" w:cstheme="minorHAnsi"/>
                <w:bCs/>
                <w:szCs w:val="22"/>
              </w:rPr>
            </w:pPr>
            <w:r w:rsidRPr="001F6AC2">
              <w:rPr>
                <w:rFonts w:eastAsia="Times New Roman" w:cstheme="minorHAnsi"/>
                <w:bCs/>
                <w:szCs w:val="22"/>
              </w:rPr>
              <w:t>Krátkodobé</w:t>
            </w:r>
          </w:p>
        </w:tc>
        <w:tc>
          <w:tcPr>
            <w:tcW w:w="522" w:type="pct"/>
            <w:tcBorders>
              <w:top w:val="nil"/>
              <w:left w:val="nil"/>
              <w:bottom w:val="single" w:sz="4" w:space="0" w:color="auto"/>
              <w:right w:val="single" w:sz="4" w:space="0" w:color="auto"/>
            </w:tcBorders>
            <w:shd w:val="clear" w:color="auto" w:fill="auto"/>
            <w:noWrap/>
            <w:vAlign w:val="center"/>
            <w:hideMark/>
          </w:tcPr>
          <w:p w14:paraId="7D6A3499" w14:textId="77777777" w:rsidR="00AB5156" w:rsidRPr="001F6AC2" w:rsidRDefault="00AB5156" w:rsidP="00AB5156">
            <w:pPr>
              <w:spacing w:before="0" w:line="240" w:lineRule="auto"/>
              <w:jc w:val="center"/>
              <w:rPr>
                <w:rFonts w:eastAsia="Times New Roman" w:cstheme="minorHAnsi"/>
                <w:bCs/>
                <w:szCs w:val="22"/>
              </w:rPr>
            </w:pPr>
            <w:r w:rsidRPr="001F6AC2">
              <w:rPr>
                <w:rFonts w:eastAsia="Times New Roman" w:cstheme="minorHAnsi"/>
                <w:bCs/>
                <w:szCs w:val="22"/>
              </w:rPr>
              <w:t>STR</w:t>
            </w:r>
            <w:r>
              <w:rPr>
                <w:rFonts w:eastAsia="Times New Roman" w:cstheme="minorHAnsi"/>
                <w:bCs/>
                <w:szCs w:val="22"/>
              </w:rPr>
              <w:t>2</w:t>
            </w:r>
          </w:p>
        </w:tc>
        <w:tc>
          <w:tcPr>
            <w:tcW w:w="522" w:type="pct"/>
            <w:tcBorders>
              <w:top w:val="nil"/>
              <w:left w:val="nil"/>
              <w:bottom w:val="single" w:sz="4" w:space="0" w:color="auto"/>
              <w:right w:val="single" w:sz="4" w:space="0" w:color="auto"/>
            </w:tcBorders>
            <w:shd w:val="clear" w:color="auto" w:fill="auto"/>
            <w:noWrap/>
            <w:vAlign w:val="center"/>
            <w:hideMark/>
          </w:tcPr>
          <w:p w14:paraId="6E70C485" w14:textId="77777777" w:rsidR="00AB5156" w:rsidRPr="001F6AC2" w:rsidRDefault="00AB5156" w:rsidP="00AB5156">
            <w:pPr>
              <w:spacing w:before="0" w:line="240" w:lineRule="auto"/>
              <w:jc w:val="center"/>
              <w:rPr>
                <w:rFonts w:eastAsia="Times New Roman" w:cstheme="minorHAnsi"/>
                <w:bCs/>
                <w:szCs w:val="22"/>
              </w:rPr>
            </w:pPr>
            <w:r w:rsidRPr="001F6AC2">
              <w:rPr>
                <w:rFonts w:eastAsia="Times New Roman" w:cstheme="minorHAnsi"/>
                <w:bCs/>
                <w:szCs w:val="22"/>
              </w:rPr>
              <w:t>STR</w:t>
            </w:r>
            <w:r>
              <w:rPr>
                <w:rFonts w:eastAsia="Times New Roman" w:cstheme="minorHAnsi"/>
                <w:bCs/>
                <w:szCs w:val="22"/>
              </w:rPr>
              <w:t>2</w:t>
            </w:r>
          </w:p>
        </w:tc>
        <w:tc>
          <w:tcPr>
            <w:tcW w:w="522" w:type="pct"/>
            <w:tcBorders>
              <w:top w:val="nil"/>
              <w:left w:val="nil"/>
              <w:bottom w:val="single" w:sz="4" w:space="0" w:color="auto"/>
              <w:right w:val="single" w:sz="4" w:space="0" w:color="auto"/>
            </w:tcBorders>
            <w:shd w:val="clear" w:color="auto" w:fill="auto"/>
            <w:noWrap/>
            <w:vAlign w:val="center"/>
            <w:hideMark/>
          </w:tcPr>
          <w:p w14:paraId="773014BB" w14:textId="77777777" w:rsidR="00AB5156" w:rsidRPr="001F6AC2" w:rsidRDefault="00AB5156" w:rsidP="00AB5156">
            <w:pPr>
              <w:spacing w:before="0" w:line="240" w:lineRule="auto"/>
              <w:jc w:val="center"/>
              <w:rPr>
                <w:rFonts w:eastAsia="Times New Roman" w:cstheme="minorHAnsi"/>
                <w:bCs/>
                <w:szCs w:val="22"/>
              </w:rPr>
            </w:pPr>
            <w:r w:rsidRPr="001F6AC2">
              <w:rPr>
                <w:rFonts w:eastAsia="Times New Roman" w:cstheme="minorHAnsi"/>
                <w:bCs/>
                <w:szCs w:val="22"/>
              </w:rPr>
              <w:t>STR</w:t>
            </w:r>
            <w:r>
              <w:rPr>
                <w:rFonts w:eastAsia="Times New Roman" w:cstheme="minorHAnsi"/>
                <w:bCs/>
                <w:szCs w:val="22"/>
              </w:rPr>
              <w:t>2</w:t>
            </w:r>
          </w:p>
        </w:tc>
        <w:tc>
          <w:tcPr>
            <w:tcW w:w="522" w:type="pct"/>
            <w:tcBorders>
              <w:top w:val="nil"/>
              <w:left w:val="nil"/>
              <w:bottom w:val="single" w:sz="4" w:space="0" w:color="auto"/>
              <w:right w:val="single" w:sz="4" w:space="0" w:color="auto"/>
            </w:tcBorders>
            <w:shd w:val="clear" w:color="auto" w:fill="auto"/>
            <w:noWrap/>
            <w:vAlign w:val="center"/>
            <w:hideMark/>
          </w:tcPr>
          <w:p w14:paraId="0A9831DD" w14:textId="77777777" w:rsidR="00AB5156" w:rsidRPr="001F6AC2" w:rsidRDefault="00AB5156" w:rsidP="00325803">
            <w:pPr>
              <w:spacing w:before="0" w:line="240" w:lineRule="auto"/>
              <w:jc w:val="center"/>
              <w:rPr>
                <w:rFonts w:eastAsia="Times New Roman" w:cstheme="minorHAnsi"/>
                <w:bCs/>
                <w:szCs w:val="22"/>
              </w:rPr>
            </w:pPr>
            <w:r w:rsidRPr="001F6AC2">
              <w:rPr>
                <w:rFonts w:eastAsia="Times New Roman" w:cstheme="minorHAnsi"/>
                <w:bCs/>
                <w:szCs w:val="22"/>
              </w:rPr>
              <w:t>STR2</w:t>
            </w:r>
          </w:p>
        </w:tc>
        <w:tc>
          <w:tcPr>
            <w:tcW w:w="522" w:type="pct"/>
            <w:tcBorders>
              <w:top w:val="nil"/>
              <w:left w:val="nil"/>
              <w:bottom w:val="single" w:sz="4" w:space="0" w:color="auto"/>
              <w:right w:val="single" w:sz="4" w:space="0" w:color="auto"/>
            </w:tcBorders>
            <w:vAlign w:val="center"/>
          </w:tcPr>
          <w:p w14:paraId="0BBD9C5E" w14:textId="77777777" w:rsidR="00AB5156" w:rsidRPr="001F6AC2" w:rsidRDefault="00AB5156" w:rsidP="00325803">
            <w:pPr>
              <w:spacing w:before="0" w:line="240" w:lineRule="auto"/>
              <w:jc w:val="center"/>
              <w:rPr>
                <w:rFonts w:eastAsia="Times New Roman" w:cstheme="minorHAnsi"/>
                <w:bCs/>
                <w:szCs w:val="22"/>
              </w:rPr>
            </w:pPr>
            <w:r w:rsidRPr="001F6AC2">
              <w:rPr>
                <w:rFonts w:eastAsia="Times New Roman" w:cstheme="minorHAnsi"/>
                <w:bCs/>
                <w:szCs w:val="22"/>
              </w:rPr>
              <w:t>STR2</w:t>
            </w:r>
          </w:p>
        </w:tc>
        <w:tc>
          <w:tcPr>
            <w:tcW w:w="522" w:type="pct"/>
            <w:tcBorders>
              <w:top w:val="nil"/>
              <w:left w:val="nil"/>
              <w:bottom w:val="single" w:sz="4" w:space="0" w:color="auto"/>
              <w:right w:val="single" w:sz="4" w:space="0" w:color="auto"/>
            </w:tcBorders>
            <w:vAlign w:val="center"/>
          </w:tcPr>
          <w:p w14:paraId="042474A7" w14:textId="77777777" w:rsidR="00AB5156" w:rsidRPr="001F6AC2" w:rsidRDefault="00AB5156" w:rsidP="00325803">
            <w:pPr>
              <w:spacing w:before="0" w:line="240" w:lineRule="auto"/>
              <w:jc w:val="center"/>
              <w:rPr>
                <w:rFonts w:eastAsia="Times New Roman" w:cstheme="minorHAnsi"/>
                <w:bCs/>
                <w:szCs w:val="22"/>
              </w:rPr>
            </w:pPr>
            <w:r w:rsidRPr="001F6AC2">
              <w:rPr>
                <w:rFonts w:eastAsia="Times New Roman" w:cstheme="minorHAnsi"/>
                <w:bCs/>
                <w:szCs w:val="22"/>
              </w:rPr>
              <w:t>STR2</w:t>
            </w:r>
          </w:p>
        </w:tc>
        <w:tc>
          <w:tcPr>
            <w:tcW w:w="519" w:type="pct"/>
            <w:tcBorders>
              <w:top w:val="nil"/>
              <w:left w:val="nil"/>
              <w:bottom w:val="single" w:sz="4" w:space="0" w:color="auto"/>
              <w:right w:val="single" w:sz="4" w:space="0" w:color="auto"/>
            </w:tcBorders>
            <w:vAlign w:val="center"/>
          </w:tcPr>
          <w:p w14:paraId="059BEE7B" w14:textId="77777777" w:rsidR="00AB5156" w:rsidRPr="001F6AC2" w:rsidRDefault="00AB5156" w:rsidP="00325803">
            <w:pPr>
              <w:spacing w:before="0" w:line="240" w:lineRule="auto"/>
              <w:jc w:val="center"/>
              <w:rPr>
                <w:rFonts w:eastAsia="Times New Roman" w:cstheme="minorHAnsi"/>
                <w:bCs/>
                <w:szCs w:val="22"/>
              </w:rPr>
            </w:pPr>
            <w:r w:rsidRPr="001F6AC2">
              <w:rPr>
                <w:rFonts w:eastAsia="Times New Roman" w:cstheme="minorHAnsi"/>
                <w:bCs/>
                <w:szCs w:val="22"/>
              </w:rPr>
              <w:t>STR2</w:t>
            </w:r>
          </w:p>
        </w:tc>
        <w:tc>
          <w:tcPr>
            <w:tcW w:w="517" w:type="pct"/>
            <w:tcBorders>
              <w:top w:val="nil"/>
              <w:left w:val="nil"/>
              <w:bottom w:val="single" w:sz="4" w:space="0" w:color="auto"/>
              <w:right w:val="single" w:sz="4" w:space="0" w:color="auto"/>
            </w:tcBorders>
            <w:vAlign w:val="center"/>
          </w:tcPr>
          <w:p w14:paraId="4A18A6EB" w14:textId="77777777" w:rsidR="00AB5156" w:rsidRPr="001F6AC2" w:rsidRDefault="00AB5156" w:rsidP="00AB5156">
            <w:pPr>
              <w:spacing w:before="0" w:line="240" w:lineRule="auto"/>
              <w:jc w:val="center"/>
              <w:rPr>
                <w:rFonts w:eastAsia="Times New Roman" w:cstheme="minorHAnsi"/>
                <w:bCs/>
                <w:szCs w:val="22"/>
              </w:rPr>
            </w:pPr>
            <w:r w:rsidRPr="001F6AC2">
              <w:rPr>
                <w:rFonts w:eastAsia="Times New Roman" w:cstheme="minorHAnsi"/>
                <w:bCs/>
                <w:szCs w:val="22"/>
              </w:rPr>
              <w:t>STR2</w:t>
            </w:r>
          </w:p>
        </w:tc>
      </w:tr>
    </w:tbl>
    <w:bookmarkStart w:id="147" w:name="_Toc180650275"/>
    <w:p w14:paraId="5B40C686" w14:textId="6A93C827" w:rsidR="001A3B44" w:rsidRPr="007F7EE4" w:rsidRDefault="00911FE2" w:rsidP="009A770A">
      <w:pPr>
        <w:pStyle w:val="Tabulka"/>
      </w:pPr>
      <w:r w:rsidRPr="001B58F3">
        <w:rPr>
          <w:rFonts w:ascii="Verdana" w:hAnsi="Verdana"/>
          <w:noProof/>
          <w:sz w:val="19"/>
          <w:highlight w:val="cyan"/>
          <w:lang w:eastAsia="cs-CZ"/>
        </w:rPr>
        <mc:AlternateContent>
          <mc:Choice Requires="wps">
            <w:drawing>
              <wp:anchor distT="0" distB="0" distL="114300" distR="114300" simplePos="0" relativeHeight="251664896" behindDoc="0" locked="0" layoutInCell="1" allowOverlap="1" wp14:anchorId="1F6446FD" wp14:editId="011583C8">
                <wp:simplePos x="0" y="0"/>
                <wp:positionH relativeFrom="page">
                  <wp:posOffset>540385</wp:posOffset>
                </wp:positionH>
                <wp:positionV relativeFrom="paragraph">
                  <wp:posOffset>0</wp:posOffset>
                </wp:positionV>
                <wp:extent cx="1404000" cy="1594800"/>
                <wp:effectExtent l="0" t="0" r="5715" b="5715"/>
                <wp:wrapNone/>
                <wp:docPr id="43" name="Textové pole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04000" cy="159480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5A21F9F7" w14:textId="77777777" w:rsidR="0031735E" w:rsidRDefault="0031735E" w:rsidP="00911FE2">
                            <w:pPr>
                              <w:jc w:val="left"/>
                              <w:rPr>
                                <w:rStyle w:val="Odkaznakoment"/>
                                <w:rFonts w:cstheme="minorHAnsi"/>
                                <w:i/>
                                <w:sz w:val="20"/>
                                <w:szCs w:val="20"/>
                              </w:rPr>
                            </w:pPr>
                            <w:r>
                              <w:rPr>
                                <w:rStyle w:val="Odkaznakoment"/>
                                <w:rFonts w:cstheme="minorHAnsi"/>
                                <w:i/>
                                <w:sz w:val="20"/>
                                <w:szCs w:val="20"/>
                              </w:rPr>
                              <w:t>Nové ekonomické hodnocení střednědobého výhledu města:</w:t>
                            </w:r>
                          </w:p>
                          <w:p w14:paraId="647F684C" w14:textId="77777777" w:rsidR="0031735E" w:rsidRPr="00370D4F" w:rsidRDefault="0031735E" w:rsidP="00846D3C">
                            <w:pPr>
                              <w:jc w:val="left"/>
                              <w:rPr>
                                <w:rStyle w:val="Odkaznakoment"/>
                                <w:rFonts w:cstheme="minorHAnsi"/>
                                <w:i/>
                                <w:sz w:val="20"/>
                                <w:szCs w:val="20"/>
                              </w:rPr>
                            </w:pPr>
                            <w:r w:rsidRPr="00F31493">
                              <w:rPr>
                                <w:rStyle w:val="Odkaznakoment"/>
                                <w:rFonts w:cstheme="minorHAnsi"/>
                                <w:i/>
                                <w:sz w:val="20"/>
                                <w:szCs w:val="20"/>
                              </w:rPr>
                              <w:t>STR</w:t>
                            </w:r>
                            <w:r>
                              <w:rPr>
                                <w:rStyle w:val="Odkaznakoment"/>
                                <w:rFonts w:cstheme="minorHAnsi"/>
                                <w:i/>
                                <w:sz w:val="20"/>
                                <w:szCs w:val="20"/>
                              </w:rPr>
                              <w:t>2</w:t>
                            </w:r>
                            <w:r w:rsidRPr="00F31493">
                              <w:rPr>
                                <w:rStyle w:val="Odkaznakoment"/>
                                <w:rFonts w:cstheme="minorHAnsi"/>
                                <w:i/>
                                <w:sz w:val="20"/>
                                <w:szCs w:val="20"/>
                              </w:rPr>
                              <w:t xml:space="preserve"> - </w:t>
                            </w:r>
                            <w:r w:rsidRPr="00AB5156">
                              <w:rPr>
                                <w:rStyle w:val="Odkaznakoment"/>
                                <w:rFonts w:cstheme="minorHAnsi"/>
                                <w:i/>
                                <w:sz w:val="20"/>
                                <w:szCs w:val="20"/>
                              </w:rPr>
                              <w:t>Velmi dobrý subjekt s vysokou schopností splácet své aktuální závazky</w:t>
                            </w:r>
                          </w:p>
                          <w:p w14:paraId="06D11736" w14:textId="77777777" w:rsidR="0031735E" w:rsidRPr="00370D4F" w:rsidRDefault="0031735E" w:rsidP="00846D3C">
                            <w:pPr>
                              <w:rPr>
                                <w:rFonts w:cstheme="minorHAnsi"/>
                                <w:i/>
                                <w:szCs w:val="22"/>
                              </w:rPr>
                            </w:pPr>
                          </w:p>
                          <w:p w14:paraId="1E741FCD" w14:textId="77777777" w:rsidR="0031735E" w:rsidRPr="001B58F3" w:rsidRDefault="0031735E" w:rsidP="00E03088">
                            <w:pPr>
                              <w:spacing w:after="0"/>
                              <w:jc w:val="left"/>
                              <w:rPr>
                                <w:rFonts w:cstheme="minorHAnsi"/>
                                <w:i/>
                                <w:sz w:val="20"/>
                                <w:szCs w:val="20"/>
                              </w:rPr>
                            </w:pPr>
                          </w:p>
                        </w:txbxContent>
                      </wps:txbx>
                      <wps:bodyPr rot="0" vert="horz" wrap="square" lIns="0" tIns="0" rIns="0" bIns="0" anchor="t" anchorCtr="0" upright="1">
                        <a:noAutofit/>
                      </wps:bodyPr>
                    </wps:wsp>
                  </a:graphicData>
                </a:graphic>
                <wp14:sizeRelH relativeFrom="page">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1F6446FD" id="_x0000_s1063" type="#_x0000_t202" style="position:absolute;left:0;text-align:left;margin-left:42.55pt;margin-top:0;width:110.55pt;height:125.55pt;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" fillcolor="white [3201]" stroked="f" strokeweight=".5pt">
                <v:path arrowok="t"/>
                <v:textbox inset="0,0,0,0">
                  <w:txbxContent>
                    <w:p w14:paraId="5A21F9F7" w14:textId="77777777" w:rsidR="0031735E" w:rsidRDefault="0031735E" w:rsidP="00911FE2">
                      <w:pPr>
                        <w:jc w:val="left"/>
                        <w:rPr>
                          <w:rStyle w:val="Odkaznakoment"/>
                          <w:rFonts w:cstheme="minorHAnsi"/>
                          <w:i/>
                          <w:sz w:val="20"/>
                          <w:szCs w:val="20"/>
                        </w:rPr>
                      </w:pPr>
                      <w:r>
                        <w:rPr>
                          <w:rStyle w:val="Odkaznakoment"/>
                          <w:rFonts w:cstheme="minorHAnsi"/>
                          <w:i/>
                          <w:sz w:val="20"/>
                          <w:szCs w:val="20"/>
                        </w:rPr>
                        <w:t>Nové ekonomické hodnocení střednědobého výhledu města:</w:t>
                      </w:r>
                    </w:p>
                    <w:p w14:paraId="647F684C" w14:textId="77777777" w:rsidR="0031735E" w:rsidRPr="00370D4F" w:rsidRDefault="0031735E" w:rsidP="00846D3C">
                      <w:pPr>
                        <w:jc w:val="left"/>
                        <w:rPr>
                          <w:rStyle w:val="Odkaznakoment"/>
                          <w:rFonts w:cstheme="minorHAnsi"/>
                          <w:i/>
                          <w:sz w:val="20"/>
                          <w:szCs w:val="20"/>
                        </w:rPr>
                      </w:pPr>
                      <w:proofErr w:type="gramStart"/>
                      <w:r w:rsidRPr="00F31493">
                        <w:rPr>
                          <w:rStyle w:val="Odkaznakoment"/>
                          <w:rFonts w:cstheme="minorHAnsi"/>
                          <w:i/>
                          <w:sz w:val="20"/>
                          <w:szCs w:val="20"/>
                        </w:rPr>
                        <w:t>STR</w:t>
                      </w:r>
                      <w:r>
                        <w:rPr>
                          <w:rStyle w:val="Odkaznakoment"/>
                          <w:rFonts w:cstheme="minorHAnsi"/>
                          <w:i/>
                          <w:sz w:val="20"/>
                          <w:szCs w:val="20"/>
                        </w:rPr>
                        <w:t>2</w:t>
                      </w:r>
                      <w:r w:rsidRPr="00F31493">
                        <w:rPr>
                          <w:rStyle w:val="Odkaznakoment"/>
                          <w:rFonts w:cstheme="minorHAnsi"/>
                          <w:i/>
                          <w:sz w:val="20"/>
                          <w:szCs w:val="20"/>
                        </w:rPr>
                        <w:t xml:space="preserve"> - </w:t>
                      </w:r>
                      <w:r w:rsidRPr="00AB5156">
                        <w:rPr>
                          <w:rStyle w:val="Odkaznakoment"/>
                          <w:rFonts w:cstheme="minorHAnsi"/>
                          <w:i/>
                          <w:sz w:val="20"/>
                          <w:szCs w:val="20"/>
                        </w:rPr>
                        <w:t>Velmi</w:t>
                      </w:r>
                      <w:proofErr w:type="gramEnd"/>
                      <w:r w:rsidRPr="00AB5156">
                        <w:rPr>
                          <w:rStyle w:val="Odkaznakoment"/>
                          <w:rFonts w:cstheme="minorHAnsi"/>
                          <w:i/>
                          <w:sz w:val="20"/>
                          <w:szCs w:val="20"/>
                        </w:rPr>
                        <w:t xml:space="preserve"> dobrý subjekt s vysokou schopností splácet své aktuální závazky</w:t>
                      </w:r>
                    </w:p>
                    <w:p w14:paraId="06D11736" w14:textId="77777777" w:rsidR="0031735E" w:rsidRPr="00370D4F" w:rsidRDefault="0031735E" w:rsidP="00846D3C">
                      <w:pPr>
                        <w:rPr>
                          <w:rFonts w:cstheme="minorHAnsi"/>
                          <w:i/>
                          <w:szCs w:val="22"/>
                        </w:rPr>
                      </w:pPr>
                    </w:p>
                    <w:p w14:paraId="1E741FCD" w14:textId="77777777" w:rsidR="0031735E" w:rsidRPr="001B58F3" w:rsidRDefault="0031735E" w:rsidP="00E03088">
                      <w:pPr>
                        <w:spacing w:after="0"/>
                        <w:jc w:val="left"/>
                        <w:rPr>
                          <w:rFonts w:cstheme="minorHAnsi"/>
                          <w:i/>
                          <w:sz w:val="20"/>
                          <w:szCs w:val="20"/>
                        </w:rPr>
                      </w:pPr>
                    </w:p>
                  </w:txbxContent>
                </v:textbox>
                <w10:wrap anchorx="page"/>
              </v:shape>
            </w:pict>
          </mc:Fallback>
        </mc:AlternateContent>
      </w:r>
      <w:r w:rsidR="001A3B44" w:rsidRPr="007F7EE4">
        <w:t xml:space="preserve">Ekonomické hodnocení města v letech </w:t>
      </w:r>
      <w:proofErr w:type="gramStart"/>
      <w:r w:rsidR="001A3B44" w:rsidRPr="007F7EE4">
        <w:t>20</w:t>
      </w:r>
      <w:r w:rsidR="0041031E" w:rsidRPr="007F7EE4">
        <w:t>21</w:t>
      </w:r>
      <w:r w:rsidR="001A3B44" w:rsidRPr="007F7EE4">
        <w:t xml:space="preserve"> - 20</w:t>
      </w:r>
      <w:r w:rsidR="0041031E" w:rsidRPr="007F7EE4">
        <w:t>2</w:t>
      </w:r>
      <w:r w:rsidR="00F15ADB" w:rsidRPr="007F7EE4">
        <w:t>7</w:t>
      </w:r>
      <w:proofErr w:type="gramEnd"/>
      <w:r w:rsidR="001A3B44" w:rsidRPr="007F7EE4">
        <w:t xml:space="preserve"> (nové)</w:t>
      </w:r>
      <w:bookmarkEnd w:id="147"/>
    </w:p>
    <w:tbl>
      <w:tblPr>
        <w:tblW w:w="4531" w:type="pct"/>
        <w:tblCellMar>
          <w:left w:w="0" w:type="dxa"/>
          <w:right w:w="0" w:type="dxa"/>
        </w:tblCellMar>
        <w:tblLook w:val="04A0" w:firstRow="1" w:lastRow="0" w:firstColumn="1" w:lastColumn="0" w:noHBand="0" w:noVBand="1"/>
      </w:tblPr>
      <w:tblGrid>
        <w:gridCol w:w="1153"/>
        <w:gridCol w:w="722"/>
        <w:gridCol w:w="723"/>
        <w:gridCol w:w="722"/>
        <w:gridCol w:w="722"/>
        <w:gridCol w:w="722"/>
        <w:gridCol w:w="722"/>
        <w:gridCol w:w="721"/>
        <w:gridCol w:w="721"/>
      </w:tblGrid>
      <w:tr w:rsidR="00AB5156" w:rsidRPr="00277D96" w14:paraId="3FD3F8DF" w14:textId="77777777" w:rsidTr="00AB5156">
        <w:trPr>
          <w:trHeight w:hRule="exact" w:val="284"/>
        </w:trPr>
        <w:tc>
          <w:tcPr>
            <w:tcW w:w="833" w:type="pct"/>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5F0CF458" w14:textId="77777777" w:rsidR="00AB5156" w:rsidRPr="00277D96" w:rsidRDefault="00AB5156" w:rsidP="00325803">
            <w:pPr>
              <w:spacing w:before="0" w:line="240" w:lineRule="auto"/>
              <w:jc w:val="center"/>
              <w:rPr>
                <w:rFonts w:eastAsia="Times New Roman" w:cstheme="minorHAnsi"/>
                <w:bCs/>
                <w:szCs w:val="22"/>
              </w:rPr>
            </w:pPr>
            <w:r w:rsidRPr="00277D96">
              <w:rPr>
                <w:rFonts w:eastAsia="Times New Roman" w:cstheme="minorHAnsi"/>
                <w:bCs/>
                <w:szCs w:val="22"/>
              </w:rPr>
              <w:t>Hodnocení</w:t>
            </w:r>
          </w:p>
        </w:tc>
        <w:tc>
          <w:tcPr>
            <w:tcW w:w="521" w:type="pct"/>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14:paraId="0F06C2DE" w14:textId="77777777" w:rsidR="00AB5156" w:rsidRPr="00277D96" w:rsidRDefault="00AB5156" w:rsidP="0041031E">
            <w:pPr>
              <w:spacing w:before="0" w:line="240" w:lineRule="auto"/>
              <w:jc w:val="center"/>
              <w:rPr>
                <w:rFonts w:eastAsia="Times New Roman" w:cstheme="minorHAnsi"/>
                <w:bCs/>
                <w:szCs w:val="22"/>
              </w:rPr>
            </w:pPr>
            <w:r w:rsidRPr="00277D96">
              <w:rPr>
                <w:rFonts w:eastAsia="Times New Roman" w:cstheme="minorHAnsi"/>
                <w:bCs/>
                <w:szCs w:val="22"/>
              </w:rPr>
              <w:t>2021</w:t>
            </w:r>
          </w:p>
        </w:tc>
        <w:tc>
          <w:tcPr>
            <w:tcW w:w="522" w:type="pct"/>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14:paraId="116E6B89" w14:textId="77777777" w:rsidR="00AB5156" w:rsidRPr="00277D96" w:rsidRDefault="00AB5156" w:rsidP="0041031E">
            <w:pPr>
              <w:spacing w:before="0" w:line="240" w:lineRule="auto"/>
              <w:jc w:val="center"/>
              <w:rPr>
                <w:rFonts w:eastAsia="Times New Roman" w:cstheme="minorHAnsi"/>
                <w:bCs/>
                <w:szCs w:val="22"/>
              </w:rPr>
            </w:pPr>
            <w:r w:rsidRPr="00277D96">
              <w:rPr>
                <w:rFonts w:eastAsia="Times New Roman" w:cstheme="minorHAnsi"/>
                <w:bCs/>
                <w:szCs w:val="22"/>
              </w:rPr>
              <w:t>2022</w:t>
            </w:r>
          </w:p>
        </w:tc>
        <w:tc>
          <w:tcPr>
            <w:tcW w:w="521" w:type="pct"/>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14:paraId="542012AD" w14:textId="77777777" w:rsidR="00AB5156" w:rsidRPr="00277D96" w:rsidRDefault="00AB5156" w:rsidP="0041031E">
            <w:pPr>
              <w:spacing w:before="0" w:line="240" w:lineRule="auto"/>
              <w:jc w:val="center"/>
              <w:rPr>
                <w:rFonts w:eastAsia="Times New Roman" w:cstheme="minorHAnsi"/>
                <w:bCs/>
                <w:szCs w:val="22"/>
              </w:rPr>
            </w:pPr>
            <w:r w:rsidRPr="00277D96">
              <w:rPr>
                <w:rFonts w:eastAsia="Times New Roman" w:cstheme="minorHAnsi"/>
                <w:bCs/>
                <w:szCs w:val="22"/>
              </w:rPr>
              <w:t>2023</w:t>
            </w:r>
          </w:p>
        </w:tc>
        <w:tc>
          <w:tcPr>
            <w:tcW w:w="521" w:type="pct"/>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14:paraId="6D79619E" w14:textId="77777777" w:rsidR="00AB5156" w:rsidRPr="00277D96" w:rsidRDefault="00AB5156" w:rsidP="0041031E">
            <w:pPr>
              <w:spacing w:before="0" w:line="240" w:lineRule="auto"/>
              <w:jc w:val="center"/>
              <w:rPr>
                <w:rFonts w:eastAsia="Times New Roman" w:cstheme="minorHAnsi"/>
                <w:bCs/>
                <w:szCs w:val="22"/>
              </w:rPr>
            </w:pPr>
            <w:r w:rsidRPr="00277D96">
              <w:rPr>
                <w:rFonts w:eastAsia="Times New Roman" w:cstheme="minorHAnsi"/>
                <w:bCs/>
                <w:szCs w:val="22"/>
              </w:rPr>
              <w:t>2024</w:t>
            </w:r>
          </w:p>
        </w:tc>
        <w:tc>
          <w:tcPr>
            <w:tcW w:w="521" w:type="pct"/>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14:paraId="64A2E461" w14:textId="77777777" w:rsidR="00AB5156" w:rsidRPr="00277D96" w:rsidRDefault="00AB5156" w:rsidP="0041031E">
            <w:pPr>
              <w:spacing w:before="0" w:line="240" w:lineRule="auto"/>
              <w:jc w:val="center"/>
              <w:rPr>
                <w:rFonts w:eastAsia="Times New Roman" w:cstheme="minorHAnsi"/>
                <w:bCs/>
                <w:szCs w:val="22"/>
              </w:rPr>
            </w:pPr>
            <w:r w:rsidRPr="00277D96">
              <w:rPr>
                <w:rFonts w:eastAsia="Times New Roman" w:cstheme="minorHAnsi"/>
                <w:bCs/>
                <w:szCs w:val="22"/>
              </w:rPr>
              <w:t>2025</w:t>
            </w:r>
          </w:p>
        </w:tc>
        <w:tc>
          <w:tcPr>
            <w:tcW w:w="521" w:type="pct"/>
            <w:tcBorders>
              <w:top w:val="single" w:sz="4" w:space="0" w:color="auto"/>
              <w:left w:val="nil"/>
              <w:bottom w:val="single" w:sz="4" w:space="0" w:color="auto"/>
              <w:right w:val="single" w:sz="4" w:space="0" w:color="auto"/>
            </w:tcBorders>
            <w:shd w:val="clear" w:color="auto" w:fill="BFBFBF" w:themeFill="background1" w:themeFillShade="BF"/>
            <w:vAlign w:val="center"/>
          </w:tcPr>
          <w:p w14:paraId="5820525A" w14:textId="77777777" w:rsidR="00AB5156" w:rsidRPr="00277D96" w:rsidRDefault="00AB5156" w:rsidP="0041031E">
            <w:pPr>
              <w:spacing w:before="0" w:line="240" w:lineRule="auto"/>
              <w:jc w:val="center"/>
              <w:rPr>
                <w:rFonts w:eastAsia="Times New Roman" w:cstheme="minorHAnsi"/>
                <w:bCs/>
                <w:szCs w:val="22"/>
              </w:rPr>
            </w:pPr>
            <w:r w:rsidRPr="00277D96">
              <w:rPr>
                <w:rFonts w:eastAsia="Times New Roman" w:cstheme="minorHAnsi"/>
                <w:bCs/>
                <w:szCs w:val="22"/>
              </w:rPr>
              <w:t>2026</w:t>
            </w:r>
          </w:p>
        </w:tc>
        <w:tc>
          <w:tcPr>
            <w:tcW w:w="520" w:type="pct"/>
            <w:tcBorders>
              <w:top w:val="single" w:sz="4" w:space="0" w:color="auto"/>
              <w:left w:val="nil"/>
              <w:bottom w:val="single" w:sz="4" w:space="0" w:color="auto"/>
              <w:right w:val="single" w:sz="4" w:space="0" w:color="auto"/>
            </w:tcBorders>
            <w:shd w:val="clear" w:color="auto" w:fill="BFBFBF" w:themeFill="background1" w:themeFillShade="BF"/>
            <w:vAlign w:val="center"/>
          </w:tcPr>
          <w:p w14:paraId="6B041CDC" w14:textId="77777777" w:rsidR="00AB5156" w:rsidRPr="00277D96" w:rsidRDefault="00AB5156" w:rsidP="0041031E">
            <w:pPr>
              <w:spacing w:before="0" w:line="240" w:lineRule="auto"/>
              <w:jc w:val="center"/>
              <w:rPr>
                <w:rFonts w:eastAsia="Times New Roman" w:cstheme="minorHAnsi"/>
                <w:bCs/>
                <w:szCs w:val="22"/>
              </w:rPr>
            </w:pPr>
            <w:r w:rsidRPr="00277D96">
              <w:rPr>
                <w:rFonts w:eastAsia="Times New Roman" w:cstheme="minorHAnsi"/>
                <w:bCs/>
                <w:szCs w:val="22"/>
              </w:rPr>
              <w:t>2027</w:t>
            </w:r>
          </w:p>
        </w:tc>
        <w:tc>
          <w:tcPr>
            <w:tcW w:w="520" w:type="pct"/>
            <w:tcBorders>
              <w:top w:val="single" w:sz="4" w:space="0" w:color="auto"/>
              <w:left w:val="nil"/>
              <w:bottom w:val="single" w:sz="4" w:space="0" w:color="auto"/>
              <w:right w:val="single" w:sz="4" w:space="0" w:color="auto"/>
            </w:tcBorders>
            <w:shd w:val="clear" w:color="auto" w:fill="BFBFBF" w:themeFill="background1" w:themeFillShade="BF"/>
            <w:vAlign w:val="center"/>
          </w:tcPr>
          <w:p w14:paraId="17D41FC8" w14:textId="77777777" w:rsidR="00AB5156" w:rsidRPr="001F6AC2" w:rsidRDefault="00AB5156" w:rsidP="00AB5156">
            <w:pPr>
              <w:spacing w:before="0" w:line="240" w:lineRule="auto"/>
              <w:jc w:val="center"/>
              <w:rPr>
                <w:rFonts w:eastAsia="Times New Roman" w:cstheme="minorHAnsi"/>
                <w:bCs/>
                <w:szCs w:val="22"/>
              </w:rPr>
            </w:pPr>
            <w:r w:rsidRPr="001F6AC2">
              <w:rPr>
                <w:rFonts w:eastAsia="Times New Roman" w:cstheme="minorHAnsi"/>
                <w:bCs/>
                <w:szCs w:val="22"/>
              </w:rPr>
              <w:t>202</w:t>
            </w:r>
            <w:r>
              <w:rPr>
                <w:rFonts w:eastAsia="Times New Roman" w:cstheme="minorHAnsi"/>
                <w:bCs/>
                <w:szCs w:val="22"/>
              </w:rPr>
              <w:t>8</w:t>
            </w:r>
          </w:p>
        </w:tc>
      </w:tr>
      <w:tr w:rsidR="00AB5156" w:rsidRPr="00277D96" w14:paraId="5EFA58E3" w14:textId="77777777" w:rsidTr="00AB5156">
        <w:trPr>
          <w:trHeight w:hRule="exact" w:val="284"/>
        </w:trPr>
        <w:tc>
          <w:tcPr>
            <w:tcW w:w="833" w:type="pct"/>
            <w:tcBorders>
              <w:top w:val="nil"/>
              <w:left w:val="single" w:sz="4" w:space="0" w:color="auto"/>
              <w:bottom w:val="nil"/>
              <w:right w:val="single" w:sz="4" w:space="0" w:color="auto"/>
            </w:tcBorders>
            <w:shd w:val="clear" w:color="auto" w:fill="auto"/>
            <w:noWrap/>
            <w:vAlign w:val="center"/>
            <w:hideMark/>
          </w:tcPr>
          <w:p w14:paraId="41FF6C36" w14:textId="77777777" w:rsidR="00AB5156" w:rsidRPr="00277D96" w:rsidRDefault="00AB5156" w:rsidP="00AB5156">
            <w:pPr>
              <w:spacing w:before="0" w:line="240" w:lineRule="auto"/>
              <w:jc w:val="center"/>
              <w:rPr>
                <w:rFonts w:eastAsia="Times New Roman" w:cstheme="minorHAnsi"/>
                <w:bCs/>
                <w:szCs w:val="22"/>
              </w:rPr>
            </w:pPr>
            <w:r w:rsidRPr="00277D96">
              <w:rPr>
                <w:rFonts w:eastAsia="Times New Roman" w:cstheme="minorHAnsi"/>
                <w:bCs/>
                <w:szCs w:val="22"/>
              </w:rPr>
              <w:t>Minulost</w:t>
            </w:r>
          </w:p>
        </w:tc>
        <w:tc>
          <w:tcPr>
            <w:tcW w:w="521" w:type="pct"/>
            <w:tcBorders>
              <w:top w:val="nil"/>
              <w:left w:val="nil"/>
              <w:bottom w:val="nil"/>
              <w:right w:val="single" w:sz="4" w:space="0" w:color="auto"/>
            </w:tcBorders>
            <w:shd w:val="clear" w:color="auto" w:fill="auto"/>
            <w:noWrap/>
            <w:vAlign w:val="center"/>
          </w:tcPr>
          <w:p w14:paraId="7EE72E5A" w14:textId="7F0F2181" w:rsidR="00AB5156" w:rsidRPr="00277D96" w:rsidRDefault="00D518C8" w:rsidP="00AB5156">
            <w:pPr>
              <w:spacing w:before="0" w:line="240" w:lineRule="auto"/>
              <w:jc w:val="center"/>
              <w:rPr>
                <w:rFonts w:eastAsia="Times New Roman" w:cstheme="minorHAnsi"/>
                <w:bCs/>
                <w:szCs w:val="22"/>
              </w:rPr>
            </w:pPr>
            <w:r>
              <w:rPr>
                <w:rFonts w:eastAsia="Times New Roman" w:cstheme="minorHAnsi"/>
                <w:bCs/>
                <w:szCs w:val="22"/>
              </w:rPr>
              <w:t>B1</w:t>
            </w:r>
          </w:p>
        </w:tc>
        <w:tc>
          <w:tcPr>
            <w:tcW w:w="522" w:type="pct"/>
            <w:tcBorders>
              <w:top w:val="nil"/>
              <w:left w:val="nil"/>
              <w:bottom w:val="nil"/>
              <w:right w:val="single" w:sz="4" w:space="0" w:color="auto"/>
            </w:tcBorders>
            <w:shd w:val="clear" w:color="auto" w:fill="auto"/>
            <w:noWrap/>
            <w:vAlign w:val="center"/>
          </w:tcPr>
          <w:p w14:paraId="05EA31A1" w14:textId="0EE7AC48" w:rsidR="00AB5156" w:rsidRPr="00277D96" w:rsidRDefault="00D518C8" w:rsidP="0041031E">
            <w:pPr>
              <w:spacing w:before="0" w:line="240" w:lineRule="auto"/>
              <w:jc w:val="center"/>
              <w:rPr>
                <w:rFonts w:eastAsia="Times New Roman" w:cstheme="minorHAnsi"/>
                <w:bCs/>
                <w:szCs w:val="22"/>
              </w:rPr>
            </w:pPr>
            <w:r>
              <w:rPr>
                <w:rFonts w:eastAsia="Times New Roman" w:cstheme="minorHAnsi"/>
                <w:bCs/>
                <w:szCs w:val="22"/>
              </w:rPr>
              <w:t>B1</w:t>
            </w:r>
          </w:p>
        </w:tc>
        <w:tc>
          <w:tcPr>
            <w:tcW w:w="521" w:type="pct"/>
            <w:tcBorders>
              <w:top w:val="nil"/>
              <w:left w:val="nil"/>
              <w:bottom w:val="nil"/>
              <w:right w:val="single" w:sz="4" w:space="0" w:color="auto"/>
            </w:tcBorders>
            <w:shd w:val="clear" w:color="auto" w:fill="auto"/>
            <w:noWrap/>
            <w:vAlign w:val="center"/>
          </w:tcPr>
          <w:p w14:paraId="047E9594" w14:textId="010F2E2D" w:rsidR="00AB5156" w:rsidRPr="00277D96" w:rsidRDefault="00AB5156" w:rsidP="0041031E">
            <w:pPr>
              <w:spacing w:before="0" w:line="240" w:lineRule="auto"/>
              <w:jc w:val="center"/>
              <w:rPr>
                <w:rFonts w:eastAsia="Times New Roman" w:cstheme="minorHAnsi"/>
                <w:bCs/>
                <w:szCs w:val="22"/>
              </w:rPr>
            </w:pPr>
            <w:r w:rsidRPr="00277D96">
              <w:rPr>
                <w:rFonts w:eastAsia="Times New Roman" w:cstheme="minorHAnsi"/>
                <w:bCs/>
                <w:szCs w:val="22"/>
              </w:rPr>
              <w:t>-</w:t>
            </w:r>
            <w:r w:rsidR="00D518C8">
              <w:rPr>
                <w:rFonts w:eastAsia="Times New Roman" w:cstheme="minorHAnsi"/>
                <w:bCs/>
                <w:szCs w:val="22"/>
              </w:rPr>
              <w:t xml:space="preserve"> B1</w:t>
            </w:r>
          </w:p>
        </w:tc>
        <w:tc>
          <w:tcPr>
            <w:tcW w:w="521" w:type="pct"/>
            <w:tcBorders>
              <w:top w:val="nil"/>
              <w:left w:val="nil"/>
              <w:bottom w:val="nil"/>
              <w:right w:val="single" w:sz="4" w:space="0" w:color="auto"/>
            </w:tcBorders>
            <w:shd w:val="clear" w:color="auto" w:fill="auto"/>
            <w:noWrap/>
            <w:vAlign w:val="center"/>
          </w:tcPr>
          <w:p w14:paraId="073D0910" w14:textId="2D291AC1" w:rsidR="00AB5156" w:rsidRPr="00277D96" w:rsidRDefault="00D518C8" w:rsidP="0041031E">
            <w:pPr>
              <w:spacing w:before="0" w:line="240" w:lineRule="auto"/>
              <w:jc w:val="center"/>
              <w:rPr>
                <w:rFonts w:eastAsia="Times New Roman" w:cstheme="minorHAnsi"/>
                <w:bCs/>
                <w:szCs w:val="22"/>
              </w:rPr>
            </w:pPr>
            <w:r>
              <w:rPr>
                <w:rFonts w:eastAsia="Times New Roman" w:cstheme="minorHAnsi"/>
                <w:bCs/>
                <w:szCs w:val="22"/>
              </w:rPr>
              <w:t>B1</w:t>
            </w:r>
          </w:p>
        </w:tc>
        <w:tc>
          <w:tcPr>
            <w:tcW w:w="521" w:type="pct"/>
            <w:tcBorders>
              <w:top w:val="nil"/>
              <w:left w:val="nil"/>
              <w:bottom w:val="nil"/>
              <w:right w:val="single" w:sz="4" w:space="0" w:color="auto"/>
            </w:tcBorders>
            <w:shd w:val="clear" w:color="auto" w:fill="auto"/>
            <w:noWrap/>
            <w:vAlign w:val="center"/>
          </w:tcPr>
          <w:p w14:paraId="4B916A6D" w14:textId="77777777" w:rsidR="00AB5156" w:rsidRPr="00277D96" w:rsidRDefault="00AB5156" w:rsidP="0041031E">
            <w:pPr>
              <w:spacing w:before="0" w:line="240" w:lineRule="auto"/>
              <w:jc w:val="center"/>
              <w:rPr>
                <w:rFonts w:eastAsia="Times New Roman" w:cstheme="minorHAnsi"/>
                <w:bCs/>
                <w:szCs w:val="22"/>
              </w:rPr>
            </w:pPr>
            <w:r w:rsidRPr="00277D96">
              <w:rPr>
                <w:rFonts w:eastAsia="Times New Roman" w:cstheme="minorHAnsi"/>
                <w:bCs/>
                <w:szCs w:val="22"/>
              </w:rPr>
              <w:t>-</w:t>
            </w:r>
          </w:p>
        </w:tc>
        <w:tc>
          <w:tcPr>
            <w:tcW w:w="521" w:type="pct"/>
            <w:tcBorders>
              <w:top w:val="nil"/>
              <w:left w:val="nil"/>
              <w:bottom w:val="nil"/>
              <w:right w:val="single" w:sz="4" w:space="0" w:color="auto"/>
            </w:tcBorders>
            <w:vAlign w:val="center"/>
          </w:tcPr>
          <w:p w14:paraId="24ACB99B" w14:textId="77777777" w:rsidR="00AB5156" w:rsidRPr="00277D96" w:rsidRDefault="00AB5156" w:rsidP="0041031E">
            <w:pPr>
              <w:spacing w:before="0" w:line="240" w:lineRule="auto"/>
              <w:jc w:val="center"/>
              <w:rPr>
                <w:rFonts w:eastAsia="Times New Roman" w:cstheme="minorHAnsi"/>
                <w:bCs/>
                <w:szCs w:val="22"/>
              </w:rPr>
            </w:pPr>
            <w:r w:rsidRPr="00277D96">
              <w:rPr>
                <w:rFonts w:eastAsia="Times New Roman" w:cstheme="minorHAnsi"/>
                <w:bCs/>
                <w:szCs w:val="22"/>
              </w:rPr>
              <w:t>-</w:t>
            </w:r>
          </w:p>
        </w:tc>
        <w:tc>
          <w:tcPr>
            <w:tcW w:w="520" w:type="pct"/>
            <w:tcBorders>
              <w:top w:val="nil"/>
              <w:left w:val="nil"/>
              <w:bottom w:val="nil"/>
              <w:right w:val="single" w:sz="4" w:space="0" w:color="auto"/>
            </w:tcBorders>
            <w:vAlign w:val="center"/>
          </w:tcPr>
          <w:p w14:paraId="11593944" w14:textId="77777777" w:rsidR="00AB5156" w:rsidRPr="00277D96" w:rsidRDefault="00AB5156" w:rsidP="0041031E">
            <w:pPr>
              <w:spacing w:before="0" w:line="240" w:lineRule="auto"/>
              <w:jc w:val="center"/>
              <w:rPr>
                <w:rFonts w:eastAsia="Times New Roman" w:cstheme="minorHAnsi"/>
                <w:bCs/>
                <w:szCs w:val="22"/>
              </w:rPr>
            </w:pPr>
            <w:r w:rsidRPr="00277D96">
              <w:rPr>
                <w:rFonts w:eastAsia="Times New Roman" w:cstheme="minorHAnsi"/>
                <w:bCs/>
                <w:szCs w:val="22"/>
              </w:rPr>
              <w:t>-</w:t>
            </w:r>
          </w:p>
        </w:tc>
        <w:tc>
          <w:tcPr>
            <w:tcW w:w="520" w:type="pct"/>
            <w:tcBorders>
              <w:top w:val="nil"/>
              <w:left w:val="nil"/>
              <w:bottom w:val="nil"/>
              <w:right w:val="single" w:sz="4" w:space="0" w:color="auto"/>
            </w:tcBorders>
            <w:vAlign w:val="center"/>
          </w:tcPr>
          <w:p w14:paraId="26F6A3E5" w14:textId="77777777" w:rsidR="00AB5156" w:rsidRPr="00277D96" w:rsidRDefault="00AB5156" w:rsidP="00AB5156">
            <w:pPr>
              <w:spacing w:before="0" w:line="240" w:lineRule="auto"/>
              <w:jc w:val="center"/>
              <w:rPr>
                <w:rFonts w:eastAsia="Times New Roman" w:cstheme="minorHAnsi"/>
                <w:bCs/>
                <w:szCs w:val="22"/>
              </w:rPr>
            </w:pPr>
            <w:r w:rsidRPr="00277D96">
              <w:rPr>
                <w:rFonts w:eastAsia="Times New Roman" w:cstheme="minorHAnsi"/>
                <w:bCs/>
                <w:szCs w:val="22"/>
              </w:rPr>
              <w:t>-</w:t>
            </w:r>
          </w:p>
        </w:tc>
      </w:tr>
      <w:tr w:rsidR="00AB5156" w:rsidRPr="00277D96" w14:paraId="7FC8AA0D" w14:textId="77777777" w:rsidTr="00AB5156">
        <w:trPr>
          <w:trHeight w:hRule="exact" w:val="284"/>
        </w:trPr>
        <w:tc>
          <w:tcPr>
            <w:tcW w:w="833" w:type="pct"/>
            <w:tcBorders>
              <w:top w:val="nil"/>
              <w:left w:val="single" w:sz="4" w:space="0" w:color="auto"/>
              <w:bottom w:val="single" w:sz="4" w:space="0" w:color="auto"/>
              <w:right w:val="single" w:sz="4" w:space="0" w:color="auto"/>
            </w:tcBorders>
            <w:shd w:val="clear" w:color="auto" w:fill="auto"/>
            <w:noWrap/>
            <w:vAlign w:val="center"/>
            <w:hideMark/>
          </w:tcPr>
          <w:p w14:paraId="4530EE5B" w14:textId="77777777" w:rsidR="00AB5156" w:rsidRPr="00277D96" w:rsidRDefault="00AB5156" w:rsidP="00AB5156">
            <w:pPr>
              <w:spacing w:before="0" w:line="240" w:lineRule="auto"/>
              <w:jc w:val="center"/>
              <w:rPr>
                <w:rFonts w:eastAsia="Times New Roman" w:cstheme="minorHAnsi"/>
                <w:bCs/>
                <w:szCs w:val="22"/>
              </w:rPr>
            </w:pPr>
            <w:r w:rsidRPr="00277D96">
              <w:rPr>
                <w:rFonts w:eastAsia="Times New Roman" w:cstheme="minorHAnsi"/>
                <w:bCs/>
                <w:szCs w:val="22"/>
              </w:rPr>
              <w:t>Budoucnost</w:t>
            </w:r>
          </w:p>
        </w:tc>
        <w:tc>
          <w:tcPr>
            <w:tcW w:w="521" w:type="pct"/>
            <w:tcBorders>
              <w:top w:val="nil"/>
              <w:left w:val="nil"/>
              <w:bottom w:val="single" w:sz="4" w:space="0" w:color="auto"/>
              <w:right w:val="single" w:sz="4" w:space="0" w:color="auto"/>
            </w:tcBorders>
            <w:shd w:val="clear" w:color="auto" w:fill="auto"/>
            <w:noWrap/>
            <w:vAlign w:val="center"/>
          </w:tcPr>
          <w:p w14:paraId="0134F680" w14:textId="77777777" w:rsidR="00AB5156" w:rsidRPr="00277D96" w:rsidRDefault="00AB5156" w:rsidP="0041031E">
            <w:pPr>
              <w:spacing w:before="0" w:line="240" w:lineRule="auto"/>
              <w:jc w:val="center"/>
              <w:rPr>
                <w:rFonts w:eastAsia="Times New Roman" w:cstheme="minorHAnsi"/>
                <w:bCs/>
                <w:szCs w:val="22"/>
              </w:rPr>
            </w:pPr>
            <w:r>
              <w:rPr>
                <w:rFonts w:eastAsia="Times New Roman" w:cstheme="minorHAnsi"/>
                <w:bCs/>
                <w:szCs w:val="22"/>
              </w:rPr>
              <w:t>STR2</w:t>
            </w:r>
          </w:p>
        </w:tc>
        <w:tc>
          <w:tcPr>
            <w:tcW w:w="522" w:type="pct"/>
            <w:tcBorders>
              <w:top w:val="nil"/>
              <w:left w:val="nil"/>
              <w:bottom w:val="single" w:sz="4" w:space="0" w:color="auto"/>
              <w:right w:val="single" w:sz="4" w:space="0" w:color="auto"/>
            </w:tcBorders>
            <w:shd w:val="clear" w:color="auto" w:fill="auto"/>
            <w:noWrap/>
            <w:vAlign w:val="center"/>
          </w:tcPr>
          <w:p w14:paraId="67E12D04" w14:textId="3BC3341A" w:rsidR="00AB5156" w:rsidRPr="00277D96" w:rsidRDefault="00D518C8" w:rsidP="0041031E">
            <w:pPr>
              <w:spacing w:before="0" w:line="240" w:lineRule="auto"/>
              <w:jc w:val="center"/>
              <w:rPr>
                <w:rFonts w:eastAsia="Times New Roman" w:cstheme="minorHAnsi"/>
                <w:bCs/>
                <w:szCs w:val="22"/>
              </w:rPr>
            </w:pPr>
            <w:r>
              <w:rPr>
                <w:rFonts w:eastAsia="Times New Roman" w:cstheme="minorHAnsi"/>
                <w:bCs/>
                <w:szCs w:val="22"/>
              </w:rPr>
              <w:t>STR2</w:t>
            </w:r>
          </w:p>
        </w:tc>
        <w:tc>
          <w:tcPr>
            <w:tcW w:w="521" w:type="pct"/>
            <w:tcBorders>
              <w:top w:val="nil"/>
              <w:left w:val="nil"/>
              <w:bottom w:val="single" w:sz="4" w:space="0" w:color="auto"/>
              <w:right w:val="single" w:sz="4" w:space="0" w:color="auto"/>
            </w:tcBorders>
            <w:shd w:val="clear" w:color="auto" w:fill="auto"/>
            <w:noWrap/>
            <w:vAlign w:val="center"/>
          </w:tcPr>
          <w:p w14:paraId="4488EC36" w14:textId="43C16716" w:rsidR="00AB5156" w:rsidRPr="00277D96" w:rsidRDefault="00D518C8" w:rsidP="0041031E">
            <w:pPr>
              <w:spacing w:before="0" w:line="240" w:lineRule="auto"/>
              <w:jc w:val="center"/>
              <w:rPr>
                <w:rFonts w:eastAsia="Times New Roman" w:cstheme="minorHAnsi"/>
                <w:bCs/>
                <w:szCs w:val="22"/>
              </w:rPr>
            </w:pPr>
            <w:r>
              <w:rPr>
                <w:rFonts w:eastAsia="Times New Roman" w:cstheme="minorHAnsi"/>
                <w:bCs/>
                <w:szCs w:val="22"/>
              </w:rPr>
              <w:t>STR2</w:t>
            </w:r>
          </w:p>
        </w:tc>
        <w:tc>
          <w:tcPr>
            <w:tcW w:w="521" w:type="pct"/>
            <w:tcBorders>
              <w:top w:val="nil"/>
              <w:left w:val="nil"/>
              <w:bottom w:val="single" w:sz="4" w:space="0" w:color="auto"/>
              <w:right w:val="single" w:sz="4" w:space="0" w:color="auto"/>
            </w:tcBorders>
            <w:shd w:val="clear" w:color="auto" w:fill="auto"/>
            <w:noWrap/>
            <w:vAlign w:val="center"/>
          </w:tcPr>
          <w:p w14:paraId="53DABF4A" w14:textId="2A22506A" w:rsidR="00AB5156" w:rsidRPr="00277D96" w:rsidRDefault="00D518C8" w:rsidP="0041031E">
            <w:pPr>
              <w:spacing w:before="0" w:line="240" w:lineRule="auto"/>
              <w:jc w:val="center"/>
              <w:rPr>
                <w:rFonts w:eastAsia="Times New Roman" w:cstheme="minorHAnsi"/>
                <w:bCs/>
                <w:szCs w:val="22"/>
              </w:rPr>
            </w:pPr>
            <w:r>
              <w:rPr>
                <w:rFonts w:eastAsia="Times New Roman" w:cstheme="minorHAnsi"/>
                <w:bCs/>
                <w:szCs w:val="22"/>
              </w:rPr>
              <w:t>STR2</w:t>
            </w:r>
          </w:p>
        </w:tc>
        <w:tc>
          <w:tcPr>
            <w:tcW w:w="521" w:type="pct"/>
            <w:tcBorders>
              <w:top w:val="nil"/>
              <w:left w:val="nil"/>
              <w:bottom w:val="single" w:sz="4" w:space="0" w:color="auto"/>
              <w:right w:val="single" w:sz="4" w:space="0" w:color="auto"/>
            </w:tcBorders>
            <w:shd w:val="clear" w:color="auto" w:fill="auto"/>
            <w:noWrap/>
            <w:vAlign w:val="center"/>
          </w:tcPr>
          <w:p w14:paraId="09E95466" w14:textId="77777777" w:rsidR="00AB5156" w:rsidRPr="00277D96" w:rsidRDefault="00AB5156" w:rsidP="0041031E">
            <w:pPr>
              <w:spacing w:before="0" w:line="240" w:lineRule="auto"/>
              <w:jc w:val="center"/>
              <w:rPr>
                <w:rFonts w:eastAsia="Times New Roman" w:cstheme="minorHAnsi"/>
                <w:bCs/>
                <w:szCs w:val="22"/>
              </w:rPr>
            </w:pPr>
            <w:r w:rsidRPr="00277D96">
              <w:rPr>
                <w:rFonts w:eastAsia="Times New Roman" w:cstheme="minorHAnsi"/>
                <w:bCs/>
                <w:szCs w:val="22"/>
              </w:rPr>
              <w:t>-</w:t>
            </w:r>
          </w:p>
        </w:tc>
        <w:tc>
          <w:tcPr>
            <w:tcW w:w="521" w:type="pct"/>
            <w:tcBorders>
              <w:top w:val="nil"/>
              <w:left w:val="nil"/>
              <w:bottom w:val="single" w:sz="4" w:space="0" w:color="auto"/>
              <w:right w:val="single" w:sz="4" w:space="0" w:color="auto"/>
            </w:tcBorders>
            <w:vAlign w:val="center"/>
          </w:tcPr>
          <w:p w14:paraId="575790B7" w14:textId="77777777" w:rsidR="00AB5156" w:rsidRPr="00277D96" w:rsidRDefault="00AB5156" w:rsidP="0041031E">
            <w:pPr>
              <w:spacing w:before="0" w:line="240" w:lineRule="auto"/>
              <w:jc w:val="center"/>
              <w:rPr>
                <w:rFonts w:eastAsia="Times New Roman" w:cstheme="minorHAnsi"/>
                <w:bCs/>
                <w:szCs w:val="22"/>
              </w:rPr>
            </w:pPr>
            <w:r w:rsidRPr="00277D96">
              <w:rPr>
                <w:rFonts w:eastAsia="Times New Roman" w:cstheme="minorHAnsi"/>
                <w:bCs/>
                <w:szCs w:val="22"/>
              </w:rPr>
              <w:t>-</w:t>
            </w:r>
          </w:p>
        </w:tc>
        <w:tc>
          <w:tcPr>
            <w:tcW w:w="520" w:type="pct"/>
            <w:tcBorders>
              <w:top w:val="nil"/>
              <w:left w:val="nil"/>
              <w:bottom w:val="single" w:sz="4" w:space="0" w:color="auto"/>
              <w:right w:val="single" w:sz="4" w:space="0" w:color="auto"/>
            </w:tcBorders>
            <w:vAlign w:val="center"/>
          </w:tcPr>
          <w:p w14:paraId="55579725" w14:textId="77777777" w:rsidR="00AB5156" w:rsidRPr="00277D96" w:rsidRDefault="00AB5156" w:rsidP="0041031E">
            <w:pPr>
              <w:spacing w:before="0" w:line="240" w:lineRule="auto"/>
              <w:jc w:val="center"/>
              <w:rPr>
                <w:rFonts w:eastAsia="Times New Roman" w:cstheme="minorHAnsi"/>
                <w:bCs/>
                <w:szCs w:val="22"/>
              </w:rPr>
            </w:pPr>
            <w:r w:rsidRPr="00277D96">
              <w:rPr>
                <w:rFonts w:eastAsia="Times New Roman" w:cstheme="minorHAnsi"/>
                <w:bCs/>
                <w:szCs w:val="22"/>
              </w:rPr>
              <w:t>-</w:t>
            </w:r>
          </w:p>
        </w:tc>
        <w:tc>
          <w:tcPr>
            <w:tcW w:w="520" w:type="pct"/>
            <w:tcBorders>
              <w:top w:val="nil"/>
              <w:left w:val="nil"/>
              <w:bottom w:val="single" w:sz="4" w:space="0" w:color="auto"/>
              <w:right w:val="single" w:sz="4" w:space="0" w:color="auto"/>
            </w:tcBorders>
            <w:vAlign w:val="center"/>
          </w:tcPr>
          <w:p w14:paraId="1C4E380A" w14:textId="77777777" w:rsidR="00AB5156" w:rsidRPr="00277D96" w:rsidRDefault="00AB5156" w:rsidP="00AB5156">
            <w:pPr>
              <w:spacing w:before="0" w:line="240" w:lineRule="auto"/>
              <w:jc w:val="center"/>
              <w:rPr>
                <w:rFonts w:eastAsia="Times New Roman" w:cstheme="minorHAnsi"/>
                <w:bCs/>
                <w:szCs w:val="22"/>
              </w:rPr>
            </w:pPr>
            <w:r w:rsidRPr="00277D96">
              <w:rPr>
                <w:rFonts w:eastAsia="Times New Roman" w:cstheme="minorHAnsi"/>
                <w:bCs/>
                <w:szCs w:val="22"/>
              </w:rPr>
              <w:t>-</w:t>
            </w:r>
          </w:p>
        </w:tc>
      </w:tr>
    </w:tbl>
    <w:p w14:paraId="24B6189C" w14:textId="77777777" w:rsidR="00B12F7B" w:rsidRDefault="00B12F7B" w:rsidP="00993408"/>
    <w:p w14:paraId="4CD8D86D" w14:textId="77777777" w:rsidR="000870D3" w:rsidRDefault="000870D3" w:rsidP="00993408"/>
    <w:p w14:paraId="15B6CD2E" w14:textId="4E3836EA" w:rsidR="000870D3" w:rsidRDefault="000870D3" w:rsidP="00993408"/>
    <w:p w14:paraId="5426DDC5" w14:textId="77777777" w:rsidR="000870D3" w:rsidRDefault="000870D3" w:rsidP="00993408"/>
    <w:p w14:paraId="4BFA16C3" w14:textId="32317256" w:rsidR="000870D3" w:rsidRPr="00B12F7B" w:rsidRDefault="000870D3" w:rsidP="00993408">
      <w:pPr>
        <w:sectPr w:rsidR="000870D3" w:rsidRPr="00B12F7B" w:rsidSect="00216871">
          <w:pgSz w:w="11906" w:h="16838"/>
          <w:pgMar w:top="1417" w:right="849" w:bottom="1236" w:left="3402" w:header="709" w:footer="280" w:gutter="0"/>
          <w:cols w:space="708"/>
          <w:docGrid w:linePitch="360"/>
        </w:sectPr>
      </w:pPr>
    </w:p>
    <w:p w14:paraId="544801FE" w14:textId="77777777" w:rsidR="00B01126" w:rsidRPr="00277D96" w:rsidRDefault="00B01126" w:rsidP="00D26773">
      <w:pPr>
        <w:pStyle w:val="Nadpis1"/>
        <w:numPr>
          <w:ilvl w:val="0"/>
          <w:numId w:val="0"/>
        </w:numPr>
        <w:ind w:left="431" w:hanging="431"/>
      </w:pPr>
      <w:bookmarkStart w:id="148" w:name="_Toc62211731"/>
      <w:bookmarkStart w:id="149" w:name="_Toc180650330"/>
      <w:r w:rsidRPr="00277D96">
        <w:lastRenderedPageBreak/>
        <w:t>Závěr</w:t>
      </w:r>
      <w:bookmarkEnd w:id="148"/>
      <w:bookmarkEnd w:id="149"/>
    </w:p>
    <w:p w14:paraId="69814E3A" w14:textId="42E0EF91" w:rsidR="001D09F4" w:rsidRPr="00A45FB1" w:rsidRDefault="006422DC" w:rsidP="001D09F4">
      <w:r w:rsidRPr="00277D96">
        <w:t xml:space="preserve">Střednědobý výhled rozpočtu pro období </w:t>
      </w:r>
      <w:proofErr w:type="gramStart"/>
      <w:r w:rsidR="00E77FC3">
        <w:t>202</w:t>
      </w:r>
      <w:r w:rsidR="006A53D8">
        <w:t>6</w:t>
      </w:r>
      <w:r w:rsidR="00E77FC3">
        <w:t xml:space="preserve"> - 2029</w:t>
      </w:r>
      <w:proofErr w:type="gramEnd"/>
      <w:r w:rsidRPr="00277D96">
        <w:t xml:space="preserve"> vychází z podrobné analýzy hospodaření města v letech </w:t>
      </w:r>
      <w:r w:rsidR="00E77FC3">
        <w:t>2019</w:t>
      </w:r>
      <w:r w:rsidRPr="00277D96">
        <w:t xml:space="preserve"> </w:t>
      </w:r>
      <w:r w:rsidR="006A53D8">
        <w:t>–</w:t>
      </w:r>
      <w:r w:rsidRPr="00277D96">
        <w:t xml:space="preserve"> </w:t>
      </w:r>
      <w:r w:rsidR="00E77FC3">
        <w:t>2023</w:t>
      </w:r>
      <w:r w:rsidR="006A53D8">
        <w:t>,</w:t>
      </w:r>
      <w:r w:rsidRPr="00277D96">
        <w:t xml:space="preserve"> platného rozpočtu roku </w:t>
      </w:r>
      <w:r w:rsidR="00E77FC3">
        <w:t>2024</w:t>
      </w:r>
      <w:r w:rsidR="006A53D8">
        <w:t xml:space="preserve"> a návrhu rozpočtu na rok 2025</w:t>
      </w:r>
      <w:r w:rsidRPr="00277D96">
        <w:t xml:space="preserve">. </w:t>
      </w:r>
      <w:r w:rsidR="001D09F4" w:rsidRPr="003C5FCC">
        <w:t>Na základě těchto analýz, s přih</w:t>
      </w:r>
      <w:r w:rsidR="001D09F4">
        <w:t>lédnutím k legislativním změnám</w:t>
      </w:r>
      <w:r w:rsidR="001D09F4" w:rsidRPr="003C5FCC">
        <w:t xml:space="preserve">, současné ekonomické situaci </w:t>
      </w:r>
      <w:r w:rsidR="001D09F4" w:rsidRPr="002A59CE">
        <w:t xml:space="preserve">ovlivněné jak energetickou krizí a bezprecedentně vysokou </w:t>
      </w:r>
      <w:r w:rsidR="001D09F4" w:rsidRPr="00A45FB1">
        <w:t xml:space="preserve">inflací, </w:t>
      </w:r>
      <w:r w:rsidR="0030731E" w:rsidRPr="00A45FB1">
        <w:t xml:space="preserve">tak i </w:t>
      </w:r>
      <w:r w:rsidR="002A59CE" w:rsidRPr="00A45FB1">
        <w:t>předpokládaným dopadem</w:t>
      </w:r>
      <w:r w:rsidR="0030731E" w:rsidRPr="00A45FB1">
        <w:t xml:space="preserve"> konsolidačního balíčku</w:t>
      </w:r>
      <w:r w:rsidR="00730995">
        <w:t xml:space="preserve"> a dalších záměrů vlády pro následující rok</w:t>
      </w:r>
      <w:r w:rsidR="0030731E" w:rsidRPr="00A45FB1">
        <w:t xml:space="preserve">, </w:t>
      </w:r>
      <w:r w:rsidR="001D09F4" w:rsidRPr="00A45FB1">
        <w:t xml:space="preserve">spolu s konzultacemi s vedoucími pracovníky odboru ekonomiky, byl sestaven střednědobý výhled rozpočtu města. </w:t>
      </w:r>
    </w:p>
    <w:p w14:paraId="20A308EC" w14:textId="77777777" w:rsidR="006422DC" w:rsidRPr="003C5FCC" w:rsidRDefault="006422DC" w:rsidP="006422DC">
      <w:r w:rsidRPr="00A45FB1">
        <w:t>Samostatnou kapitolou jsou sdílené daně, jejichž inkaso bude závislé na ekonomickém</w:t>
      </w:r>
      <w:r w:rsidRPr="003C5FCC">
        <w:t xml:space="preserve"> vývoji ovlivňovaném současnou i budoucí zdravotní, politickou a ekonomickou situací, které budou dozajista vyvolávat další legislativní změny v ekonomické oblasti. </w:t>
      </w:r>
    </w:p>
    <w:p w14:paraId="299A1742" w14:textId="77777777" w:rsidR="00667666" w:rsidRPr="00132653" w:rsidRDefault="00667666" w:rsidP="009A770A">
      <w:pPr>
        <w:pStyle w:val="Tabulka"/>
      </w:pPr>
      <w:bookmarkStart w:id="150" w:name="_Toc180650276"/>
      <w:r w:rsidRPr="007F7EE4">
        <w:t xml:space="preserve">Predikce sdílených daní dle MF </w:t>
      </w:r>
      <w:r w:rsidRPr="00132653">
        <w:t>ČR</w:t>
      </w:r>
      <w:bookmarkEnd w:id="150"/>
    </w:p>
    <w:p w14:paraId="177B0A6F" w14:textId="5E24EDCE" w:rsidR="00667666" w:rsidRPr="00132653" w:rsidRDefault="007E7B30" w:rsidP="00724EBF">
      <w:pPr>
        <w:pStyle w:val="Objekt"/>
      </w:pPr>
      <w:r w:rsidRPr="007E7B30">
        <w:rPr>
          <w:noProof/>
        </w:rPr>
        <w:drawing>
          <wp:inline distT="0" distB="0" distL="0" distR="0" wp14:anchorId="36F1E653" wp14:editId="6F856F26">
            <wp:extent cx="6480810" cy="1685290"/>
            <wp:effectExtent l="0" t="0" r="0" b="0"/>
            <wp:docPr id="322408647" name="Obráze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6480810" cy="1685290"/>
                    </a:xfrm>
                    <a:prstGeom prst="rect">
                      <a:avLst/>
                    </a:prstGeom>
                    <a:noFill/>
                    <a:ln>
                      <a:noFill/>
                    </a:ln>
                  </pic:spPr>
                </pic:pic>
              </a:graphicData>
            </a:graphic>
          </wp:inline>
        </w:drawing>
      </w:r>
    </w:p>
    <w:p w14:paraId="664BF46D" w14:textId="32439BAE" w:rsidR="0001255E" w:rsidRPr="00054DA4" w:rsidRDefault="00D05B4F" w:rsidP="0001255E">
      <w:r w:rsidRPr="00132653">
        <w:t>Tabulka zobrazuje aktuální stav v oblasti sdílených daní. Sloupečky</w:t>
      </w:r>
      <w:r w:rsidRPr="00054DA4">
        <w:t xml:space="preserve"> „MF ČR“ obsahují hodnoty poslední predikce Výboru pro rozpočtové prognózy</w:t>
      </w:r>
      <w:r w:rsidR="001D09F4" w:rsidRPr="00054DA4">
        <w:t xml:space="preserve"> (</w:t>
      </w:r>
      <w:r w:rsidR="00054DA4" w:rsidRPr="00054DA4">
        <w:t>září</w:t>
      </w:r>
      <w:r w:rsidR="001D09F4" w:rsidRPr="00054DA4">
        <w:t xml:space="preserve"> 202</w:t>
      </w:r>
      <w:r w:rsidR="00054DA4" w:rsidRPr="00054DA4">
        <w:t>4</w:t>
      </w:r>
      <w:r w:rsidR="001D09F4" w:rsidRPr="00054DA4">
        <w:t>)</w:t>
      </w:r>
      <w:r w:rsidRPr="00054DA4">
        <w:t xml:space="preserve">, sloupečky označené „SVR“ zobrazují hodnoty z tohoto dokumentu. </w:t>
      </w:r>
      <w:r w:rsidR="001D09F4" w:rsidRPr="00054DA4">
        <w:t xml:space="preserve">Z tabulky je patrné, že výhled nepočítá s rezervou sdílených daní. </w:t>
      </w:r>
      <w:r w:rsidR="00667666" w:rsidRPr="00054DA4">
        <w:t xml:space="preserve">Pokud ve vývoji situace nedojde oproti očekávání k dalším zásadním změnám, lze počítat v jednotlivých letech </w:t>
      </w:r>
      <w:r w:rsidR="001D09F4" w:rsidRPr="00054DA4">
        <w:t>s uvedenými hodnot</w:t>
      </w:r>
      <w:r w:rsidR="009665CE">
        <w:t>ami</w:t>
      </w:r>
      <w:r w:rsidR="001D09F4" w:rsidRPr="00054DA4">
        <w:t xml:space="preserve"> SVR</w:t>
      </w:r>
      <w:r w:rsidR="00667666" w:rsidRPr="00054DA4">
        <w:t>.</w:t>
      </w:r>
      <w:r w:rsidR="0001255E" w:rsidRPr="00054DA4">
        <w:t xml:space="preserve"> Na tuto skutečnost bylo upozorněno v grafu č. 2</w:t>
      </w:r>
      <w:r w:rsidR="00047951" w:rsidRPr="00054DA4">
        <w:t>1</w:t>
      </w:r>
      <w:r w:rsidR="0001255E" w:rsidRPr="00054DA4">
        <w:t xml:space="preserve">, kdy zpravidla docházelo k optimističtějšímu plnění oproti predikci MF (v průměru let </w:t>
      </w:r>
      <w:proofErr w:type="gramStart"/>
      <w:r w:rsidR="00E77FC3" w:rsidRPr="00054DA4">
        <w:t>2019</w:t>
      </w:r>
      <w:r w:rsidR="0001255E" w:rsidRPr="00054DA4">
        <w:t xml:space="preserve"> – </w:t>
      </w:r>
      <w:r w:rsidR="00E77FC3" w:rsidRPr="00054DA4">
        <w:t>2023</w:t>
      </w:r>
      <w:proofErr w:type="gramEnd"/>
      <w:r w:rsidR="0001255E" w:rsidRPr="00054DA4">
        <w:t xml:space="preserve"> o </w:t>
      </w:r>
      <w:r w:rsidR="00054DA4" w:rsidRPr="00054DA4">
        <w:t>6,9 %</w:t>
      </w:r>
      <w:r w:rsidR="0001255E" w:rsidRPr="00054DA4">
        <w:t>).</w:t>
      </w:r>
    </w:p>
    <w:p w14:paraId="3DFED8C0" w14:textId="44226B6C" w:rsidR="00346904" w:rsidRPr="004F15E3" w:rsidRDefault="00346904" w:rsidP="00346904">
      <w:r w:rsidRPr="00054DA4">
        <w:t xml:space="preserve">Pozitivem v hospodaření je, že i po ekonomicky a finančně </w:t>
      </w:r>
      <w:r w:rsidR="00D05B4F" w:rsidRPr="00054DA4">
        <w:t xml:space="preserve">náročných pandemických letech 2020 a 2021 </w:t>
      </w:r>
      <w:r w:rsidRPr="00054DA4">
        <w:t xml:space="preserve">město neomezuje svoji investiční aktivitu. </w:t>
      </w:r>
      <w:r w:rsidR="004C39B4" w:rsidRPr="00054DA4">
        <w:t xml:space="preserve">V roce </w:t>
      </w:r>
      <w:r w:rsidR="00054DA4" w:rsidRPr="00054DA4">
        <w:t xml:space="preserve">2022 a </w:t>
      </w:r>
      <w:r w:rsidR="004C39B4" w:rsidRPr="00054DA4">
        <w:t>202</w:t>
      </w:r>
      <w:r w:rsidR="00054DA4" w:rsidRPr="00054DA4">
        <w:t>3</w:t>
      </w:r>
      <w:r w:rsidR="004C39B4" w:rsidRPr="00054DA4">
        <w:t xml:space="preserve"> město investovalo zdaleka největší objem finančních prostředků (</w:t>
      </w:r>
      <w:r w:rsidR="00054DA4" w:rsidRPr="00054DA4">
        <w:t xml:space="preserve">302,5, resp. </w:t>
      </w:r>
      <w:r w:rsidR="00E77FC3" w:rsidRPr="00054DA4">
        <w:t>373,1</w:t>
      </w:r>
      <w:r w:rsidR="004C39B4" w:rsidRPr="00054DA4">
        <w:t xml:space="preserve"> mil. Kč), v</w:t>
      </w:r>
      <w:r w:rsidRPr="00054DA4">
        <w:t xml:space="preserve"> rozpočtu i </w:t>
      </w:r>
      <w:r w:rsidR="004C39B4" w:rsidRPr="00054DA4">
        <w:t xml:space="preserve">následujících </w:t>
      </w:r>
      <w:r w:rsidR="00054DA4" w:rsidRPr="00054DA4">
        <w:t>roce</w:t>
      </w:r>
      <w:r w:rsidR="004C39B4" w:rsidRPr="00054DA4">
        <w:t xml:space="preserve"> výhledu </w:t>
      </w:r>
      <w:r w:rsidRPr="00054DA4">
        <w:t xml:space="preserve">pak předpokládá </w:t>
      </w:r>
      <w:r w:rsidR="00054DA4" w:rsidRPr="00054DA4">
        <w:t xml:space="preserve">další </w:t>
      </w:r>
      <w:r w:rsidRPr="00054DA4">
        <w:t>výrazné investice, což se</w:t>
      </w:r>
      <w:r w:rsidR="009665CE">
        <w:t xml:space="preserve"> ale</w:t>
      </w:r>
      <w:r w:rsidRPr="00054DA4">
        <w:t xml:space="preserve"> </w:t>
      </w:r>
      <w:r w:rsidR="00054DA4" w:rsidRPr="00054DA4">
        <w:t>ne</w:t>
      </w:r>
      <w:r w:rsidRPr="00054DA4">
        <w:t xml:space="preserve">projeví na úrovní jeho dluhového zatížení. Z tohoto důvodu ukazatel dluhové služby nabývá maximální hodnoty </w:t>
      </w:r>
      <w:r w:rsidR="00E77FC3" w:rsidRPr="00054DA4">
        <w:t>0,66</w:t>
      </w:r>
      <w:r w:rsidRPr="00054DA4">
        <w:rPr>
          <w:b/>
        </w:rPr>
        <w:t xml:space="preserve"> % </w:t>
      </w:r>
      <w:r w:rsidRPr="009665CE">
        <w:rPr>
          <w:bCs/>
        </w:rPr>
        <w:t>(</w:t>
      </w:r>
      <w:r w:rsidRPr="00054DA4">
        <w:t xml:space="preserve">metodika Ministerstva financí povoluje </w:t>
      </w:r>
      <w:r w:rsidRPr="00054DA4">
        <w:rPr>
          <w:b/>
        </w:rPr>
        <w:t>25% hranici</w:t>
      </w:r>
      <w:r w:rsidRPr="009665CE">
        <w:rPr>
          <w:bCs/>
        </w:rPr>
        <w:t>)</w:t>
      </w:r>
      <w:r w:rsidRPr="00054DA4">
        <w:t>.</w:t>
      </w:r>
    </w:p>
    <w:p w14:paraId="1C072727" w14:textId="5870F62E" w:rsidR="0030731E" w:rsidRPr="00B250C4" w:rsidRDefault="001202B2" w:rsidP="0030731E">
      <w:r w:rsidRPr="004F15E3">
        <w:t xml:space="preserve">Důležitým ukazatelem hospodaření je provozní přebytek, který vyjadřuje jednak schopnost </w:t>
      </w:r>
      <w:r>
        <w:t>obce</w:t>
      </w:r>
      <w:r w:rsidRPr="004F15E3">
        <w:t xml:space="preserve"> obhospodařovat případný dluh a také představuje hodnoty, které jsou použitelné ke krytí investičních akcí. </w:t>
      </w:r>
      <w:r w:rsidR="00C4061D" w:rsidRPr="004F15E3">
        <w:t>Hodnoty ukazatele provozní</w:t>
      </w:r>
      <w:r w:rsidR="00C4061D">
        <w:t>ho přebytku</w:t>
      </w:r>
      <w:r w:rsidR="00C4061D" w:rsidRPr="004F15E3">
        <w:t xml:space="preserve"> v budoucím období </w:t>
      </w:r>
      <w:r w:rsidR="00C4061D" w:rsidRPr="00054DA4">
        <w:t xml:space="preserve">jsou v průměru o </w:t>
      </w:r>
      <w:r w:rsidR="00E77FC3" w:rsidRPr="00054DA4">
        <w:t>37,7</w:t>
      </w:r>
      <w:r w:rsidR="00C4061D" w:rsidRPr="00054DA4">
        <w:t xml:space="preserve"> </w:t>
      </w:r>
      <w:r w:rsidR="00911164" w:rsidRPr="00054DA4">
        <w:t xml:space="preserve">mil. Kč (o </w:t>
      </w:r>
      <w:r w:rsidR="00E77FC3" w:rsidRPr="00054DA4">
        <w:t>18,</w:t>
      </w:r>
      <w:proofErr w:type="gramStart"/>
      <w:r w:rsidR="00E77FC3" w:rsidRPr="00054DA4">
        <w:t>3</w:t>
      </w:r>
      <w:r w:rsidR="00054DA4" w:rsidRPr="00054DA4">
        <w:t xml:space="preserve"> </w:t>
      </w:r>
      <w:r w:rsidR="00911164" w:rsidRPr="00054DA4">
        <w:t xml:space="preserve"> %</w:t>
      </w:r>
      <w:proofErr w:type="gramEnd"/>
      <w:r w:rsidR="00911164" w:rsidRPr="00054DA4">
        <w:t>)</w:t>
      </w:r>
      <w:r w:rsidR="00132653">
        <w:t xml:space="preserve"> </w:t>
      </w:r>
      <w:r w:rsidR="00E77FC3" w:rsidRPr="00054DA4">
        <w:t>nižší</w:t>
      </w:r>
      <w:r w:rsidR="00C4061D" w:rsidRPr="00054DA4">
        <w:t xml:space="preserve"> než v minulosti a dosahují v roce </w:t>
      </w:r>
      <w:r w:rsidR="00E77FC3" w:rsidRPr="00054DA4">
        <w:t>2029</w:t>
      </w:r>
      <w:r w:rsidR="00C4061D" w:rsidRPr="00054DA4">
        <w:t xml:space="preserve"> maximální hodnoty </w:t>
      </w:r>
      <w:r w:rsidR="00E77FC3" w:rsidRPr="00054DA4">
        <w:t>199,6</w:t>
      </w:r>
      <w:r w:rsidR="00C4061D" w:rsidRPr="00054DA4">
        <w:t xml:space="preserve"> </w:t>
      </w:r>
      <w:r w:rsidR="00911164" w:rsidRPr="00054DA4">
        <w:t>mil. Kč.</w:t>
      </w:r>
      <w:r w:rsidRPr="00054DA4">
        <w:t xml:space="preserve"> </w:t>
      </w:r>
      <w:r w:rsidR="0030731E" w:rsidRPr="00054DA4">
        <w:t>Uváděný zhoršený provozní přebytek souvisí, kromě pomalejšího růstu sdílených daní (konsolidační balíček), mimo jiné také s vývojem běžných výdajů (</w:t>
      </w:r>
      <w:r w:rsidR="00054DA4" w:rsidRPr="00054DA4">
        <w:t xml:space="preserve">ovlivněným </w:t>
      </w:r>
      <w:r w:rsidR="0030731E" w:rsidRPr="00054DA4">
        <w:t>zejména „inflačním“ růstem).</w:t>
      </w:r>
      <w:r w:rsidR="0030731E">
        <w:t xml:space="preserve"> </w:t>
      </w:r>
    </w:p>
    <w:p w14:paraId="15EF3278" w14:textId="00A13116" w:rsidR="00667666" w:rsidRPr="00054DA4" w:rsidRDefault="000F051B" w:rsidP="00667666">
      <w:r w:rsidRPr="004F15E3">
        <w:t>H</w:t>
      </w:r>
      <w:r w:rsidR="00667666" w:rsidRPr="004F15E3">
        <w:t xml:space="preserve">odnoty ukazatele provozních úspor </w:t>
      </w:r>
      <w:r w:rsidRPr="004F15E3">
        <w:t xml:space="preserve">v budoucím období </w:t>
      </w:r>
      <w:r w:rsidR="00667666" w:rsidRPr="004F15E3">
        <w:t xml:space="preserve">jsou </w:t>
      </w:r>
      <w:r w:rsidR="00E10160">
        <w:t>v průměru o</w:t>
      </w:r>
      <w:r w:rsidR="00BD263D" w:rsidRPr="004F15E3">
        <w:t xml:space="preserve"> </w:t>
      </w:r>
      <w:proofErr w:type="gramStart"/>
      <w:r w:rsidR="006F7526" w:rsidRPr="006A53D8">
        <w:t>4,1</w:t>
      </w:r>
      <w:r w:rsidR="00BD263D" w:rsidRPr="004F15E3">
        <w:t xml:space="preserve"> procentní</w:t>
      </w:r>
      <w:r w:rsidR="00E6424A">
        <w:t>ho</w:t>
      </w:r>
      <w:proofErr w:type="gramEnd"/>
      <w:r w:rsidR="00BD263D" w:rsidRPr="004F15E3">
        <w:t xml:space="preserve"> bod</w:t>
      </w:r>
      <w:r w:rsidR="00E6424A">
        <w:t>u</w:t>
      </w:r>
      <w:r w:rsidR="00BD263D" w:rsidRPr="004F15E3">
        <w:t xml:space="preserve"> </w:t>
      </w:r>
      <w:r w:rsidR="00E77FC3">
        <w:t>nižší</w:t>
      </w:r>
      <w:r w:rsidR="00BD263D" w:rsidRPr="004F15E3">
        <w:t xml:space="preserve"> </w:t>
      </w:r>
      <w:r w:rsidR="00E10160">
        <w:t>než</w:t>
      </w:r>
      <w:r w:rsidR="00BD263D" w:rsidRPr="004F15E3">
        <w:t xml:space="preserve"> v minulosti a </w:t>
      </w:r>
      <w:r w:rsidR="00667666" w:rsidRPr="004F15E3">
        <w:t>dosahují</w:t>
      </w:r>
      <w:r w:rsidR="00BD263D" w:rsidRPr="004F15E3">
        <w:t xml:space="preserve"> v roce </w:t>
      </w:r>
      <w:r w:rsidR="00E77FC3">
        <w:t>2029</w:t>
      </w:r>
      <w:r w:rsidR="00CF06A4">
        <w:t xml:space="preserve"> </w:t>
      </w:r>
      <w:r w:rsidR="00BD263D" w:rsidRPr="00054DA4">
        <w:t>maximální</w:t>
      </w:r>
      <w:r w:rsidR="00667666" w:rsidRPr="00054DA4">
        <w:t xml:space="preserve"> </w:t>
      </w:r>
      <w:r w:rsidR="00BD263D" w:rsidRPr="00054DA4">
        <w:t xml:space="preserve">hodnoty </w:t>
      </w:r>
      <w:r w:rsidR="00E77FC3" w:rsidRPr="00054DA4">
        <w:t>12,38</w:t>
      </w:r>
      <w:r w:rsidR="00A30BA1" w:rsidRPr="00054DA4">
        <w:t xml:space="preserve"> </w:t>
      </w:r>
      <w:r w:rsidR="00667666" w:rsidRPr="00054DA4">
        <w:t>%.</w:t>
      </w:r>
    </w:p>
    <w:p w14:paraId="2085C91F" w14:textId="6385D560" w:rsidR="009F709C" w:rsidRPr="004F15E3" w:rsidRDefault="006A53D8" w:rsidP="009F709C">
      <w:r>
        <w:t>V</w:t>
      </w:r>
      <w:r w:rsidR="009F709C" w:rsidRPr="00054DA4">
        <w:t xml:space="preserve">yšší hodnota bezpečné výše </w:t>
      </w:r>
      <w:r w:rsidR="009F709C" w:rsidRPr="006A53D8">
        <w:t>zadlužení (</w:t>
      </w:r>
      <w:r w:rsidR="006F7526" w:rsidRPr="006A53D8">
        <w:t>953,0</w:t>
      </w:r>
      <w:r w:rsidR="009F709C" w:rsidRPr="00054DA4">
        <w:t xml:space="preserve"> mil. Kč) než vypočítaná současná výše dluhu, kterou stanovují pravidla zákona o rozpočtové odpovědnosti (</w:t>
      </w:r>
      <w:r w:rsidR="00E77FC3" w:rsidRPr="00054DA4">
        <w:t>887,7</w:t>
      </w:r>
      <w:r w:rsidR="009F709C" w:rsidRPr="00054DA4">
        <w:t xml:space="preserve"> mil. Kč), je zapříčiněna zapojením širší škály ukazatelů do výpočtu, než pouze „zjednodušující“ průměrná výše příjmů za čtyři roky.</w:t>
      </w:r>
    </w:p>
    <w:p w14:paraId="4A1E0003" w14:textId="18568314" w:rsidR="00667666" w:rsidRPr="004F15E3" w:rsidRDefault="00667666" w:rsidP="00667666">
      <w:r w:rsidRPr="002660AB">
        <w:lastRenderedPageBreak/>
        <w:t>Ekonomické hodnocení města je od</w:t>
      </w:r>
      <w:r w:rsidR="00922ADB" w:rsidRPr="002660AB">
        <w:t xml:space="preserve"> roku 2021</w:t>
      </w:r>
      <w:r w:rsidRPr="002660AB">
        <w:t xml:space="preserve"> koncipováno diametrálně odlišně. Je rozděleno na hodnocení minulého období (posledních pět</w:t>
      </w:r>
      <w:r w:rsidR="006422DC" w:rsidRPr="002660AB">
        <w:t xml:space="preserve"> uzavřených</w:t>
      </w:r>
      <w:r w:rsidRPr="002660AB">
        <w:t xml:space="preserve"> let) a hodnocení výhledu (predikce následujících pěti let </w:t>
      </w:r>
      <w:r w:rsidR="005D57FC" w:rsidRPr="002660AB">
        <w:t>SVR</w:t>
      </w:r>
      <w:r w:rsidRPr="002660AB">
        <w:t xml:space="preserve">). Hodnocení probíhá s </w:t>
      </w:r>
      <w:r w:rsidR="00251FA4" w:rsidRPr="002660AB">
        <w:t>rozšířenou</w:t>
      </w:r>
      <w:r w:rsidRPr="002660AB">
        <w:t xml:space="preserve"> sadou ukazatelů (oproti minulým hodnocením se sada ukazatelů rozšířil</w:t>
      </w:r>
      <w:r w:rsidR="00E534FE" w:rsidRPr="002660AB">
        <w:t>a o dalších 8) pro obě hodnocená</w:t>
      </w:r>
      <w:r w:rsidRPr="002660AB">
        <w:t xml:space="preserve"> období, ale každé období je </w:t>
      </w:r>
      <w:r w:rsidRPr="00A45FB1">
        <w:t xml:space="preserve">prezentováno odlišnou hodnotící stupnicí. Pro posouzení </w:t>
      </w:r>
      <w:r w:rsidR="005D57FC" w:rsidRPr="00A45FB1">
        <w:t>SVR</w:t>
      </w:r>
      <w:r w:rsidRPr="00A45FB1">
        <w:t xml:space="preserve"> města je samozřejmě prioritní hodnocení výhledu</w:t>
      </w:r>
      <w:r w:rsidR="00FF528E" w:rsidRPr="00A45FB1">
        <w:t>,</w:t>
      </w:r>
      <w:r w:rsidRPr="00A45FB1">
        <w:t xml:space="preserve"> a to je pro město </w:t>
      </w:r>
      <w:r w:rsidR="00E77FC3" w:rsidRPr="00A45FB1">
        <w:t>Chomutov</w:t>
      </w:r>
      <w:r w:rsidRPr="00A45FB1">
        <w:t xml:space="preserve"> </w:t>
      </w:r>
      <w:proofErr w:type="gramStart"/>
      <w:r w:rsidRPr="00A45FB1">
        <w:t xml:space="preserve">příznivé </w:t>
      </w:r>
      <w:r w:rsidR="00922ADB" w:rsidRPr="00A45FB1">
        <w:t>-</w:t>
      </w:r>
      <w:r w:rsidRPr="00A45FB1">
        <w:t xml:space="preserve"> jedná</w:t>
      </w:r>
      <w:proofErr w:type="gramEnd"/>
      <w:r w:rsidRPr="00A45FB1">
        <w:t xml:space="preserve"> se o „</w:t>
      </w:r>
      <w:r w:rsidR="00C35808" w:rsidRPr="00A45FB1">
        <w:t>Velmi dobrý subjekt s vysokou schopností splácet své aktuální závazky</w:t>
      </w:r>
      <w:r w:rsidRPr="00A45FB1">
        <w:t>“.</w:t>
      </w:r>
    </w:p>
    <w:p w14:paraId="5440F45E" w14:textId="08FF8D38" w:rsidR="002660AB" w:rsidRPr="008D474C" w:rsidRDefault="002660AB" w:rsidP="002660AB">
      <w:r w:rsidRPr="002660AB">
        <w:t xml:space="preserve">Sestavování střednědobého výhledu rozpočtu je zatíženo značnou mírou nejistoty počínaje nejasnou energetickou koncepcí ČR, přes </w:t>
      </w:r>
      <w:r w:rsidR="006A5FA0">
        <w:t>neustálený vývoj</w:t>
      </w:r>
      <w:r w:rsidRPr="002660AB">
        <w:t xml:space="preserve"> inflac</w:t>
      </w:r>
      <w:r w:rsidR="006A5FA0">
        <w:t>e</w:t>
      </w:r>
      <w:r w:rsidRPr="002660AB">
        <w:t xml:space="preserve">, nejasné dopady konsolidačního balíčku </w:t>
      </w:r>
      <w:r w:rsidRPr="002660AB">
        <w:rPr>
          <w:rFonts w:cstheme="minorHAnsi"/>
        </w:rPr>
        <w:t>(</w:t>
      </w:r>
      <w:r w:rsidRPr="002660AB">
        <w:rPr>
          <w:rFonts w:cstheme="minorHAnsi"/>
          <w:color w:val="222222"/>
          <w:shd w:val="clear" w:color="auto" w:fill="FFFFFF"/>
        </w:rPr>
        <w:t xml:space="preserve">obce s povolenou </w:t>
      </w:r>
      <w:proofErr w:type="spellStart"/>
      <w:r w:rsidRPr="002660AB">
        <w:rPr>
          <w:rFonts w:cstheme="minorHAnsi"/>
          <w:color w:val="222222"/>
          <w:shd w:val="clear" w:color="auto" w:fill="FFFFFF"/>
        </w:rPr>
        <w:t>land</w:t>
      </w:r>
      <w:proofErr w:type="spellEnd"/>
      <w:r w:rsidRPr="002660AB">
        <w:rPr>
          <w:rFonts w:cstheme="minorHAnsi"/>
          <w:color w:val="222222"/>
          <w:shd w:val="clear" w:color="auto" w:fill="FFFFFF"/>
        </w:rPr>
        <w:t>–</w:t>
      </w:r>
      <w:proofErr w:type="spellStart"/>
      <w:r w:rsidRPr="002660AB">
        <w:rPr>
          <w:rFonts w:cstheme="minorHAnsi"/>
          <w:color w:val="222222"/>
          <w:shd w:val="clear" w:color="auto" w:fill="FFFFFF"/>
        </w:rPr>
        <w:t>based</w:t>
      </w:r>
      <w:proofErr w:type="spellEnd"/>
      <w:r w:rsidRPr="002660AB">
        <w:rPr>
          <w:rFonts w:cstheme="minorHAnsi"/>
          <w:color w:val="222222"/>
          <w:shd w:val="clear" w:color="auto" w:fill="FFFFFF"/>
        </w:rPr>
        <w:t xml:space="preserve"> technickou hrou</w:t>
      </w:r>
      <w:r w:rsidRPr="002660AB">
        <w:rPr>
          <w:rFonts w:cstheme="minorHAnsi"/>
        </w:rPr>
        <w:t>)</w:t>
      </w:r>
      <w:r w:rsidRPr="002660AB">
        <w:t xml:space="preserve">, porovnání „výhody“ změn v zákonech o dani z nemovitých věcí a rozpočtového určení daní pro rok 2025, labilní mezinárodní situací (pokračování války na Ukrajině a </w:t>
      </w:r>
      <w:r w:rsidR="006A5FA0">
        <w:t>eskalující</w:t>
      </w:r>
      <w:r w:rsidRPr="002660AB">
        <w:t xml:space="preserve"> konflikt na Blízkém východě</w:t>
      </w:r>
      <w:r w:rsidR="00E94550">
        <w:t>)</w:t>
      </w:r>
      <w:r w:rsidRPr="002660AB">
        <w:t xml:space="preserve">, pokračujícím „mlžením a mlčením“ vlády, až po vzrůstající nervozitu </w:t>
      </w:r>
      <w:r w:rsidR="006A5FA0">
        <w:t>čtyřkoalice</w:t>
      </w:r>
      <w:r w:rsidRPr="002660AB">
        <w:t xml:space="preserve"> úměrně s blížícími se volbami.</w:t>
      </w:r>
    </w:p>
    <w:p w14:paraId="724ECDFA" w14:textId="77777777" w:rsidR="002660AB" w:rsidRPr="008D474C" w:rsidRDefault="002660AB" w:rsidP="002A59CE"/>
    <w:p w14:paraId="3F6AFD2D" w14:textId="77777777" w:rsidR="002A59CE" w:rsidRPr="008D474C" w:rsidRDefault="002A59CE" w:rsidP="004C39B4"/>
    <w:p w14:paraId="067F8815" w14:textId="77777777" w:rsidR="004D0FAA" w:rsidRDefault="004D0FAA">
      <w:pPr>
        <w:spacing w:before="0" w:after="200"/>
        <w:jc w:val="left"/>
        <w:rPr>
          <w:b/>
          <w:bCs/>
        </w:rPr>
      </w:pPr>
      <w:r>
        <w:br w:type="page"/>
      </w:r>
    </w:p>
    <w:p w14:paraId="65945436" w14:textId="77777777" w:rsidR="004D0FAA" w:rsidRPr="005B3686" w:rsidRDefault="005B3686" w:rsidP="009A770A">
      <w:pPr>
        <w:pStyle w:val="Tabulka"/>
      </w:pPr>
      <w:bookmarkStart w:id="151" w:name="_Toc180650277"/>
      <w:r>
        <w:lastRenderedPageBreak/>
        <w:t>Souhrnná tabulka hospodaření</w:t>
      </w:r>
      <w:bookmarkEnd w:id="151"/>
    </w:p>
    <w:p w14:paraId="066F7982" w14:textId="4AE3D8A2" w:rsidR="004D0FAA" w:rsidRDefault="007E7B30" w:rsidP="00D26773">
      <w:pPr>
        <w:pStyle w:val="Objekt"/>
      </w:pPr>
      <w:r w:rsidRPr="007E7B30">
        <w:rPr>
          <w:noProof/>
        </w:rPr>
        <w:drawing>
          <wp:inline distT="0" distB="0" distL="0" distR="0" wp14:anchorId="155F7C3A" wp14:editId="0B8E88CB">
            <wp:extent cx="6480810" cy="8444865"/>
            <wp:effectExtent l="0" t="0" r="0" b="0"/>
            <wp:docPr id="1204204529" name="Obráze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480810" cy="8444865"/>
                    </a:xfrm>
                    <a:prstGeom prst="rect">
                      <a:avLst/>
                    </a:prstGeom>
                    <a:noFill/>
                    <a:ln>
                      <a:noFill/>
                    </a:ln>
                  </pic:spPr>
                </pic:pic>
              </a:graphicData>
            </a:graphic>
          </wp:inline>
        </w:drawing>
      </w:r>
    </w:p>
    <w:p w14:paraId="7D951430" w14:textId="77777777" w:rsidR="003137C1" w:rsidRDefault="003137C1" w:rsidP="00A2717D">
      <w:pPr>
        <w:pStyle w:val="Objekt"/>
      </w:pPr>
      <w:r>
        <w:br w:type="page"/>
      </w:r>
    </w:p>
    <w:p w14:paraId="5B347CD5" w14:textId="77777777" w:rsidR="00610F4B" w:rsidRPr="00793D98" w:rsidRDefault="0046149B" w:rsidP="00E02E36">
      <w:pPr>
        <w:pStyle w:val="Nadpis1"/>
        <w:numPr>
          <w:ilvl w:val="0"/>
          <w:numId w:val="0"/>
        </w:numPr>
        <w:ind w:left="431" w:hanging="431"/>
      </w:pPr>
      <w:bookmarkStart w:id="152" w:name="_Toc180650331"/>
      <w:bookmarkStart w:id="153" w:name="_Toc354550545"/>
      <w:bookmarkStart w:id="154" w:name="_Toc428350382"/>
      <w:r w:rsidRPr="00793D98">
        <w:lastRenderedPageBreak/>
        <w:t>Seznam tabulek</w:t>
      </w:r>
      <w:r w:rsidR="00472D86">
        <w:t xml:space="preserve"> a</w:t>
      </w:r>
      <w:r w:rsidRPr="00793D98">
        <w:t xml:space="preserve"> grafů</w:t>
      </w:r>
      <w:bookmarkEnd w:id="152"/>
    </w:p>
    <w:p w14:paraId="555C3D88" w14:textId="5CE1EC28" w:rsidR="00666B31" w:rsidRDefault="00572F00">
      <w:pPr>
        <w:pStyle w:val="Seznamobrzk"/>
        <w:rPr>
          <w:noProof/>
          <w:szCs w:val="22"/>
          <w:lang w:eastAsia="cs-CZ"/>
        </w:rPr>
      </w:pPr>
      <w:r>
        <w:rPr>
          <w:rStyle w:val="Hypertextovodkaz"/>
          <w:b/>
          <w:color w:val="2E3192"/>
        </w:rPr>
        <w:fldChar w:fldCharType="begin"/>
      </w:r>
      <w:r>
        <w:rPr>
          <w:rStyle w:val="Hypertextovodkaz"/>
          <w:b/>
          <w:color w:val="2E3192"/>
        </w:rPr>
        <w:instrText xml:space="preserve"> TOC \h \z \t "Tabulka" \c </w:instrText>
      </w:r>
      <w:r>
        <w:rPr>
          <w:rStyle w:val="Hypertextovodkaz"/>
          <w:b/>
          <w:color w:val="2E3192"/>
        </w:rPr>
        <w:fldChar w:fldCharType="separate"/>
      </w:r>
      <w:hyperlink w:anchor="_Toc180650260" w:history="1">
        <w:r w:rsidR="00666B31" w:rsidRPr="00DB6080">
          <w:rPr>
            <w:rStyle w:val="Hypertextovodkaz"/>
            <w:noProof/>
          </w:rPr>
          <w:t>Tabulka č. 1:</w:t>
        </w:r>
        <w:r w:rsidR="00666B31">
          <w:rPr>
            <w:noProof/>
            <w:szCs w:val="22"/>
            <w:lang w:eastAsia="cs-CZ"/>
          </w:rPr>
          <w:tab/>
        </w:r>
        <w:r w:rsidR="00666B31" w:rsidRPr="00DB6080">
          <w:rPr>
            <w:rStyle w:val="Hypertextovodkaz"/>
            <w:noProof/>
          </w:rPr>
          <w:t>Přehled vývoje příjmů</w:t>
        </w:r>
        <w:r w:rsidR="00666B31">
          <w:rPr>
            <w:noProof/>
            <w:webHidden/>
          </w:rPr>
          <w:tab/>
        </w:r>
        <w:r w:rsidR="00666B31">
          <w:rPr>
            <w:noProof/>
            <w:webHidden/>
          </w:rPr>
          <w:fldChar w:fldCharType="begin"/>
        </w:r>
        <w:r w:rsidR="00666B31">
          <w:rPr>
            <w:noProof/>
            <w:webHidden/>
          </w:rPr>
          <w:instrText xml:space="preserve"> PAGEREF _Toc180650260 \h </w:instrText>
        </w:r>
        <w:r w:rsidR="00666B31">
          <w:rPr>
            <w:noProof/>
            <w:webHidden/>
          </w:rPr>
        </w:r>
        <w:r w:rsidR="00666B31">
          <w:rPr>
            <w:noProof/>
            <w:webHidden/>
          </w:rPr>
          <w:fldChar w:fldCharType="separate"/>
        </w:r>
        <w:r w:rsidR="00666B31">
          <w:rPr>
            <w:noProof/>
            <w:webHidden/>
          </w:rPr>
          <w:t>7</w:t>
        </w:r>
        <w:r w:rsidR="00666B31">
          <w:rPr>
            <w:noProof/>
            <w:webHidden/>
          </w:rPr>
          <w:fldChar w:fldCharType="end"/>
        </w:r>
      </w:hyperlink>
    </w:p>
    <w:p w14:paraId="4EB15B7A" w14:textId="79243399" w:rsidR="00666B31" w:rsidRDefault="002D4454">
      <w:pPr>
        <w:pStyle w:val="Seznamobrzk"/>
        <w:rPr>
          <w:noProof/>
          <w:szCs w:val="22"/>
          <w:lang w:eastAsia="cs-CZ"/>
        </w:rPr>
      </w:pPr>
      <w:hyperlink w:anchor="_Toc180650261" w:history="1">
        <w:r w:rsidR="00666B31" w:rsidRPr="00DB6080">
          <w:rPr>
            <w:rStyle w:val="Hypertextovodkaz"/>
            <w:noProof/>
          </w:rPr>
          <w:t>Tabulka č. 2:</w:t>
        </w:r>
        <w:r w:rsidR="00666B31">
          <w:rPr>
            <w:noProof/>
            <w:szCs w:val="22"/>
            <w:lang w:eastAsia="cs-CZ"/>
          </w:rPr>
          <w:tab/>
        </w:r>
        <w:r w:rsidR="00666B31" w:rsidRPr="00DB6080">
          <w:rPr>
            <w:rStyle w:val="Hypertextovodkaz"/>
            <w:noProof/>
          </w:rPr>
          <w:t>Predikce sdílených daní na aktuální rok</w:t>
        </w:r>
        <w:r w:rsidR="00666B31">
          <w:rPr>
            <w:noProof/>
            <w:webHidden/>
          </w:rPr>
          <w:tab/>
        </w:r>
        <w:r w:rsidR="00666B31">
          <w:rPr>
            <w:noProof/>
            <w:webHidden/>
          </w:rPr>
          <w:fldChar w:fldCharType="begin"/>
        </w:r>
        <w:r w:rsidR="00666B31">
          <w:rPr>
            <w:noProof/>
            <w:webHidden/>
          </w:rPr>
          <w:instrText xml:space="preserve"> PAGEREF _Toc180650261 \h </w:instrText>
        </w:r>
        <w:r w:rsidR="00666B31">
          <w:rPr>
            <w:noProof/>
            <w:webHidden/>
          </w:rPr>
        </w:r>
        <w:r w:rsidR="00666B31">
          <w:rPr>
            <w:noProof/>
            <w:webHidden/>
          </w:rPr>
          <w:fldChar w:fldCharType="separate"/>
        </w:r>
        <w:r w:rsidR="00666B31">
          <w:rPr>
            <w:noProof/>
            <w:webHidden/>
          </w:rPr>
          <w:t>10</w:t>
        </w:r>
        <w:r w:rsidR="00666B31">
          <w:rPr>
            <w:noProof/>
            <w:webHidden/>
          </w:rPr>
          <w:fldChar w:fldCharType="end"/>
        </w:r>
      </w:hyperlink>
    </w:p>
    <w:p w14:paraId="050F45B2" w14:textId="03BA7381" w:rsidR="00666B31" w:rsidRDefault="002D4454">
      <w:pPr>
        <w:pStyle w:val="Seznamobrzk"/>
        <w:rPr>
          <w:noProof/>
          <w:szCs w:val="22"/>
          <w:lang w:eastAsia="cs-CZ"/>
        </w:rPr>
      </w:pPr>
      <w:hyperlink w:anchor="_Toc180650262" w:history="1">
        <w:r w:rsidR="00666B31" w:rsidRPr="00DB6080">
          <w:rPr>
            <w:rStyle w:val="Hypertextovodkaz"/>
            <w:noProof/>
          </w:rPr>
          <w:t>Tabulka č. 3:</w:t>
        </w:r>
        <w:r w:rsidR="00666B31">
          <w:rPr>
            <w:noProof/>
            <w:szCs w:val="22"/>
            <w:lang w:eastAsia="cs-CZ"/>
          </w:rPr>
          <w:tab/>
        </w:r>
        <w:r w:rsidR="00666B31" w:rsidRPr="00DB6080">
          <w:rPr>
            <w:rStyle w:val="Hypertextovodkaz"/>
            <w:noProof/>
          </w:rPr>
          <w:t>Rekapitulace výdajů</w:t>
        </w:r>
        <w:r w:rsidR="00666B31">
          <w:rPr>
            <w:noProof/>
            <w:webHidden/>
          </w:rPr>
          <w:tab/>
        </w:r>
        <w:r w:rsidR="00666B31">
          <w:rPr>
            <w:noProof/>
            <w:webHidden/>
          </w:rPr>
          <w:fldChar w:fldCharType="begin"/>
        </w:r>
        <w:r w:rsidR="00666B31">
          <w:rPr>
            <w:noProof/>
            <w:webHidden/>
          </w:rPr>
          <w:instrText xml:space="preserve"> PAGEREF _Toc180650262 \h </w:instrText>
        </w:r>
        <w:r w:rsidR="00666B31">
          <w:rPr>
            <w:noProof/>
            <w:webHidden/>
          </w:rPr>
        </w:r>
        <w:r w:rsidR="00666B31">
          <w:rPr>
            <w:noProof/>
            <w:webHidden/>
          </w:rPr>
          <w:fldChar w:fldCharType="separate"/>
        </w:r>
        <w:r w:rsidR="00666B31">
          <w:rPr>
            <w:noProof/>
            <w:webHidden/>
          </w:rPr>
          <w:t>12</w:t>
        </w:r>
        <w:r w:rsidR="00666B31">
          <w:rPr>
            <w:noProof/>
            <w:webHidden/>
          </w:rPr>
          <w:fldChar w:fldCharType="end"/>
        </w:r>
      </w:hyperlink>
    </w:p>
    <w:p w14:paraId="35F16022" w14:textId="5EC0AA2A" w:rsidR="00666B31" w:rsidRDefault="002D4454">
      <w:pPr>
        <w:pStyle w:val="Seznamobrzk"/>
        <w:rPr>
          <w:noProof/>
          <w:szCs w:val="22"/>
          <w:lang w:eastAsia="cs-CZ"/>
        </w:rPr>
      </w:pPr>
      <w:hyperlink w:anchor="_Toc180650263" w:history="1">
        <w:r w:rsidR="00666B31" w:rsidRPr="00DB6080">
          <w:rPr>
            <w:rStyle w:val="Hypertextovodkaz"/>
            <w:noProof/>
          </w:rPr>
          <w:t>Tabulka č. 4:</w:t>
        </w:r>
        <w:r w:rsidR="00666B31">
          <w:rPr>
            <w:noProof/>
            <w:szCs w:val="22"/>
            <w:lang w:eastAsia="cs-CZ"/>
          </w:rPr>
          <w:tab/>
        </w:r>
        <w:r w:rsidR="00666B31" w:rsidRPr="00DB6080">
          <w:rPr>
            <w:rStyle w:val="Hypertextovodkaz"/>
            <w:noProof/>
          </w:rPr>
          <w:t>Rekapitulace hospodaření</w:t>
        </w:r>
        <w:r w:rsidR="00666B31">
          <w:rPr>
            <w:noProof/>
            <w:webHidden/>
          </w:rPr>
          <w:tab/>
        </w:r>
        <w:r w:rsidR="00666B31">
          <w:rPr>
            <w:noProof/>
            <w:webHidden/>
          </w:rPr>
          <w:fldChar w:fldCharType="begin"/>
        </w:r>
        <w:r w:rsidR="00666B31">
          <w:rPr>
            <w:noProof/>
            <w:webHidden/>
          </w:rPr>
          <w:instrText xml:space="preserve"> PAGEREF _Toc180650263 \h </w:instrText>
        </w:r>
        <w:r w:rsidR="00666B31">
          <w:rPr>
            <w:noProof/>
            <w:webHidden/>
          </w:rPr>
        </w:r>
        <w:r w:rsidR="00666B31">
          <w:rPr>
            <w:noProof/>
            <w:webHidden/>
          </w:rPr>
          <w:fldChar w:fldCharType="separate"/>
        </w:r>
        <w:r w:rsidR="00666B31">
          <w:rPr>
            <w:noProof/>
            <w:webHidden/>
          </w:rPr>
          <w:t>15</w:t>
        </w:r>
        <w:r w:rsidR="00666B31">
          <w:rPr>
            <w:noProof/>
            <w:webHidden/>
          </w:rPr>
          <w:fldChar w:fldCharType="end"/>
        </w:r>
      </w:hyperlink>
    </w:p>
    <w:p w14:paraId="0801C11C" w14:textId="0FF2FCE6" w:rsidR="00666B31" w:rsidRDefault="002D4454">
      <w:pPr>
        <w:pStyle w:val="Seznamobrzk"/>
        <w:rPr>
          <w:noProof/>
          <w:szCs w:val="22"/>
          <w:lang w:eastAsia="cs-CZ"/>
        </w:rPr>
      </w:pPr>
      <w:hyperlink w:anchor="_Toc180650264" w:history="1">
        <w:r w:rsidR="00666B31" w:rsidRPr="00DB6080">
          <w:rPr>
            <w:rStyle w:val="Hypertextovodkaz"/>
            <w:noProof/>
          </w:rPr>
          <w:t>Tabulka č. 5:</w:t>
        </w:r>
        <w:r w:rsidR="00666B31">
          <w:rPr>
            <w:noProof/>
            <w:szCs w:val="22"/>
            <w:lang w:eastAsia="cs-CZ"/>
          </w:rPr>
          <w:tab/>
        </w:r>
        <w:r w:rsidR="00666B31" w:rsidRPr="00DB6080">
          <w:rPr>
            <w:rStyle w:val="Hypertextovodkaz"/>
            <w:noProof/>
          </w:rPr>
          <w:t>Porovnání rozpočtu a skutečnosti minulého období (provozní)</w:t>
        </w:r>
        <w:r w:rsidR="00666B31">
          <w:rPr>
            <w:noProof/>
            <w:webHidden/>
          </w:rPr>
          <w:tab/>
        </w:r>
        <w:r w:rsidR="00666B31">
          <w:rPr>
            <w:noProof/>
            <w:webHidden/>
          </w:rPr>
          <w:fldChar w:fldCharType="begin"/>
        </w:r>
        <w:r w:rsidR="00666B31">
          <w:rPr>
            <w:noProof/>
            <w:webHidden/>
          </w:rPr>
          <w:instrText xml:space="preserve"> PAGEREF _Toc180650264 \h </w:instrText>
        </w:r>
        <w:r w:rsidR="00666B31">
          <w:rPr>
            <w:noProof/>
            <w:webHidden/>
          </w:rPr>
        </w:r>
        <w:r w:rsidR="00666B31">
          <w:rPr>
            <w:noProof/>
            <w:webHidden/>
          </w:rPr>
          <w:fldChar w:fldCharType="separate"/>
        </w:r>
        <w:r w:rsidR="00666B31">
          <w:rPr>
            <w:noProof/>
            <w:webHidden/>
          </w:rPr>
          <w:t>18</w:t>
        </w:r>
        <w:r w:rsidR="00666B31">
          <w:rPr>
            <w:noProof/>
            <w:webHidden/>
          </w:rPr>
          <w:fldChar w:fldCharType="end"/>
        </w:r>
      </w:hyperlink>
    </w:p>
    <w:p w14:paraId="465A10F5" w14:textId="05D4A2ED" w:rsidR="00666B31" w:rsidRDefault="002D4454">
      <w:pPr>
        <w:pStyle w:val="Seznamobrzk"/>
        <w:rPr>
          <w:noProof/>
          <w:szCs w:val="22"/>
          <w:lang w:eastAsia="cs-CZ"/>
        </w:rPr>
      </w:pPr>
      <w:hyperlink w:anchor="_Toc180650265" w:history="1">
        <w:r w:rsidR="00666B31" w:rsidRPr="00DB6080">
          <w:rPr>
            <w:rStyle w:val="Hypertextovodkaz"/>
            <w:noProof/>
          </w:rPr>
          <w:t>Tabulka č. 6:</w:t>
        </w:r>
        <w:r w:rsidR="00666B31">
          <w:rPr>
            <w:noProof/>
            <w:szCs w:val="22"/>
            <w:lang w:eastAsia="cs-CZ"/>
          </w:rPr>
          <w:tab/>
        </w:r>
        <w:r w:rsidR="00666B31" w:rsidRPr="00DB6080">
          <w:rPr>
            <w:rStyle w:val="Hypertextovodkaz"/>
            <w:noProof/>
          </w:rPr>
          <w:t>Porovnání rozpočtu a skutečnosti minulého období (investiční)</w:t>
        </w:r>
        <w:r w:rsidR="00666B31">
          <w:rPr>
            <w:noProof/>
            <w:webHidden/>
          </w:rPr>
          <w:tab/>
        </w:r>
        <w:r w:rsidR="00666B31">
          <w:rPr>
            <w:noProof/>
            <w:webHidden/>
          </w:rPr>
          <w:fldChar w:fldCharType="begin"/>
        </w:r>
        <w:r w:rsidR="00666B31">
          <w:rPr>
            <w:noProof/>
            <w:webHidden/>
          </w:rPr>
          <w:instrText xml:space="preserve"> PAGEREF _Toc180650265 \h </w:instrText>
        </w:r>
        <w:r w:rsidR="00666B31">
          <w:rPr>
            <w:noProof/>
            <w:webHidden/>
          </w:rPr>
        </w:r>
        <w:r w:rsidR="00666B31">
          <w:rPr>
            <w:noProof/>
            <w:webHidden/>
          </w:rPr>
          <w:fldChar w:fldCharType="separate"/>
        </w:r>
        <w:r w:rsidR="00666B31">
          <w:rPr>
            <w:noProof/>
            <w:webHidden/>
          </w:rPr>
          <w:t>19</w:t>
        </w:r>
        <w:r w:rsidR="00666B31">
          <w:rPr>
            <w:noProof/>
            <w:webHidden/>
          </w:rPr>
          <w:fldChar w:fldCharType="end"/>
        </w:r>
      </w:hyperlink>
    </w:p>
    <w:p w14:paraId="08497347" w14:textId="0CA34246" w:rsidR="00666B31" w:rsidRDefault="002D4454">
      <w:pPr>
        <w:pStyle w:val="Seznamobrzk"/>
        <w:rPr>
          <w:noProof/>
          <w:szCs w:val="22"/>
          <w:lang w:eastAsia="cs-CZ"/>
        </w:rPr>
      </w:pPr>
      <w:hyperlink w:anchor="_Toc180650266" w:history="1">
        <w:r w:rsidR="00666B31" w:rsidRPr="00DB6080">
          <w:rPr>
            <w:rStyle w:val="Hypertextovodkaz"/>
            <w:noProof/>
          </w:rPr>
          <w:t>Tabulka č. 7:</w:t>
        </w:r>
        <w:r w:rsidR="00666B31">
          <w:rPr>
            <w:noProof/>
            <w:szCs w:val="22"/>
            <w:lang w:eastAsia="cs-CZ"/>
          </w:rPr>
          <w:tab/>
        </w:r>
        <w:r w:rsidR="00666B31" w:rsidRPr="00DB6080">
          <w:rPr>
            <w:rStyle w:val="Hypertextovodkaz"/>
            <w:noProof/>
          </w:rPr>
          <w:t>Upravený rozpočet a skutečnost minulého období</w:t>
        </w:r>
        <w:r w:rsidR="00666B31">
          <w:rPr>
            <w:noProof/>
            <w:webHidden/>
          </w:rPr>
          <w:tab/>
        </w:r>
        <w:r w:rsidR="00666B31">
          <w:rPr>
            <w:noProof/>
            <w:webHidden/>
          </w:rPr>
          <w:fldChar w:fldCharType="begin"/>
        </w:r>
        <w:r w:rsidR="00666B31">
          <w:rPr>
            <w:noProof/>
            <w:webHidden/>
          </w:rPr>
          <w:instrText xml:space="preserve"> PAGEREF _Toc180650266 \h </w:instrText>
        </w:r>
        <w:r w:rsidR="00666B31">
          <w:rPr>
            <w:noProof/>
            <w:webHidden/>
          </w:rPr>
        </w:r>
        <w:r w:rsidR="00666B31">
          <w:rPr>
            <w:noProof/>
            <w:webHidden/>
          </w:rPr>
          <w:fldChar w:fldCharType="separate"/>
        </w:r>
        <w:r w:rsidR="00666B31">
          <w:rPr>
            <w:noProof/>
            <w:webHidden/>
          </w:rPr>
          <w:t>19</w:t>
        </w:r>
        <w:r w:rsidR="00666B31">
          <w:rPr>
            <w:noProof/>
            <w:webHidden/>
          </w:rPr>
          <w:fldChar w:fldCharType="end"/>
        </w:r>
      </w:hyperlink>
    </w:p>
    <w:p w14:paraId="04D83055" w14:textId="62D744DC" w:rsidR="00666B31" w:rsidRDefault="002D4454">
      <w:pPr>
        <w:pStyle w:val="Seznamobrzk"/>
        <w:rPr>
          <w:noProof/>
          <w:szCs w:val="22"/>
          <w:lang w:eastAsia="cs-CZ"/>
        </w:rPr>
      </w:pPr>
      <w:hyperlink w:anchor="_Toc180650267" w:history="1">
        <w:r w:rsidR="00666B31" w:rsidRPr="00DB6080">
          <w:rPr>
            <w:rStyle w:val="Hypertextovodkaz"/>
            <w:noProof/>
          </w:rPr>
          <w:t>Tabulka č. 8:</w:t>
        </w:r>
        <w:r w:rsidR="00666B31">
          <w:rPr>
            <w:noProof/>
            <w:szCs w:val="22"/>
            <w:lang w:eastAsia="cs-CZ"/>
          </w:rPr>
          <w:tab/>
        </w:r>
        <w:r w:rsidR="00666B31" w:rsidRPr="00DB6080">
          <w:rPr>
            <w:rStyle w:val="Hypertextovodkaz"/>
            <w:noProof/>
          </w:rPr>
          <w:t>Fiskální pravidlo hospodaření</w:t>
        </w:r>
        <w:r w:rsidR="00666B31">
          <w:rPr>
            <w:noProof/>
            <w:webHidden/>
          </w:rPr>
          <w:tab/>
        </w:r>
        <w:r w:rsidR="00666B31">
          <w:rPr>
            <w:noProof/>
            <w:webHidden/>
          </w:rPr>
          <w:fldChar w:fldCharType="begin"/>
        </w:r>
        <w:r w:rsidR="00666B31">
          <w:rPr>
            <w:noProof/>
            <w:webHidden/>
          </w:rPr>
          <w:instrText xml:space="preserve"> PAGEREF _Toc180650267 \h </w:instrText>
        </w:r>
        <w:r w:rsidR="00666B31">
          <w:rPr>
            <w:noProof/>
            <w:webHidden/>
          </w:rPr>
        </w:r>
        <w:r w:rsidR="00666B31">
          <w:rPr>
            <w:noProof/>
            <w:webHidden/>
          </w:rPr>
          <w:fldChar w:fldCharType="separate"/>
        </w:r>
        <w:r w:rsidR="00666B31">
          <w:rPr>
            <w:noProof/>
            <w:webHidden/>
          </w:rPr>
          <w:t>21</w:t>
        </w:r>
        <w:r w:rsidR="00666B31">
          <w:rPr>
            <w:noProof/>
            <w:webHidden/>
          </w:rPr>
          <w:fldChar w:fldCharType="end"/>
        </w:r>
      </w:hyperlink>
    </w:p>
    <w:p w14:paraId="74C2CF91" w14:textId="2837B87A" w:rsidR="00666B31" w:rsidRDefault="002D4454">
      <w:pPr>
        <w:pStyle w:val="Seznamobrzk"/>
        <w:rPr>
          <w:noProof/>
          <w:szCs w:val="22"/>
          <w:lang w:eastAsia="cs-CZ"/>
        </w:rPr>
      </w:pPr>
      <w:hyperlink w:anchor="_Toc180650268" w:history="1">
        <w:r w:rsidR="00666B31" w:rsidRPr="00DB6080">
          <w:rPr>
            <w:rStyle w:val="Hypertextovodkaz"/>
            <w:noProof/>
          </w:rPr>
          <w:t>Tabulka č. 9:</w:t>
        </w:r>
        <w:r w:rsidR="00666B31">
          <w:rPr>
            <w:noProof/>
            <w:szCs w:val="22"/>
            <w:lang w:eastAsia="cs-CZ"/>
          </w:rPr>
          <w:tab/>
        </w:r>
        <w:r w:rsidR="00666B31" w:rsidRPr="00DB6080">
          <w:rPr>
            <w:rStyle w:val="Hypertextovodkaz"/>
            <w:noProof/>
          </w:rPr>
          <w:t>Vývoj ukazatelů dluhového hospodaření</w:t>
        </w:r>
        <w:r w:rsidR="00666B31">
          <w:rPr>
            <w:noProof/>
            <w:webHidden/>
          </w:rPr>
          <w:tab/>
        </w:r>
        <w:r w:rsidR="00666B31">
          <w:rPr>
            <w:noProof/>
            <w:webHidden/>
          </w:rPr>
          <w:fldChar w:fldCharType="begin"/>
        </w:r>
        <w:r w:rsidR="00666B31">
          <w:rPr>
            <w:noProof/>
            <w:webHidden/>
          </w:rPr>
          <w:instrText xml:space="preserve"> PAGEREF _Toc180650268 \h </w:instrText>
        </w:r>
        <w:r w:rsidR="00666B31">
          <w:rPr>
            <w:noProof/>
            <w:webHidden/>
          </w:rPr>
        </w:r>
        <w:r w:rsidR="00666B31">
          <w:rPr>
            <w:noProof/>
            <w:webHidden/>
          </w:rPr>
          <w:fldChar w:fldCharType="separate"/>
        </w:r>
        <w:r w:rsidR="00666B31">
          <w:rPr>
            <w:noProof/>
            <w:webHidden/>
          </w:rPr>
          <w:t>21</w:t>
        </w:r>
        <w:r w:rsidR="00666B31">
          <w:rPr>
            <w:noProof/>
            <w:webHidden/>
          </w:rPr>
          <w:fldChar w:fldCharType="end"/>
        </w:r>
      </w:hyperlink>
    </w:p>
    <w:p w14:paraId="70A1F1B2" w14:textId="74BE07A4" w:rsidR="00666B31" w:rsidRDefault="002D4454">
      <w:pPr>
        <w:pStyle w:val="Seznamobrzk"/>
        <w:rPr>
          <w:noProof/>
          <w:szCs w:val="22"/>
          <w:lang w:eastAsia="cs-CZ"/>
        </w:rPr>
      </w:pPr>
      <w:hyperlink w:anchor="_Toc180650269" w:history="1">
        <w:r w:rsidR="00666B31" w:rsidRPr="00DB6080">
          <w:rPr>
            <w:rStyle w:val="Hypertextovodkaz"/>
            <w:noProof/>
          </w:rPr>
          <w:t>Tabulka č. 10:</w:t>
        </w:r>
        <w:r w:rsidR="00666B31">
          <w:rPr>
            <w:noProof/>
            <w:szCs w:val="22"/>
            <w:lang w:eastAsia="cs-CZ"/>
          </w:rPr>
          <w:tab/>
        </w:r>
        <w:r w:rsidR="00666B31" w:rsidRPr="00DB6080">
          <w:rPr>
            <w:rStyle w:val="Hypertextovodkaz"/>
            <w:noProof/>
          </w:rPr>
          <w:t>Vývoj cash flow a platební schopnosti</w:t>
        </w:r>
        <w:r w:rsidR="00666B31">
          <w:rPr>
            <w:noProof/>
            <w:webHidden/>
          </w:rPr>
          <w:tab/>
        </w:r>
        <w:r w:rsidR="00666B31">
          <w:rPr>
            <w:noProof/>
            <w:webHidden/>
          </w:rPr>
          <w:fldChar w:fldCharType="begin"/>
        </w:r>
        <w:r w:rsidR="00666B31">
          <w:rPr>
            <w:noProof/>
            <w:webHidden/>
          </w:rPr>
          <w:instrText xml:space="preserve"> PAGEREF _Toc180650269 \h </w:instrText>
        </w:r>
        <w:r w:rsidR="00666B31">
          <w:rPr>
            <w:noProof/>
            <w:webHidden/>
          </w:rPr>
        </w:r>
        <w:r w:rsidR="00666B31">
          <w:rPr>
            <w:noProof/>
            <w:webHidden/>
          </w:rPr>
          <w:fldChar w:fldCharType="separate"/>
        </w:r>
        <w:r w:rsidR="00666B31">
          <w:rPr>
            <w:noProof/>
            <w:webHidden/>
          </w:rPr>
          <w:t>22</w:t>
        </w:r>
        <w:r w:rsidR="00666B31">
          <w:rPr>
            <w:noProof/>
            <w:webHidden/>
          </w:rPr>
          <w:fldChar w:fldCharType="end"/>
        </w:r>
      </w:hyperlink>
    </w:p>
    <w:p w14:paraId="0FC23BF8" w14:textId="61764535" w:rsidR="00666B31" w:rsidRDefault="002D4454">
      <w:pPr>
        <w:pStyle w:val="Seznamobrzk"/>
        <w:rPr>
          <w:noProof/>
          <w:szCs w:val="22"/>
          <w:lang w:eastAsia="cs-CZ"/>
        </w:rPr>
      </w:pPr>
      <w:hyperlink w:anchor="_Toc180650270" w:history="1">
        <w:r w:rsidR="00666B31" w:rsidRPr="00DB6080">
          <w:rPr>
            <w:rStyle w:val="Hypertextovodkaz"/>
            <w:noProof/>
          </w:rPr>
          <w:t>Tabulka č. 11:</w:t>
        </w:r>
        <w:r w:rsidR="00666B31">
          <w:rPr>
            <w:noProof/>
            <w:szCs w:val="22"/>
            <w:lang w:eastAsia="cs-CZ"/>
          </w:rPr>
          <w:tab/>
        </w:r>
        <w:r w:rsidR="00666B31" w:rsidRPr="00DB6080">
          <w:rPr>
            <w:rStyle w:val="Hypertextovodkaz"/>
            <w:noProof/>
          </w:rPr>
          <w:t>Kumulovaný střednědobý výhled rozpočtu</w:t>
        </w:r>
        <w:r w:rsidR="00666B31">
          <w:rPr>
            <w:noProof/>
            <w:webHidden/>
          </w:rPr>
          <w:tab/>
        </w:r>
        <w:r w:rsidR="00666B31">
          <w:rPr>
            <w:noProof/>
            <w:webHidden/>
          </w:rPr>
          <w:fldChar w:fldCharType="begin"/>
        </w:r>
        <w:r w:rsidR="00666B31">
          <w:rPr>
            <w:noProof/>
            <w:webHidden/>
          </w:rPr>
          <w:instrText xml:space="preserve"> PAGEREF _Toc180650270 \h </w:instrText>
        </w:r>
        <w:r w:rsidR="00666B31">
          <w:rPr>
            <w:noProof/>
            <w:webHidden/>
          </w:rPr>
        </w:r>
        <w:r w:rsidR="00666B31">
          <w:rPr>
            <w:noProof/>
            <w:webHidden/>
          </w:rPr>
          <w:fldChar w:fldCharType="separate"/>
        </w:r>
        <w:r w:rsidR="00666B31">
          <w:rPr>
            <w:noProof/>
            <w:webHidden/>
          </w:rPr>
          <w:t>25</w:t>
        </w:r>
        <w:r w:rsidR="00666B31">
          <w:rPr>
            <w:noProof/>
            <w:webHidden/>
          </w:rPr>
          <w:fldChar w:fldCharType="end"/>
        </w:r>
      </w:hyperlink>
    </w:p>
    <w:p w14:paraId="298347C7" w14:textId="1DBBFC49" w:rsidR="00666B31" w:rsidRDefault="002D4454">
      <w:pPr>
        <w:pStyle w:val="Seznamobrzk"/>
        <w:rPr>
          <w:noProof/>
          <w:szCs w:val="22"/>
          <w:lang w:eastAsia="cs-CZ"/>
        </w:rPr>
      </w:pPr>
      <w:hyperlink w:anchor="_Toc180650271" w:history="1">
        <w:r w:rsidR="00666B31" w:rsidRPr="00DB6080">
          <w:rPr>
            <w:rStyle w:val="Hypertextovodkaz"/>
            <w:noProof/>
          </w:rPr>
          <w:t>Tabulka č. 12:</w:t>
        </w:r>
        <w:r w:rsidR="00666B31">
          <w:rPr>
            <w:noProof/>
            <w:szCs w:val="22"/>
            <w:lang w:eastAsia="cs-CZ"/>
          </w:rPr>
          <w:tab/>
        </w:r>
        <w:r w:rsidR="00666B31" w:rsidRPr="00DB6080">
          <w:rPr>
            <w:rStyle w:val="Hypertextovodkaz"/>
            <w:noProof/>
          </w:rPr>
          <w:t>Volné finanční prostředky</w:t>
        </w:r>
        <w:r w:rsidR="00666B31">
          <w:rPr>
            <w:noProof/>
            <w:webHidden/>
          </w:rPr>
          <w:tab/>
        </w:r>
        <w:r w:rsidR="00666B31">
          <w:rPr>
            <w:noProof/>
            <w:webHidden/>
          </w:rPr>
          <w:fldChar w:fldCharType="begin"/>
        </w:r>
        <w:r w:rsidR="00666B31">
          <w:rPr>
            <w:noProof/>
            <w:webHidden/>
          </w:rPr>
          <w:instrText xml:space="preserve"> PAGEREF _Toc180650271 \h </w:instrText>
        </w:r>
        <w:r w:rsidR="00666B31">
          <w:rPr>
            <w:noProof/>
            <w:webHidden/>
          </w:rPr>
        </w:r>
        <w:r w:rsidR="00666B31">
          <w:rPr>
            <w:noProof/>
            <w:webHidden/>
          </w:rPr>
          <w:fldChar w:fldCharType="separate"/>
        </w:r>
        <w:r w:rsidR="00666B31">
          <w:rPr>
            <w:noProof/>
            <w:webHidden/>
          </w:rPr>
          <w:t>28</w:t>
        </w:r>
        <w:r w:rsidR="00666B31">
          <w:rPr>
            <w:noProof/>
            <w:webHidden/>
          </w:rPr>
          <w:fldChar w:fldCharType="end"/>
        </w:r>
      </w:hyperlink>
    </w:p>
    <w:p w14:paraId="2C6556FD" w14:textId="61233C43" w:rsidR="00666B31" w:rsidRDefault="002D4454">
      <w:pPr>
        <w:pStyle w:val="Seznamobrzk"/>
        <w:rPr>
          <w:noProof/>
          <w:szCs w:val="22"/>
          <w:lang w:eastAsia="cs-CZ"/>
        </w:rPr>
      </w:pPr>
      <w:hyperlink w:anchor="_Toc180650272" w:history="1">
        <w:r w:rsidR="00666B31" w:rsidRPr="00DB6080">
          <w:rPr>
            <w:rStyle w:val="Hypertextovodkaz"/>
            <w:noProof/>
          </w:rPr>
          <w:t>Tabulka č. 13:</w:t>
        </w:r>
        <w:r w:rsidR="00666B31">
          <w:rPr>
            <w:noProof/>
            <w:szCs w:val="22"/>
            <w:lang w:eastAsia="cs-CZ"/>
          </w:rPr>
          <w:tab/>
        </w:r>
        <w:r w:rsidR="00666B31" w:rsidRPr="00DB6080">
          <w:rPr>
            <w:rStyle w:val="Hypertextovodkaz"/>
            <w:noProof/>
          </w:rPr>
          <w:t>Disponibilní prostředky výhledového období</w:t>
        </w:r>
        <w:r w:rsidR="00666B31">
          <w:rPr>
            <w:noProof/>
            <w:webHidden/>
          </w:rPr>
          <w:tab/>
        </w:r>
        <w:r w:rsidR="00666B31">
          <w:rPr>
            <w:noProof/>
            <w:webHidden/>
          </w:rPr>
          <w:fldChar w:fldCharType="begin"/>
        </w:r>
        <w:r w:rsidR="00666B31">
          <w:rPr>
            <w:noProof/>
            <w:webHidden/>
          </w:rPr>
          <w:instrText xml:space="preserve"> PAGEREF _Toc180650272 \h </w:instrText>
        </w:r>
        <w:r w:rsidR="00666B31">
          <w:rPr>
            <w:noProof/>
            <w:webHidden/>
          </w:rPr>
        </w:r>
        <w:r w:rsidR="00666B31">
          <w:rPr>
            <w:noProof/>
            <w:webHidden/>
          </w:rPr>
          <w:fldChar w:fldCharType="separate"/>
        </w:r>
        <w:r w:rsidR="00666B31">
          <w:rPr>
            <w:noProof/>
            <w:webHidden/>
          </w:rPr>
          <w:t>29</w:t>
        </w:r>
        <w:r w:rsidR="00666B31">
          <w:rPr>
            <w:noProof/>
            <w:webHidden/>
          </w:rPr>
          <w:fldChar w:fldCharType="end"/>
        </w:r>
      </w:hyperlink>
    </w:p>
    <w:p w14:paraId="46C6FC81" w14:textId="0546829A" w:rsidR="00666B31" w:rsidRDefault="002D4454">
      <w:pPr>
        <w:pStyle w:val="Seznamobrzk"/>
        <w:rPr>
          <w:noProof/>
          <w:szCs w:val="22"/>
          <w:lang w:eastAsia="cs-CZ"/>
        </w:rPr>
      </w:pPr>
      <w:hyperlink w:anchor="_Toc180650273" w:history="1">
        <w:r w:rsidR="00666B31" w:rsidRPr="00DB6080">
          <w:rPr>
            <w:rStyle w:val="Hypertextovodkaz"/>
            <w:noProof/>
          </w:rPr>
          <w:t>Tabulka č. 14:</w:t>
        </w:r>
        <w:r w:rsidR="00666B31">
          <w:rPr>
            <w:noProof/>
            <w:szCs w:val="22"/>
            <w:lang w:eastAsia="cs-CZ"/>
          </w:rPr>
          <w:tab/>
        </w:r>
        <w:r w:rsidR="00666B31" w:rsidRPr="00DB6080">
          <w:rPr>
            <w:rStyle w:val="Hypertextovodkaz"/>
            <w:noProof/>
          </w:rPr>
          <w:t>Predikce rozpočtové odpovědnosti</w:t>
        </w:r>
        <w:r w:rsidR="00666B31">
          <w:rPr>
            <w:noProof/>
            <w:webHidden/>
          </w:rPr>
          <w:tab/>
        </w:r>
        <w:r w:rsidR="00666B31">
          <w:rPr>
            <w:noProof/>
            <w:webHidden/>
          </w:rPr>
          <w:fldChar w:fldCharType="begin"/>
        </w:r>
        <w:r w:rsidR="00666B31">
          <w:rPr>
            <w:noProof/>
            <w:webHidden/>
          </w:rPr>
          <w:instrText xml:space="preserve"> PAGEREF _Toc180650273 \h </w:instrText>
        </w:r>
        <w:r w:rsidR="00666B31">
          <w:rPr>
            <w:noProof/>
            <w:webHidden/>
          </w:rPr>
        </w:r>
        <w:r w:rsidR="00666B31">
          <w:rPr>
            <w:noProof/>
            <w:webHidden/>
          </w:rPr>
          <w:fldChar w:fldCharType="separate"/>
        </w:r>
        <w:r w:rsidR="00666B31">
          <w:rPr>
            <w:noProof/>
            <w:webHidden/>
          </w:rPr>
          <w:t>30</w:t>
        </w:r>
        <w:r w:rsidR="00666B31">
          <w:rPr>
            <w:noProof/>
            <w:webHidden/>
          </w:rPr>
          <w:fldChar w:fldCharType="end"/>
        </w:r>
      </w:hyperlink>
    </w:p>
    <w:p w14:paraId="5AD1BD79" w14:textId="6535499F" w:rsidR="00666B31" w:rsidRDefault="002D4454">
      <w:pPr>
        <w:pStyle w:val="Seznamobrzk"/>
        <w:rPr>
          <w:noProof/>
          <w:szCs w:val="22"/>
          <w:lang w:eastAsia="cs-CZ"/>
        </w:rPr>
      </w:pPr>
      <w:hyperlink w:anchor="_Toc180650274" w:history="1">
        <w:r w:rsidR="00666B31" w:rsidRPr="00DB6080">
          <w:rPr>
            <w:rStyle w:val="Hypertextovodkaz"/>
            <w:noProof/>
          </w:rPr>
          <w:t>Tabulka č. 15:</w:t>
        </w:r>
        <w:r w:rsidR="00666B31">
          <w:rPr>
            <w:noProof/>
            <w:szCs w:val="22"/>
            <w:lang w:eastAsia="cs-CZ"/>
          </w:rPr>
          <w:tab/>
        </w:r>
        <w:r w:rsidR="00666B31" w:rsidRPr="00DB6080">
          <w:rPr>
            <w:rStyle w:val="Hypertextovodkaz"/>
            <w:noProof/>
          </w:rPr>
          <w:t>Ekonomické hodnocení města v letech 2013 - 2020 (staré)</w:t>
        </w:r>
        <w:r w:rsidR="00666B31">
          <w:rPr>
            <w:noProof/>
            <w:webHidden/>
          </w:rPr>
          <w:tab/>
        </w:r>
        <w:r w:rsidR="00666B31">
          <w:rPr>
            <w:noProof/>
            <w:webHidden/>
          </w:rPr>
          <w:fldChar w:fldCharType="begin"/>
        </w:r>
        <w:r w:rsidR="00666B31">
          <w:rPr>
            <w:noProof/>
            <w:webHidden/>
          </w:rPr>
          <w:instrText xml:space="preserve"> PAGEREF _Toc180650274 \h </w:instrText>
        </w:r>
        <w:r w:rsidR="00666B31">
          <w:rPr>
            <w:noProof/>
            <w:webHidden/>
          </w:rPr>
        </w:r>
        <w:r w:rsidR="00666B31">
          <w:rPr>
            <w:noProof/>
            <w:webHidden/>
          </w:rPr>
          <w:fldChar w:fldCharType="separate"/>
        </w:r>
        <w:r w:rsidR="00666B31">
          <w:rPr>
            <w:noProof/>
            <w:webHidden/>
          </w:rPr>
          <w:t>33</w:t>
        </w:r>
        <w:r w:rsidR="00666B31">
          <w:rPr>
            <w:noProof/>
            <w:webHidden/>
          </w:rPr>
          <w:fldChar w:fldCharType="end"/>
        </w:r>
      </w:hyperlink>
    </w:p>
    <w:p w14:paraId="3B5EB847" w14:textId="0925541C" w:rsidR="00666B31" w:rsidRDefault="002D4454">
      <w:pPr>
        <w:pStyle w:val="Seznamobrzk"/>
        <w:rPr>
          <w:noProof/>
          <w:szCs w:val="22"/>
          <w:lang w:eastAsia="cs-CZ"/>
        </w:rPr>
      </w:pPr>
      <w:hyperlink w:anchor="_Toc180650275" w:history="1">
        <w:r w:rsidR="00666B31" w:rsidRPr="00DB6080">
          <w:rPr>
            <w:rStyle w:val="Hypertextovodkaz"/>
            <w:noProof/>
          </w:rPr>
          <w:t>Tabulka č. 16:</w:t>
        </w:r>
        <w:r w:rsidR="00666B31">
          <w:rPr>
            <w:noProof/>
            <w:szCs w:val="22"/>
            <w:lang w:eastAsia="cs-CZ"/>
          </w:rPr>
          <w:tab/>
        </w:r>
        <w:r w:rsidR="00666B31" w:rsidRPr="00DB6080">
          <w:rPr>
            <w:rStyle w:val="Hypertextovodkaz"/>
            <w:noProof/>
          </w:rPr>
          <w:t>Ekonomické hodnocení města v letech 2021 - 2027 (nové)</w:t>
        </w:r>
        <w:r w:rsidR="00666B31">
          <w:rPr>
            <w:noProof/>
            <w:webHidden/>
          </w:rPr>
          <w:tab/>
        </w:r>
        <w:r w:rsidR="00666B31">
          <w:rPr>
            <w:noProof/>
            <w:webHidden/>
          </w:rPr>
          <w:fldChar w:fldCharType="begin"/>
        </w:r>
        <w:r w:rsidR="00666B31">
          <w:rPr>
            <w:noProof/>
            <w:webHidden/>
          </w:rPr>
          <w:instrText xml:space="preserve"> PAGEREF _Toc180650275 \h </w:instrText>
        </w:r>
        <w:r w:rsidR="00666B31">
          <w:rPr>
            <w:noProof/>
            <w:webHidden/>
          </w:rPr>
        </w:r>
        <w:r w:rsidR="00666B31">
          <w:rPr>
            <w:noProof/>
            <w:webHidden/>
          </w:rPr>
          <w:fldChar w:fldCharType="separate"/>
        </w:r>
        <w:r w:rsidR="00666B31">
          <w:rPr>
            <w:noProof/>
            <w:webHidden/>
          </w:rPr>
          <w:t>33</w:t>
        </w:r>
        <w:r w:rsidR="00666B31">
          <w:rPr>
            <w:noProof/>
            <w:webHidden/>
          </w:rPr>
          <w:fldChar w:fldCharType="end"/>
        </w:r>
      </w:hyperlink>
    </w:p>
    <w:p w14:paraId="3BD05628" w14:textId="75791062" w:rsidR="00666B31" w:rsidRDefault="002D4454">
      <w:pPr>
        <w:pStyle w:val="Seznamobrzk"/>
        <w:rPr>
          <w:noProof/>
          <w:szCs w:val="22"/>
          <w:lang w:eastAsia="cs-CZ"/>
        </w:rPr>
      </w:pPr>
      <w:hyperlink w:anchor="_Toc180650276" w:history="1">
        <w:r w:rsidR="00666B31" w:rsidRPr="00DB6080">
          <w:rPr>
            <w:rStyle w:val="Hypertextovodkaz"/>
            <w:noProof/>
          </w:rPr>
          <w:t>Tabulka č. 17:</w:t>
        </w:r>
        <w:r w:rsidR="00666B31">
          <w:rPr>
            <w:noProof/>
            <w:szCs w:val="22"/>
            <w:lang w:eastAsia="cs-CZ"/>
          </w:rPr>
          <w:tab/>
        </w:r>
        <w:r w:rsidR="00666B31" w:rsidRPr="00DB6080">
          <w:rPr>
            <w:rStyle w:val="Hypertextovodkaz"/>
            <w:noProof/>
          </w:rPr>
          <w:t>Predikce sdílených daní dle MF ČR</w:t>
        </w:r>
        <w:r w:rsidR="00666B31">
          <w:rPr>
            <w:noProof/>
            <w:webHidden/>
          </w:rPr>
          <w:tab/>
        </w:r>
        <w:r w:rsidR="00666B31">
          <w:rPr>
            <w:noProof/>
            <w:webHidden/>
          </w:rPr>
          <w:fldChar w:fldCharType="begin"/>
        </w:r>
        <w:r w:rsidR="00666B31">
          <w:rPr>
            <w:noProof/>
            <w:webHidden/>
          </w:rPr>
          <w:instrText xml:space="preserve"> PAGEREF _Toc180650276 \h </w:instrText>
        </w:r>
        <w:r w:rsidR="00666B31">
          <w:rPr>
            <w:noProof/>
            <w:webHidden/>
          </w:rPr>
        </w:r>
        <w:r w:rsidR="00666B31">
          <w:rPr>
            <w:noProof/>
            <w:webHidden/>
          </w:rPr>
          <w:fldChar w:fldCharType="separate"/>
        </w:r>
        <w:r w:rsidR="00666B31">
          <w:rPr>
            <w:noProof/>
            <w:webHidden/>
          </w:rPr>
          <w:t>34</w:t>
        </w:r>
        <w:r w:rsidR="00666B31">
          <w:rPr>
            <w:noProof/>
            <w:webHidden/>
          </w:rPr>
          <w:fldChar w:fldCharType="end"/>
        </w:r>
      </w:hyperlink>
    </w:p>
    <w:p w14:paraId="4286189E" w14:textId="3A0EBBBC" w:rsidR="00666B31" w:rsidRDefault="002D4454">
      <w:pPr>
        <w:pStyle w:val="Seznamobrzk"/>
        <w:rPr>
          <w:noProof/>
          <w:szCs w:val="22"/>
          <w:lang w:eastAsia="cs-CZ"/>
        </w:rPr>
      </w:pPr>
      <w:hyperlink w:anchor="_Toc180650277" w:history="1">
        <w:r w:rsidR="00666B31" w:rsidRPr="00DB6080">
          <w:rPr>
            <w:rStyle w:val="Hypertextovodkaz"/>
            <w:noProof/>
          </w:rPr>
          <w:t>Tabulka č. 18:</w:t>
        </w:r>
        <w:r w:rsidR="00666B31">
          <w:rPr>
            <w:noProof/>
            <w:szCs w:val="22"/>
            <w:lang w:eastAsia="cs-CZ"/>
          </w:rPr>
          <w:tab/>
        </w:r>
        <w:r w:rsidR="00666B31" w:rsidRPr="00DB6080">
          <w:rPr>
            <w:rStyle w:val="Hypertextovodkaz"/>
            <w:noProof/>
          </w:rPr>
          <w:t>Souhrnná tabulka hospodaření</w:t>
        </w:r>
        <w:r w:rsidR="00666B31">
          <w:rPr>
            <w:noProof/>
            <w:webHidden/>
          </w:rPr>
          <w:tab/>
        </w:r>
        <w:r w:rsidR="00666B31">
          <w:rPr>
            <w:noProof/>
            <w:webHidden/>
          </w:rPr>
          <w:fldChar w:fldCharType="begin"/>
        </w:r>
        <w:r w:rsidR="00666B31">
          <w:rPr>
            <w:noProof/>
            <w:webHidden/>
          </w:rPr>
          <w:instrText xml:space="preserve"> PAGEREF _Toc180650277 \h </w:instrText>
        </w:r>
        <w:r w:rsidR="00666B31">
          <w:rPr>
            <w:noProof/>
            <w:webHidden/>
          </w:rPr>
        </w:r>
        <w:r w:rsidR="00666B31">
          <w:rPr>
            <w:noProof/>
            <w:webHidden/>
          </w:rPr>
          <w:fldChar w:fldCharType="separate"/>
        </w:r>
        <w:r w:rsidR="00666B31">
          <w:rPr>
            <w:noProof/>
            <w:webHidden/>
          </w:rPr>
          <w:t>36</w:t>
        </w:r>
        <w:r w:rsidR="00666B31">
          <w:rPr>
            <w:noProof/>
            <w:webHidden/>
          </w:rPr>
          <w:fldChar w:fldCharType="end"/>
        </w:r>
      </w:hyperlink>
    </w:p>
    <w:p w14:paraId="38D3FCEE" w14:textId="2D6B484E" w:rsidR="0046149B" w:rsidRPr="00793D98" w:rsidRDefault="00572F00" w:rsidP="00572F00">
      <w:pPr>
        <w:pStyle w:val="Obsah1"/>
      </w:pPr>
      <w:r>
        <w:rPr>
          <w:rStyle w:val="Hypertextovodkaz"/>
          <w:b/>
          <w:noProof w:val="0"/>
          <w:color w:val="2E3192"/>
          <w:szCs w:val="19"/>
        </w:rPr>
        <w:fldChar w:fldCharType="end"/>
      </w:r>
    </w:p>
    <w:p w14:paraId="5414D983" w14:textId="060BB834" w:rsidR="00666B31" w:rsidRDefault="002C458E">
      <w:pPr>
        <w:pStyle w:val="Seznamobrzk"/>
        <w:rPr>
          <w:noProof/>
          <w:szCs w:val="22"/>
          <w:lang w:eastAsia="cs-CZ"/>
        </w:rPr>
      </w:pPr>
      <w:r w:rsidRPr="00793D98">
        <w:rPr>
          <w:szCs w:val="21"/>
        </w:rPr>
        <w:fldChar w:fldCharType="begin"/>
      </w:r>
      <w:r w:rsidR="0046149B" w:rsidRPr="00793D98">
        <w:rPr>
          <w:szCs w:val="21"/>
        </w:rPr>
        <w:instrText xml:space="preserve"> TOC \h \z \t "Graf" \c </w:instrText>
      </w:r>
      <w:r w:rsidRPr="00793D98">
        <w:rPr>
          <w:szCs w:val="21"/>
        </w:rPr>
        <w:fldChar w:fldCharType="separate"/>
      </w:r>
      <w:hyperlink w:anchor="_Toc180650278" w:history="1">
        <w:r w:rsidR="00666B31" w:rsidRPr="004D7AB9">
          <w:rPr>
            <w:rStyle w:val="Hypertextovodkaz"/>
            <w:noProof/>
          </w:rPr>
          <w:t>Graf č. 1:</w:t>
        </w:r>
        <w:r w:rsidR="00666B31">
          <w:rPr>
            <w:noProof/>
            <w:szCs w:val="22"/>
            <w:lang w:eastAsia="cs-CZ"/>
          </w:rPr>
          <w:tab/>
        </w:r>
        <w:r w:rsidR="00666B31" w:rsidRPr="004D7AB9">
          <w:rPr>
            <w:rStyle w:val="Hypertextovodkaz"/>
            <w:noProof/>
          </w:rPr>
          <w:t>Vývoj příjmů</w:t>
        </w:r>
        <w:r w:rsidR="00666B31">
          <w:rPr>
            <w:noProof/>
            <w:webHidden/>
          </w:rPr>
          <w:tab/>
        </w:r>
        <w:r w:rsidR="00666B31">
          <w:rPr>
            <w:noProof/>
            <w:webHidden/>
          </w:rPr>
          <w:fldChar w:fldCharType="begin"/>
        </w:r>
        <w:r w:rsidR="00666B31">
          <w:rPr>
            <w:noProof/>
            <w:webHidden/>
          </w:rPr>
          <w:instrText xml:space="preserve"> PAGEREF _Toc180650278 \h </w:instrText>
        </w:r>
        <w:r w:rsidR="00666B31">
          <w:rPr>
            <w:noProof/>
            <w:webHidden/>
          </w:rPr>
        </w:r>
        <w:r w:rsidR="00666B31">
          <w:rPr>
            <w:noProof/>
            <w:webHidden/>
          </w:rPr>
          <w:fldChar w:fldCharType="separate"/>
        </w:r>
        <w:r w:rsidR="00666B31">
          <w:rPr>
            <w:noProof/>
            <w:webHidden/>
          </w:rPr>
          <w:t>8</w:t>
        </w:r>
        <w:r w:rsidR="00666B31">
          <w:rPr>
            <w:noProof/>
            <w:webHidden/>
          </w:rPr>
          <w:fldChar w:fldCharType="end"/>
        </w:r>
      </w:hyperlink>
    </w:p>
    <w:p w14:paraId="3EE953F3" w14:textId="45B9012A" w:rsidR="00666B31" w:rsidRDefault="002D4454">
      <w:pPr>
        <w:pStyle w:val="Seznamobrzk"/>
        <w:rPr>
          <w:noProof/>
          <w:szCs w:val="22"/>
          <w:lang w:eastAsia="cs-CZ"/>
        </w:rPr>
      </w:pPr>
      <w:hyperlink w:anchor="_Toc180650279" w:history="1">
        <w:r w:rsidR="00666B31" w:rsidRPr="004D7AB9">
          <w:rPr>
            <w:rStyle w:val="Hypertextovodkaz"/>
            <w:noProof/>
          </w:rPr>
          <w:t>Graf č. 2:</w:t>
        </w:r>
        <w:r w:rsidR="00666B31">
          <w:rPr>
            <w:noProof/>
            <w:szCs w:val="22"/>
            <w:lang w:eastAsia="cs-CZ"/>
          </w:rPr>
          <w:tab/>
        </w:r>
        <w:r w:rsidR="00666B31" w:rsidRPr="004D7AB9">
          <w:rPr>
            <w:rStyle w:val="Hypertextovodkaz"/>
            <w:noProof/>
            <w:lang w:eastAsia="cs-CZ"/>
          </w:rPr>
          <w:t>Meziroční podíl a pětiletý průměr daňových příjmů</w:t>
        </w:r>
        <w:r w:rsidR="00666B31">
          <w:rPr>
            <w:noProof/>
            <w:webHidden/>
          </w:rPr>
          <w:tab/>
        </w:r>
        <w:r w:rsidR="00666B31">
          <w:rPr>
            <w:noProof/>
            <w:webHidden/>
          </w:rPr>
          <w:fldChar w:fldCharType="begin"/>
        </w:r>
        <w:r w:rsidR="00666B31">
          <w:rPr>
            <w:noProof/>
            <w:webHidden/>
          </w:rPr>
          <w:instrText xml:space="preserve"> PAGEREF _Toc180650279 \h </w:instrText>
        </w:r>
        <w:r w:rsidR="00666B31">
          <w:rPr>
            <w:noProof/>
            <w:webHidden/>
          </w:rPr>
        </w:r>
        <w:r w:rsidR="00666B31">
          <w:rPr>
            <w:noProof/>
            <w:webHidden/>
          </w:rPr>
          <w:fldChar w:fldCharType="separate"/>
        </w:r>
        <w:r w:rsidR="00666B31">
          <w:rPr>
            <w:noProof/>
            <w:webHidden/>
          </w:rPr>
          <w:t>9</w:t>
        </w:r>
        <w:r w:rsidR="00666B31">
          <w:rPr>
            <w:noProof/>
            <w:webHidden/>
          </w:rPr>
          <w:fldChar w:fldCharType="end"/>
        </w:r>
      </w:hyperlink>
    </w:p>
    <w:p w14:paraId="1846778F" w14:textId="7EF08329" w:rsidR="00666B31" w:rsidRDefault="002D4454">
      <w:pPr>
        <w:pStyle w:val="Seznamobrzk"/>
        <w:rPr>
          <w:noProof/>
          <w:szCs w:val="22"/>
          <w:lang w:eastAsia="cs-CZ"/>
        </w:rPr>
      </w:pPr>
      <w:hyperlink w:anchor="_Toc180650280" w:history="1">
        <w:r w:rsidR="00666B31" w:rsidRPr="004D7AB9">
          <w:rPr>
            <w:rStyle w:val="Hypertextovodkaz"/>
            <w:noProof/>
          </w:rPr>
          <w:t>Graf č. 3:</w:t>
        </w:r>
        <w:r w:rsidR="00666B31">
          <w:rPr>
            <w:noProof/>
            <w:szCs w:val="22"/>
            <w:lang w:eastAsia="cs-CZ"/>
          </w:rPr>
          <w:tab/>
        </w:r>
        <w:r w:rsidR="00666B31" w:rsidRPr="004D7AB9">
          <w:rPr>
            <w:rStyle w:val="Hypertextovodkaz"/>
            <w:noProof/>
          </w:rPr>
          <w:t>Vývoj sdílených daní</w:t>
        </w:r>
        <w:r w:rsidR="00666B31">
          <w:rPr>
            <w:noProof/>
            <w:webHidden/>
          </w:rPr>
          <w:tab/>
        </w:r>
        <w:r w:rsidR="00666B31">
          <w:rPr>
            <w:noProof/>
            <w:webHidden/>
          </w:rPr>
          <w:fldChar w:fldCharType="begin"/>
        </w:r>
        <w:r w:rsidR="00666B31">
          <w:rPr>
            <w:noProof/>
            <w:webHidden/>
          </w:rPr>
          <w:instrText xml:space="preserve"> PAGEREF _Toc180650280 \h </w:instrText>
        </w:r>
        <w:r w:rsidR="00666B31">
          <w:rPr>
            <w:noProof/>
            <w:webHidden/>
          </w:rPr>
        </w:r>
        <w:r w:rsidR="00666B31">
          <w:rPr>
            <w:noProof/>
            <w:webHidden/>
          </w:rPr>
          <w:fldChar w:fldCharType="separate"/>
        </w:r>
        <w:r w:rsidR="00666B31">
          <w:rPr>
            <w:noProof/>
            <w:webHidden/>
          </w:rPr>
          <w:t>9</w:t>
        </w:r>
        <w:r w:rsidR="00666B31">
          <w:rPr>
            <w:noProof/>
            <w:webHidden/>
          </w:rPr>
          <w:fldChar w:fldCharType="end"/>
        </w:r>
      </w:hyperlink>
    </w:p>
    <w:p w14:paraId="62655A1A" w14:textId="5AE82981" w:rsidR="00666B31" w:rsidRDefault="002D4454">
      <w:pPr>
        <w:pStyle w:val="Seznamobrzk"/>
        <w:rPr>
          <w:noProof/>
          <w:szCs w:val="22"/>
          <w:lang w:eastAsia="cs-CZ"/>
        </w:rPr>
      </w:pPr>
      <w:hyperlink w:anchor="_Toc180650281" w:history="1">
        <w:r w:rsidR="00666B31" w:rsidRPr="004D7AB9">
          <w:rPr>
            <w:rStyle w:val="Hypertextovodkaz"/>
            <w:noProof/>
          </w:rPr>
          <w:t>Graf č. 4:</w:t>
        </w:r>
        <w:r w:rsidR="00666B31">
          <w:rPr>
            <w:noProof/>
            <w:szCs w:val="22"/>
            <w:lang w:eastAsia="cs-CZ"/>
          </w:rPr>
          <w:tab/>
        </w:r>
        <w:r w:rsidR="00666B31" w:rsidRPr="004D7AB9">
          <w:rPr>
            <w:rStyle w:val="Hypertextovodkaz"/>
            <w:noProof/>
            <w:lang w:eastAsia="cs-CZ"/>
          </w:rPr>
          <w:t xml:space="preserve">Meziroční podíl a pětiletý průměr </w:t>
        </w:r>
        <w:r w:rsidR="00666B31" w:rsidRPr="004D7AB9">
          <w:rPr>
            <w:rStyle w:val="Hypertextovodkaz"/>
            <w:noProof/>
          </w:rPr>
          <w:t>nedaňových příjmů</w:t>
        </w:r>
        <w:r w:rsidR="00666B31">
          <w:rPr>
            <w:noProof/>
            <w:webHidden/>
          </w:rPr>
          <w:tab/>
        </w:r>
        <w:r w:rsidR="00666B31">
          <w:rPr>
            <w:noProof/>
            <w:webHidden/>
          </w:rPr>
          <w:fldChar w:fldCharType="begin"/>
        </w:r>
        <w:r w:rsidR="00666B31">
          <w:rPr>
            <w:noProof/>
            <w:webHidden/>
          </w:rPr>
          <w:instrText xml:space="preserve"> PAGEREF _Toc180650281 \h </w:instrText>
        </w:r>
        <w:r w:rsidR="00666B31">
          <w:rPr>
            <w:noProof/>
            <w:webHidden/>
          </w:rPr>
        </w:r>
        <w:r w:rsidR="00666B31">
          <w:rPr>
            <w:noProof/>
            <w:webHidden/>
          </w:rPr>
          <w:fldChar w:fldCharType="separate"/>
        </w:r>
        <w:r w:rsidR="00666B31">
          <w:rPr>
            <w:noProof/>
            <w:webHidden/>
          </w:rPr>
          <w:t>11</w:t>
        </w:r>
        <w:r w:rsidR="00666B31">
          <w:rPr>
            <w:noProof/>
            <w:webHidden/>
          </w:rPr>
          <w:fldChar w:fldCharType="end"/>
        </w:r>
      </w:hyperlink>
    </w:p>
    <w:p w14:paraId="653E7747" w14:textId="10CBFAC4" w:rsidR="00666B31" w:rsidRDefault="002D4454">
      <w:pPr>
        <w:pStyle w:val="Seznamobrzk"/>
        <w:rPr>
          <w:noProof/>
          <w:szCs w:val="22"/>
          <w:lang w:eastAsia="cs-CZ"/>
        </w:rPr>
      </w:pPr>
      <w:hyperlink w:anchor="_Toc180650282" w:history="1">
        <w:r w:rsidR="00666B31" w:rsidRPr="004D7AB9">
          <w:rPr>
            <w:rStyle w:val="Hypertextovodkaz"/>
            <w:noProof/>
          </w:rPr>
          <w:t>Graf č. 5:</w:t>
        </w:r>
        <w:r w:rsidR="00666B31">
          <w:rPr>
            <w:noProof/>
            <w:szCs w:val="22"/>
            <w:lang w:eastAsia="cs-CZ"/>
          </w:rPr>
          <w:tab/>
        </w:r>
        <w:r w:rsidR="00666B31" w:rsidRPr="004D7AB9">
          <w:rPr>
            <w:rStyle w:val="Hypertextovodkaz"/>
            <w:noProof/>
            <w:lang w:eastAsia="cs-CZ"/>
          </w:rPr>
          <w:t xml:space="preserve">Meziroční podíl a pětiletý průměr </w:t>
        </w:r>
        <w:r w:rsidR="00666B31" w:rsidRPr="004D7AB9">
          <w:rPr>
            <w:rStyle w:val="Hypertextovodkaz"/>
            <w:noProof/>
          </w:rPr>
          <w:t>kapitálových příjmů</w:t>
        </w:r>
        <w:r w:rsidR="00666B31">
          <w:rPr>
            <w:noProof/>
            <w:webHidden/>
          </w:rPr>
          <w:tab/>
        </w:r>
        <w:r w:rsidR="00666B31">
          <w:rPr>
            <w:noProof/>
            <w:webHidden/>
          </w:rPr>
          <w:fldChar w:fldCharType="begin"/>
        </w:r>
        <w:r w:rsidR="00666B31">
          <w:rPr>
            <w:noProof/>
            <w:webHidden/>
          </w:rPr>
          <w:instrText xml:space="preserve"> PAGEREF _Toc180650282 \h </w:instrText>
        </w:r>
        <w:r w:rsidR="00666B31">
          <w:rPr>
            <w:noProof/>
            <w:webHidden/>
          </w:rPr>
        </w:r>
        <w:r w:rsidR="00666B31">
          <w:rPr>
            <w:noProof/>
            <w:webHidden/>
          </w:rPr>
          <w:fldChar w:fldCharType="separate"/>
        </w:r>
        <w:r w:rsidR="00666B31">
          <w:rPr>
            <w:noProof/>
            <w:webHidden/>
          </w:rPr>
          <w:t>11</w:t>
        </w:r>
        <w:r w:rsidR="00666B31">
          <w:rPr>
            <w:noProof/>
            <w:webHidden/>
          </w:rPr>
          <w:fldChar w:fldCharType="end"/>
        </w:r>
      </w:hyperlink>
    </w:p>
    <w:p w14:paraId="2872C4D9" w14:textId="50ACC694" w:rsidR="00666B31" w:rsidRDefault="002D4454">
      <w:pPr>
        <w:pStyle w:val="Seznamobrzk"/>
        <w:rPr>
          <w:noProof/>
          <w:szCs w:val="22"/>
          <w:lang w:eastAsia="cs-CZ"/>
        </w:rPr>
      </w:pPr>
      <w:hyperlink w:anchor="_Toc180650283" w:history="1">
        <w:r w:rsidR="00666B31" w:rsidRPr="004D7AB9">
          <w:rPr>
            <w:rStyle w:val="Hypertextovodkaz"/>
            <w:noProof/>
          </w:rPr>
          <w:t>Graf č. 6:</w:t>
        </w:r>
        <w:r w:rsidR="00666B31">
          <w:rPr>
            <w:noProof/>
            <w:szCs w:val="22"/>
            <w:lang w:eastAsia="cs-CZ"/>
          </w:rPr>
          <w:tab/>
        </w:r>
        <w:r w:rsidR="00666B31" w:rsidRPr="004D7AB9">
          <w:rPr>
            <w:rStyle w:val="Hypertextovodkaz"/>
            <w:noProof/>
            <w:lang w:eastAsia="cs-CZ"/>
          </w:rPr>
          <w:t xml:space="preserve">Meziroční podíl a pětiletý průměr </w:t>
        </w:r>
        <w:r w:rsidR="00666B31" w:rsidRPr="004D7AB9">
          <w:rPr>
            <w:rStyle w:val="Hypertextovodkaz"/>
            <w:noProof/>
          </w:rPr>
          <w:t>přijatých transferů</w:t>
        </w:r>
        <w:r w:rsidR="00666B31">
          <w:rPr>
            <w:noProof/>
            <w:webHidden/>
          </w:rPr>
          <w:tab/>
        </w:r>
        <w:r w:rsidR="00666B31">
          <w:rPr>
            <w:noProof/>
            <w:webHidden/>
          </w:rPr>
          <w:fldChar w:fldCharType="begin"/>
        </w:r>
        <w:r w:rsidR="00666B31">
          <w:rPr>
            <w:noProof/>
            <w:webHidden/>
          </w:rPr>
          <w:instrText xml:space="preserve"> PAGEREF _Toc180650283 \h </w:instrText>
        </w:r>
        <w:r w:rsidR="00666B31">
          <w:rPr>
            <w:noProof/>
            <w:webHidden/>
          </w:rPr>
        </w:r>
        <w:r w:rsidR="00666B31">
          <w:rPr>
            <w:noProof/>
            <w:webHidden/>
          </w:rPr>
          <w:fldChar w:fldCharType="separate"/>
        </w:r>
        <w:r w:rsidR="00666B31">
          <w:rPr>
            <w:noProof/>
            <w:webHidden/>
          </w:rPr>
          <w:t>12</w:t>
        </w:r>
        <w:r w:rsidR="00666B31">
          <w:rPr>
            <w:noProof/>
            <w:webHidden/>
          </w:rPr>
          <w:fldChar w:fldCharType="end"/>
        </w:r>
      </w:hyperlink>
    </w:p>
    <w:p w14:paraId="55F67B71" w14:textId="28125B9E" w:rsidR="00666B31" w:rsidRDefault="002D4454">
      <w:pPr>
        <w:pStyle w:val="Seznamobrzk"/>
        <w:rPr>
          <w:noProof/>
          <w:szCs w:val="22"/>
          <w:lang w:eastAsia="cs-CZ"/>
        </w:rPr>
      </w:pPr>
      <w:hyperlink w:anchor="_Toc180650284" w:history="1">
        <w:r w:rsidR="00666B31" w:rsidRPr="004D7AB9">
          <w:rPr>
            <w:rStyle w:val="Hypertextovodkaz"/>
            <w:noProof/>
          </w:rPr>
          <w:t>Graf č. 7:</w:t>
        </w:r>
        <w:r w:rsidR="00666B31">
          <w:rPr>
            <w:noProof/>
            <w:szCs w:val="22"/>
            <w:lang w:eastAsia="cs-CZ"/>
          </w:rPr>
          <w:tab/>
        </w:r>
        <w:r w:rsidR="00666B31" w:rsidRPr="004D7AB9">
          <w:rPr>
            <w:rStyle w:val="Hypertextovodkaz"/>
            <w:noProof/>
          </w:rPr>
          <w:t>Vývoj výdajů</w:t>
        </w:r>
        <w:r w:rsidR="00666B31">
          <w:rPr>
            <w:noProof/>
            <w:webHidden/>
          </w:rPr>
          <w:tab/>
        </w:r>
        <w:r w:rsidR="00666B31">
          <w:rPr>
            <w:noProof/>
            <w:webHidden/>
          </w:rPr>
          <w:fldChar w:fldCharType="begin"/>
        </w:r>
        <w:r w:rsidR="00666B31">
          <w:rPr>
            <w:noProof/>
            <w:webHidden/>
          </w:rPr>
          <w:instrText xml:space="preserve"> PAGEREF _Toc180650284 \h </w:instrText>
        </w:r>
        <w:r w:rsidR="00666B31">
          <w:rPr>
            <w:noProof/>
            <w:webHidden/>
          </w:rPr>
        </w:r>
        <w:r w:rsidR="00666B31">
          <w:rPr>
            <w:noProof/>
            <w:webHidden/>
          </w:rPr>
          <w:fldChar w:fldCharType="separate"/>
        </w:r>
        <w:r w:rsidR="00666B31">
          <w:rPr>
            <w:noProof/>
            <w:webHidden/>
          </w:rPr>
          <w:t>13</w:t>
        </w:r>
        <w:r w:rsidR="00666B31">
          <w:rPr>
            <w:noProof/>
            <w:webHidden/>
          </w:rPr>
          <w:fldChar w:fldCharType="end"/>
        </w:r>
      </w:hyperlink>
    </w:p>
    <w:p w14:paraId="6BEA8A3F" w14:textId="4C31FDE6" w:rsidR="00666B31" w:rsidRDefault="002D4454">
      <w:pPr>
        <w:pStyle w:val="Seznamobrzk"/>
        <w:rPr>
          <w:noProof/>
          <w:szCs w:val="22"/>
          <w:lang w:eastAsia="cs-CZ"/>
        </w:rPr>
      </w:pPr>
      <w:hyperlink w:anchor="_Toc180650285" w:history="1">
        <w:r w:rsidR="00666B31" w:rsidRPr="004D7AB9">
          <w:rPr>
            <w:rStyle w:val="Hypertextovodkaz"/>
            <w:noProof/>
          </w:rPr>
          <w:t>Graf č. 8:</w:t>
        </w:r>
        <w:r w:rsidR="00666B31">
          <w:rPr>
            <w:noProof/>
            <w:szCs w:val="22"/>
            <w:lang w:eastAsia="cs-CZ"/>
          </w:rPr>
          <w:tab/>
        </w:r>
        <w:r w:rsidR="00666B31" w:rsidRPr="004D7AB9">
          <w:rPr>
            <w:rStyle w:val="Hypertextovodkaz"/>
            <w:noProof/>
          </w:rPr>
          <w:t>Vývoj běžných výdajů</w:t>
        </w:r>
        <w:r w:rsidR="00666B31">
          <w:rPr>
            <w:noProof/>
            <w:webHidden/>
          </w:rPr>
          <w:tab/>
        </w:r>
        <w:r w:rsidR="00666B31">
          <w:rPr>
            <w:noProof/>
            <w:webHidden/>
          </w:rPr>
          <w:fldChar w:fldCharType="begin"/>
        </w:r>
        <w:r w:rsidR="00666B31">
          <w:rPr>
            <w:noProof/>
            <w:webHidden/>
          </w:rPr>
          <w:instrText xml:space="preserve"> PAGEREF _Toc180650285 \h </w:instrText>
        </w:r>
        <w:r w:rsidR="00666B31">
          <w:rPr>
            <w:noProof/>
            <w:webHidden/>
          </w:rPr>
        </w:r>
        <w:r w:rsidR="00666B31">
          <w:rPr>
            <w:noProof/>
            <w:webHidden/>
          </w:rPr>
          <w:fldChar w:fldCharType="separate"/>
        </w:r>
        <w:r w:rsidR="00666B31">
          <w:rPr>
            <w:noProof/>
            <w:webHidden/>
          </w:rPr>
          <w:t>13</w:t>
        </w:r>
        <w:r w:rsidR="00666B31">
          <w:rPr>
            <w:noProof/>
            <w:webHidden/>
          </w:rPr>
          <w:fldChar w:fldCharType="end"/>
        </w:r>
      </w:hyperlink>
    </w:p>
    <w:p w14:paraId="1FC677D1" w14:textId="4E18814D" w:rsidR="00666B31" w:rsidRDefault="002D4454">
      <w:pPr>
        <w:pStyle w:val="Seznamobrzk"/>
        <w:rPr>
          <w:noProof/>
          <w:szCs w:val="22"/>
          <w:lang w:eastAsia="cs-CZ"/>
        </w:rPr>
      </w:pPr>
      <w:hyperlink w:anchor="_Toc180650286" w:history="1">
        <w:r w:rsidR="00666B31" w:rsidRPr="004D7AB9">
          <w:rPr>
            <w:rStyle w:val="Hypertextovodkaz"/>
            <w:noProof/>
          </w:rPr>
          <w:t>Graf č. 9:</w:t>
        </w:r>
        <w:r w:rsidR="00666B31">
          <w:rPr>
            <w:noProof/>
            <w:szCs w:val="22"/>
            <w:lang w:eastAsia="cs-CZ"/>
          </w:rPr>
          <w:tab/>
        </w:r>
        <w:r w:rsidR="00666B31" w:rsidRPr="004D7AB9">
          <w:rPr>
            <w:rStyle w:val="Hypertextovodkaz"/>
            <w:noProof/>
          </w:rPr>
          <w:t>Vývoj nejvýznamnějších výdajových položek</w:t>
        </w:r>
        <w:r w:rsidR="00666B31">
          <w:rPr>
            <w:noProof/>
            <w:webHidden/>
          </w:rPr>
          <w:tab/>
        </w:r>
        <w:r w:rsidR="00666B31">
          <w:rPr>
            <w:noProof/>
            <w:webHidden/>
          </w:rPr>
          <w:fldChar w:fldCharType="begin"/>
        </w:r>
        <w:r w:rsidR="00666B31">
          <w:rPr>
            <w:noProof/>
            <w:webHidden/>
          </w:rPr>
          <w:instrText xml:space="preserve"> PAGEREF _Toc180650286 \h </w:instrText>
        </w:r>
        <w:r w:rsidR="00666B31">
          <w:rPr>
            <w:noProof/>
            <w:webHidden/>
          </w:rPr>
        </w:r>
        <w:r w:rsidR="00666B31">
          <w:rPr>
            <w:noProof/>
            <w:webHidden/>
          </w:rPr>
          <w:fldChar w:fldCharType="separate"/>
        </w:r>
        <w:r w:rsidR="00666B31">
          <w:rPr>
            <w:noProof/>
            <w:webHidden/>
          </w:rPr>
          <w:t>14</w:t>
        </w:r>
        <w:r w:rsidR="00666B31">
          <w:rPr>
            <w:noProof/>
            <w:webHidden/>
          </w:rPr>
          <w:fldChar w:fldCharType="end"/>
        </w:r>
      </w:hyperlink>
    </w:p>
    <w:p w14:paraId="1BEF5A2E" w14:textId="6C0055C5" w:rsidR="00666B31" w:rsidRDefault="002D4454">
      <w:pPr>
        <w:pStyle w:val="Seznamobrzk"/>
        <w:rPr>
          <w:noProof/>
          <w:szCs w:val="22"/>
          <w:lang w:eastAsia="cs-CZ"/>
        </w:rPr>
      </w:pPr>
      <w:hyperlink w:anchor="_Toc180650287" w:history="1">
        <w:r w:rsidR="00666B31" w:rsidRPr="004D7AB9">
          <w:rPr>
            <w:rStyle w:val="Hypertextovodkaz"/>
            <w:noProof/>
          </w:rPr>
          <w:t>Graf č. 10:</w:t>
        </w:r>
        <w:r w:rsidR="00666B31">
          <w:rPr>
            <w:noProof/>
            <w:szCs w:val="22"/>
            <w:lang w:eastAsia="cs-CZ"/>
          </w:rPr>
          <w:tab/>
        </w:r>
        <w:r w:rsidR="00666B31" w:rsidRPr="004D7AB9">
          <w:rPr>
            <w:rStyle w:val="Hypertextovodkaz"/>
            <w:noProof/>
          </w:rPr>
          <w:t>Krytí kapitálových výdajů investičními příjmy</w:t>
        </w:r>
        <w:r w:rsidR="00666B31">
          <w:rPr>
            <w:noProof/>
            <w:webHidden/>
          </w:rPr>
          <w:tab/>
        </w:r>
        <w:r w:rsidR="00666B31">
          <w:rPr>
            <w:noProof/>
            <w:webHidden/>
          </w:rPr>
          <w:fldChar w:fldCharType="begin"/>
        </w:r>
        <w:r w:rsidR="00666B31">
          <w:rPr>
            <w:noProof/>
            <w:webHidden/>
          </w:rPr>
          <w:instrText xml:space="preserve"> PAGEREF _Toc180650287 \h </w:instrText>
        </w:r>
        <w:r w:rsidR="00666B31">
          <w:rPr>
            <w:noProof/>
            <w:webHidden/>
          </w:rPr>
        </w:r>
        <w:r w:rsidR="00666B31">
          <w:rPr>
            <w:noProof/>
            <w:webHidden/>
          </w:rPr>
          <w:fldChar w:fldCharType="separate"/>
        </w:r>
        <w:r w:rsidR="00666B31">
          <w:rPr>
            <w:noProof/>
            <w:webHidden/>
          </w:rPr>
          <w:t>14</w:t>
        </w:r>
        <w:r w:rsidR="00666B31">
          <w:rPr>
            <w:noProof/>
            <w:webHidden/>
          </w:rPr>
          <w:fldChar w:fldCharType="end"/>
        </w:r>
      </w:hyperlink>
    </w:p>
    <w:p w14:paraId="4863549A" w14:textId="2625108A" w:rsidR="00666B31" w:rsidRDefault="002D4454">
      <w:pPr>
        <w:pStyle w:val="Seznamobrzk"/>
        <w:rPr>
          <w:noProof/>
          <w:szCs w:val="22"/>
          <w:lang w:eastAsia="cs-CZ"/>
        </w:rPr>
      </w:pPr>
      <w:hyperlink w:anchor="_Toc180650288" w:history="1">
        <w:r w:rsidR="00666B31" w:rsidRPr="004D7AB9">
          <w:rPr>
            <w:rStyle w:val="Hypertextovodkaz"/>
            <w:noProof/>
          </w:rPr>
          <w:t>Graf č. 11:</w:t>
        </w:r>
        <w:r w:rsidR="00666B31">
          <w:rPr>
            <w:noProof/>
            <w:szCs w:val="22"/>
            <w:lang w:eastAsia="cs-CZ"/>
          </w:rPr>
          <w:tab/>
        </w:r>
        <w:r w:rsidR="00666B31" w:rsidRPr="004D7AB9">
          <w:rPr>
            <w:rStyle w:val="Hypertextovodkaz"/>
            <w:noProof/>
          </w:rPr>
          <w:t>Krytí kapitálových výdajů minulého období</w:t>
        </w:r>
        <w:r w:rsidR="00666B31">
          <w:rPr>
            <w:noProof/>
            <w:webHidden/>
          </w:rPr>
          <w:tab/>
        </w:r>
        <w:r w:rsidR="00666B31">
          <w:rPr>
            <w:noProof/>
            <w:webHidden/>
          </w:rPr>
          <w:fldChar w:fldCharType="begin"/>
        </w:r>
        <w:r w:rsidR="00666B31">
          <w:rPr>
            <w:noProof/>
            <w:webHidden/>
          </w:rPr>
          <w:instrText xml:space="preserve"> PAGEREF _Toc180650288 \h </w:instrText>
        </w:r>
        <w:r w:rsidR="00666B31">
          <w:rPr>
            <w:noProof/>
            <w:webHidden/>
          </w:rPr>
        </w:r>
        <w:r w:rsidR="00666B31">
          <w:rPr>
            <w:noProof/>
            <w:webHidden/>
          </w:rPr>
          <w:fldChar w:fldCharType="separate"/>
        </w:r>
        <w:r w:rsidR="00666B31">
          <w:rPr>
            <w:noProof/>
            <w:webHidden/>
          </w:rPr>
          <w:t>15</w:t>
        </w:r>
        <w:r w:rsidR="00666B31">
          <w:rPr>
            <w:noProof/>
            <w:webHidden/>
          </w:rPr>
          <w:fldChar w:fldCharType="end"/>
        </w:r>
      </w:hyperlink>
    </w:p>
    <w:p w14:paraId="25B17323" w14:textId="67113613" w:rsidR="00666B31" w:rsidRDefault="002D4454">
      <w:pPr>
        <w:pStyle w:val="Seznamobrzk"/>
        <w:rPr>
          <w:noProof/>
          <w:szCs w:val="22"/>
          <w:lang w:eastAsia="cs-CZ"/>
        </w:rPr>
      </w:pPr>
      <w:hyperlink w:anchor="_Toc180650289" w:history="1">
        <w:r w:rsidR="00666B31" w:rsidRPr="004D7AB9">
          <w:rPr>
            <w:rStyle w:val="Hypertextovodkaz"/>
            <w:noProof/>
          </w:rPr>
          <w:t>Graf č. 12:</w:t>
        </w:r>
        <w:r w:rsidR="00666B31">
          <w:rPr>
            <w:noProof/>
            <w:szCs w:val="22"/>
            <w:lang w:eastAsia="cs-CZ"/>
          </w:rPr>
          <w:tab/>
        </w:r>
        <w:r w:rsidR="00666B31" w:rsidRPr="004D7AB9">
          <w:rPr>
            <w:rStyle w:val="Hypertextovodkaz"/>
            <w:noProof/>
          </w:rPr>
          <w:t>Vývoj příjmů, výdajů a salda hospodaření</w:t>
        </w:r>
        <w:r w:rsidR="00666B31">
          <w:rPr>
            <w:noProof/>
            <w:webHidden/>
          </w:rPr>
          <w:tab/>
        </w:r>
        <w:r w:rsidR="00666B31">
          <w:rPr>
            <w:noProof/>
            <w:webHidden/>
          </w:rPr>
          <w:fldChar w:fldCharType="begin"/>
        </w:r>
        <w:r w:rsidR="00666B31">
          <w:rPr>
            <w:noProof/>
            <w:webHidden/>
          </w:rPr>
          <w:instrText xml:space="preserve"> PAGEREF _Toc180650289 \h </w:instrText>
        </w:r>
        <w:r w:rsidR="00666B31">
          <w:rPr>
            <w:noProof/>
            <w:webHidden/>
          </w:rPr>
        </w:r>
        <w:r w:rsidR="00666B31">
          <w:rPr>
            <w:noProof/>
            <w:webHidden/>
          </w:rPr>
          <w:fldChar w:fldCharType="separate"/>
        </w:r>
        <w:r w:rsidR="00666B31">
          <w:rPr>
            <w:noProof/>
            <w:webHidden/>
          </w:rPr>
          <w:t>16</w:t>
        </w:r>
        <w:r w:rsidR="00666B31">
          <w:rPr>
            <w:noProof/>
            <w:webHidden/>
          </w:rPr>
          <w:fldChar w:fldCharType="end"/>
        </w:r>
      </w:hyperlink>
    </w:p>
    <w:p w14:paraId="239ABB5E" w14:textId="4C369FD9" w:rsidR="00666B31" w:rsidRDefault="002D4454">
      <w:pPr>
        <w:pStyle w:val="Seznamobrzk"/>
        <w:rPr>
          <w:noProof/>
          <w:szCs w:val="22"/>
          <w:lang w:eastAsia="cs-CZ"/>
        </w:rPr>
      </w:pPr>
      <w:hyperlink w:anchor="_Toc180650290" w:history="1">
        <w:r w:rsidR="00666B31" w:rsidRPr="004D7AB9">
          <w:rPr>
            <w:rStyle w:val="Hypertextovodkaz"/>
            <w:noProof/>
          </w:rPr>
          <w:t>Graf č. 13:</w:t>
        </w:r>
        <w:r w:rsidR="00666B31">
          <w:rPr>
            <w:noProof/>
            <w:szCs w:val="22"/>
            <w:lang w:eastAsia="cs-CZ"/>
          </w:rPr>
          <w:tab/>
        </w:r>
        <w:r w:rsidR="00666B31" w:rsidRPr="004D7AB9">
          <w:rPr>
            <w:rStyle w:val="Hypertextovodkaz"/>
            <w:noProof/>
          </w:rPr>
          <w:t>Vývoj běžných příjmů, výdajů a provozního přebytku</w:t>
        </w:r>
        <w:r w:rsidR="00666B31">
          <w:rPr>
            <w:noProof/>
            <w:webHidden/>
          </w:rPr>
          <w:tab/>
        </w:r>
        <w:r w:rsidR="00666B31">
          <w:rPr>
            <w:noProof/>
            <w:webHidden/>
          </w:rPr>
          <w:fldChar w:fldCharType="begin"/>
        </w:r>
        <w:r w:rsidR="00666B31">
          <w:rPr>
            <w:noProof/>
            <w:webHidden/>
          </w:rPr>
          <w:instrText xml:space="preserve"> PAGEREF _Toc180650290 \h </w:instrText>
        </w:r>
        <w:r w:rsidR="00666B31">
          <w:rPr>
            <w:noProof/>
            <w:webHidden/>
          </w:rPr>
        </w:r>
        <w:r w:rsidR="00666B31">
          <w:rPr>
            <w:noProof/>
            <w:webHidden/>
          </w:rPr>
          <w:fldChar w:fldCharType="separate"/>
        </w:r>
        <w:r w:rsidR="00666B31">
          <w:rPr>
            <w:noProof/>
            <w:webHidden/>
          </w:rPr>
          <w:t>16</w:t>
        </w:r>
        <w:r w:rsidR="00666B31">
          <w:rPr>
            <w:noProof/>
            <w:webHidden/>
          </w:rPr>
          <w:fldChar w:fldCharType="end"/>
        </w:r>
      </w:hyperlink>
    </w:p>
    <w:p w14:paraId="0212BABA" w14:textId="69D52F8A" w:rsidR="00666B31" w:rsidRDefault="002D4454">
      <w:pPr>
        <w:pStyle w:val="Seznamobrzk"/>
        <w:rPr>
          <w:noProof/>
          <w:szCs w:val="22"/>
          <w:lang w:eastAsia="cs-CZ"/>
        </w:rPr>
      </w:pPr>
      <w:hyperlink w:anchor="_Toc180650291" w:history="1">
        <w:r w:rsidR="00666B31" w:rsidRPr="004D7AB9">
          <w:rPr>
            <w:rStyle w:val="Hypertextovodkaz"/>
            <w:noProof/>
          </w:rPr>
          <w:t>Graf č. 14:</w:t>
        </w:r>
        <w:r w:rsidR="00666B31">
          <w:rPr>
            <w:noProof/>
            <w:szCs w:val="22"/>
            <w:lang w:eastAsia="cs-CZ"/>
          </w:rPr>
          <w:tab/>
        </w:r>
        <w:r w:rsidR="00666B31" w:rsidRPr="004D7AB9">
          <w:rPr>
            <w:rStyle w:val="Hypertextovodkaz"/>
            <w:noProof/>
          </w:rPr>
          <w:t>Vývoj provozních ukazatelů</w:t>
        </w:r>
        <w:r w:rsidR="00666B31">
          <w:rPr>
            <w:noProof/>
            <w:webHidden/>
          </w:rPr>
          <w:tab/>
        </w:r>
        <w:r w:rsidR="00666B31">
          <w:rPr>
            <w:noProof/>
            <w:webHidden/>
          </w:rPr>
          <w:fldChar w:fldCharType="begin"/>
        </w:r>
        <w:r w:rsidR="00666B31">
          <w:rPr>
            <w:noProof/>
            <w:webHidden/>
          </w:rPr>
          <w:instrText xml:space="preserve"> PAGEREF _Toc180650291 \h </w:instrText>
        </w:r>
        <w:r w:rsidR="00666B31">
          <w:rPr>
            <w:noProof/>
            <w:webHidden/>
          </w:rPr>
        </w:r>
        <w:r w:rsidR="00666B31">
          <w:rPr>
            <w:noProof/>
            <w:webHidden/>
          </w:rPr>
          <w:fldChar w:fldCharType="separate"/>
        </w:r>
        <w:r w:rsidR="00666B31">
          <w:rPr>
            <w:noProof/>
            <w:webHidden/>
          </w:rPr>
          <w:t>17</w:t>
        </w:r>
        <w:r w:rsidR="00666B31">
          <w:rPr>
            <w:noProof/>
            <w:webHidden/>
          </w:rPr>
          <w:fldChar w:fldCharType="end"/>
        </w:r>
      </w:hyperlink>
    </w:p>
    <w:p w14:paraId="2392202E" w14:textId="3C44EDA3" w:rsidR="00666B31" w:rsidRDefault="002D4454">
      <w:pPr>
        <w:pStyle w:val="Seznamobrzk"/>
        <w:rPr>
          <w:noProof/>
          <w:szCs w:val="22"/>
          <w:lang w:eastAsia="cs-CZ"/>
        </w:rPr>
      </w:pPr>
      <w:hyperlink w:anchor="_Toc180650292" w:history="1">
        <w:r w:rsidR="00666B31" w:rsidRPr="004D7AB9">
          <w:rPr>
            <w:rStyle w:val="Hypertextovodkaz"/>
            <w:noProof/>
          </w:rPr>
          <w:t>Graf č. 15:</w:t>
        </w:r>
        <w:r w:rsidR="00666B31">
          <w:rPr>
            <w:noProof/>
            <w:szCs w:val="22"/>
            <w:lang w:eastAsia="cs-CZ"/>
          </w:rPr>
          <w:tab/>
        </w:r>
        <w:r w:rsidR="00666B31" w:rsidRPr="004D7AB9">
          <w:rPr>
            <w:rStyle w:val="Hypertextovodkaz"/>
            <w:noProof/>
          </w:rPr>
          <w:t>Porovnání rozpočtu a skutečnosti minulého období (provozní)</w:t>
        </w:r>
        <w:r w:rsidR="00666B31">
          <w:rPr>
            <w:noProof/>
            <w:webHidden/>
          </w:rPr>
          <w:tab/>
        </w:r>
        <w:r w:rsidR="00666B31">
          <w:rPr>
            <w:noProof/>
            <w:webHidden/>
          </w:rPr>
          <w:fldChar w:fldCharType="begin"/>
        </w:r>
        <w:r w:rsidR="00666B31">
          <w:rPr>
            <w:noProof/>
            <w:webHidden/>
          </w:rPr>
          <w:instrText xml:space="preserve"> PAGEREF _Toc180650292 \h </w:instrText>
        </w:r>
        <w:r w:rsidR="00666B31">
          <w:rPr>
            <w:noProof/>
            <w:webHidden/>
          </w:rPr>
        </w:r>
        <w:r w:rsidR="00666B31">
          <w:rPr>
            <w:noProof/>
            <w:webHidden/>
          </w:rPr>
          <w:fldChar w:fldCharType="separate"/>
        </w:r>
        <w:r w:rsidR="00666B31">
          <w:rPr>
            <w:noProof/>
            <w:webHidden/>
          </w:rPr>
          <w:t>18</w:t>
        </w:r>
        <w:r w:rsidR="00666B31">
          <w:rPr>
            <w:noProof/>
            <w:webHidden/>
          </w:rPr>
          <w:fldChar w:fldCharType="end"/>
        </w:r>
      </w:hyperlink>
    </w:p>
    <w:p w14:paraId="37E93771" w14:textId="288BFB28" w:rsidR="00666B31" w:rsidRDefault="002D4454">
      <w:pPr>
        <w:pStyle w:val="Seznamobrzk"/>
        <w:rPr>
          <w:noProof/>
          <w:szCs w:val="22"/>
          <w:lang w:eastAsia="cs-CZ"/>
        </w:rPr>
      </w:pPr>
      <w:hyperlink w:anchor="_Toc180650293" w:history="1">
        <w:r w:rsidR="00666B31" w:rsidRPr="004D7AB9">
          <w:rPr>
            <w:rStyle w:val="Hypertextovodkaz"/>
            <w:noProof/>
          </w:rPr>
          <w:t>Graf č. 16:</w:t>
        </w:r>
        <w:r w:rsidR="00666B31">
          <w:rPr>
            <w:noProof/>
            <w:szCs w:val="22"/>
            <w:lang w:eastAsia="cs-CZ"/>
          </w:rPr>
          <w:tab/>
        </w:r>
        <w:r w:rsidR="00666B31" w:rsidRPr="004D7AB9">
          <w:rPr>
            <w:rStyle w:val="Hypertextovodkaz"/>
            <w:noProof/>
          </w:rPr>
          <w:t>Hodnocení vybraných ukazatelů</w:t>
        </w:r>
        <w:r w:rsidR="00666B31">
          <w:rPr>
            <w:noProof/>
            <w:webHidden/>
          </w:rPr>
          <w:tab/>
        </w:r>
        <w:r w:rsidR="00666B31">
          <w:rPr>
            <w:noProof/>
            <w:webHidden/>
          </w:rPr>
          <w:fldChar w:fldCharType="begin"/>
        </w:r>
        <w:r w:rsidR="00666B31">
          <w:rPr>
            <w:noProof/>
            <w:webHidden/>
          </w:rPr>
          <w:instrText xml:space="preserve"> PAGEREF _Toc180650293 \h </w:instrText>
        </w:r>
        <w:r w:rsidR="00666B31">
          <w:rPr>
            <w:noProof/>
            <w:webHidden/>
          </w:rPr>
        </w:r>
        <w:r w:rsidR="00666B31">
          <w:rPr>
            <w:noProof/>
            <w:webHidden/>
          </w:rPr>
          <w:fldChar w:fldCharType="separate"/>
        </w:r>
        <w:r w:rsidR="00666B31">
          <w:rPr>
            <w:noProof/>
            <w:webHidden/>
          </w:rPr>
          <w:t>19</w:t>
        </w:r>
        <w:r w:rsidR="00666B31">
          <w:rPr>
            <w:noProof/>
            <w:webHidden/>
          </w:rPr>
          <w:fldChar w:fldCharType="end"/>
        </w:r>
      </w:hyperlink>
    </w:p>
    <w:p w14:paraId="0900B369" w14:textId="24E82A8C" w:rsidR="00666B31" w:rsidRDefault="002D4454">
      <w:pPr>
        <w:pStyle w:val="Seznamobrzk"/>
        <w:rPr>
          <w:noProof/>
          <w:szCs w:val="22"/>
          <w:lang w:eastAsia="cs-CZ"/>
        </w:rPr>
      </w:pPr>
      <w:hyperlink w:anchor="_Toc180650294" w:history="1">
        <w:r w:rsidR="00666B31" w:rsidRPr="004D7AB9">
          <w:rPr>
            <w:rStyle w:val="Hypertextovodkaz"/>
            <w:noProof/>
          </w:rPr>
          <w:t>Graf č. 17:</w:t>
        </w:r>
        <w:r w:rsidR="00666B31">
          <w:rPr>
            <w:noProof/>
            <w:szCs w:val="22"/>
            <w:lang w:eastAsia="cs-CZ"/>
          </w:rPr>
          <w:tab/>
        </w:r>
        <w:r w:rsidR="00666B31" w:rsidRPr="004D7AB9">
          <w:rPr>
            <w:rStyle w:val="Hypertextovodkaz"/>
            <w:noProof/>
          </w:rPr>
          <w:t>Průměrné měsíční cash flow</w:t>
        </w:r>
        <w:r w:rsidR="00666B31">
          <w:rPr>
            <w:noProof/>
            <w:webHidden/>
          </w:rPr>
          <w:tab/>
        </w:r>
        <w:r w:rsidR="00666B31">
          <w:rPr>
            <w:noProof/>
            <w:webHidden/>
          </w:rPr>
          <w:fldChar w:fldCharType="begin"/>
        </w:r>
        <w:r w:rsidR="00666B31">
          <w:rPr>
            <w:noProof/>
            <w:webHidden/>
          </w:rPr>
          <w:instrText xml:space="preserve"> PAGEREF _Toc180650294 \h </w:instrText>
        </w:r>
        <w:r w:rsidR="00666B31">
          <w:rPr>
            <w:noProof/>
            <w:webHidden/>
          </w:rPr>
        </w:r>
        <w:r w:rsidR="00666B31">
          <w:rPr>
            <w:noProof/>
            <w:webHidden/>
          </w:rPr>
          <w:fldChar w:fldCharType="separate"/>
        </w:r>
        <w:r w:rsidR="00666B31">
          <w:rPr>
            <w:noProof/>
            <w:webHidden/>
          </w:rPr>
          <w:t>22</w:t>
        </w:r>
        <w:r w:rsidR="00666B31">
          <w:rPr>
            <w:noProof/>
            <w:webHidden/>
          </w:rPr>
          <w:fldChar w:fldCharType="end"/>
        </w:r>
      </w:hyperlink>
    </w:p>
    <w:p w14:paraId="7AEF6FF3" w14:textId="0EDA6923" w:rsidR="00666B31" w:rsidRDefault="002D4454">
      <w:pPr>
        <w:pStyle w:val="Seznamobrzk"/>
        <w:rPr>
          <w:noProof/>
          <w:szCs w:val="22"/>
          <w:lang w:eastAsia="cs-CZ"/>
        </w:rPr>
      </w:pPr>
      <w:hyperlink w:anchor="_Toc180650295" w:history="1">
        <w:r w:rsidR="00666B31" w:rsidRPr="004D7AB9">
          <w:rPr>
            <w:rStyle w:val="Hypertextovodkaz"/>
            <w:noProof/>
          </w:rPr>
          <w:t>Graf č. 18:</w:t>
        </w:r>
        <w:r w:rsidR="00666B31">
          <w:rPr>
            <w:noProof/>
            <w:szCs w:val="22"/>
            <w:lang w:eastAsia="cs-CZ"/>
          </w:rPr>
          <w:tab/>
        </w:r>
        <w:r w:rsidR="00666B31" w:rsidRPr="004D7AB9">
          <w:rPr>
            <w:rStyle w:val="Hypertextovodkaz"/>
            <w:noProof/>
          </w:rPr>
          <w:t>Vývoj cash flow</w:t>
        </w:r>
        <w:r w:rsidR="00666B31">
          <w:rPr>
            <w:noProof/>
            <w:webHidden/>
          </w:rPr>
          <w:tab/>
        </w:r>
        <w:r w:rsidR="00666B31">
          <w:rPr>
            <w:noProof/>
            <w:webHidden/>
          </w:rPr>
          <w:fldChar w:fldCharType="begin"/>
        </w:r>
        <w:r w:rsidR="00666B31">
          <w:rPr>
            <w:noProof/>
            <w:webHidden/>
          </w:rPr>
          <w:instrText xml:space="preserve"> PAGEREF _Toc180650295 \h </w:instrText>
        </w:r>
        <w:r w:rsidR="00666B31">
          <w:rPr>
            <w:noProof/>
            <w:webHidden/>
          </w:rPr>
        </w:r>
        <w:r w:rsidR="00666B31">
          <w:rPr>
            <w:noProof/>
            <w:webHidden/>
          </w:rPr>
          <w:fldChar w:fldCharType="separate"/>
        </w:r>
        <w:r w:rsidR="00666B31">
          <w:rPr>
            <w:noProof/>
            <w:webHidden/>
          </w:rPr>
          <w:t>22</w:t>
        </w:r>
        <w:r w:rsidR="00666B31">
          <w:rPr>
            <w:noProof/>
            <w:webHidden/>
          </w:rPr>
          <w:fldChar w:fldCharType="end"/>
        </w:r>
      </w:hyperlink>
    </w:p>
    <w:p w14:paraId="4EA6AEF1" w14:textId="1032D0F5" w:rsidR="00666B31" w:rsidRDefault="002D4454">
      <w:pPr>
        <w:pStyle w:val="Seznamobrzk"/>
        <w:rPr>
          <w:noProof/>
          <w:szCs w:val="22"/>
          <w:lang w:eastAsia="cs-CZ"/>
        </w:rPr>
      </w:pPr>
      <w:hyperlink w:anchor="_Toc180650296" w:history="1">
        <w:r w:rsidR="00666B31" w:rsidRPr="004D7AB9">
          <w:rPr>
            <w:rStyle w:val="Hypertextovodkaz"/>
            <w:noProof/>
          </w:rPr>
          <w:t>Graf č. 19:</w:t>
        </w:r>
        <w:r w:rsidR="00666B31">
          <w:rPr>
            <w:noProof/>
            <w:szCs w:val="22"/>
            <w:lang w:eastAsia="cs-CZ"/>
          </w:rPr>
          <w:tab/>
        </w:r>
        <w:r w:rsidR="00666B31" w:rsidRPr="004D7AB9">
          <w:rPr>
            <w:rStyle w:val="Hypertextovodkaz"/>
            <w:noProof/>
          </w:rPr>
          <w:t>Vývoj počtu obyvatel a počtu žáků</w:t>
        </w:r>
        <w:r w:rsidR="00666B31">
          <w:rPr>
            <w:noProof/>
            <w:webHidden/>
          </w:rPr>
          <w:tab/>
        </w:r>
        <w:r w:rsidR="00666B31">
          <w:rPr>
            <w:noProof/>
            <w:webHidden/>
          </w:rPr>
          <w:fldChar w:fldCharType="begin"/>
        </w:r>
        <w:r w:rsidR="00666B31">
          <w:rPr>
            <w:noProof/>
            <w:webHidden/>
          </w:rPr>
          <w:instrText xml:space="preserve"> PAGEREF _Toc180650296 \h </w:instrText>
        </w:r>
        <w:r w:rsidR="00666B31">
          <w:rPr>
            <w:noProof/>
            <w:webHidden/>
          </w:rPr>
        </w:r>
        <w:r w:rsidR="00666B31">
          <w:rPr>
            <w:noProof/>
            <w:webHidden/>
          </w:rPr>
          <w:fldChar w:fldCharType="separate"/>
        </w:r>
        <w:r w:rsidR="00666B31">
          <w:rPr>
            <w:noProof/>
            <w:webHidden/>
          </w:rPr>
          <w:t>23</w:t>
        </w:r>
        <w:r w:rsidR="00666B31">
          <w:rPr>
            <w:noProof/>
            <w:webHidden/>
          </w:rPr>
          <w:fldChar w:fldCharType="end"/>
        </w:r>
      </w:hyperlink>
    </w:p>
    <w:p w14:paraId="6B924284" w14:textId="2E776349" w:rsidR="00666B31" w:rsidRDefault="002D4454">
      <w:pPr>
        <w:pStyle w:val="Seznamobrzk"/>
        <w:rPr>
          <w:noProof/>
          <w:szCs w:val="22"/>
          <w:lang w:eastAsia="cs-CZ"/>
        </w:rPr>
      </w:pPr>
      <w:hyperlink w:anchor="_Toc180650297" w:history="1">
        <w:r w:rsidR="00666B31" w:rsidRPr="004D7AB9">
          <w:rPr>
            <w:rStyle w:val="Hypertextovodkaz"/>
            <w:noProof/>
          </w:rPr>
          <w:t>Graf č. 20:</w:t>
        </w:r>
        <w:r w:rsidR="00666B31">
          <w:rPr>
            <w:noProof/>
            <w:szCs w:val="22"/>
            <w:lang w:eastAsia="cs-CZ"/>
          </w:rPr>
          <w:tab/>
        </w:r>
        <w:r w:rsidR="00666B31" w:rsidRPr="004D7AB9">
          <w:rPr>
            <w:rStyle w:val="Hypertextovodkaz"/>
            <w:noProof/>
          </w:rPr>
          <w:t>Saldo provozního a kapitálového rozpočtu</w:t>
        </w:r>
        <w:r w:rsidR="00666B31">
          <w:rPr>
            <w:noProof/>
            <w:webHidden/>
          </w:rPr>
          <w:tab/>
        </w:r>
        <w:r w:rsidR="00666B31">
          <w:rPr>
            <w:noProof/>
            <w:webHidden/>
          </w:rPr>
          <w:fldChar w:fldCharType="begin"/>
        </w:r>
        <w:r w:rsidR="00666B31">
          <w:rPr>
            <w:noProof/>
            <w:webHidden/>
          </w:rPr>
          <w:instrText xml:space="preserve"> PAGEREF _Toc180650297 \h </w:instrText>
        </w:r>
        <w:r w:rsidR="00666B31">
          <w:rPr>
            <w:noProof/>
            <w:webHidden/>
          </w:rPr>
        </w:r>
        <w:r w:rsidR="00666B31">
          <w:rPr>
            <w:noProof/>
            <w:webHidden/>
          </w:rPr>
          <w:fldChar w:fldCharType="separate"/>
        </w:r>
        <w:r w:rsidR="00666B31">
          <w:rPr>
            <w:noProof/>
            <w:webHidden/>
          </w:rPr>
          <w:t>24</w:t>
        </w:r>
        <w:r w:rsidR="00666B31">
          <w:rPr>
            <w:noProof/>
            <w:webHidden/>
          </w:rPr>
          <w:fldChar w:fldCharType="end"/>
        </w:r>
      </w:hyperlink>
    </w:p>
    <w:p w14:paraId="650EC287" w14:textId="26DF162A" w:rsidR="00666B31" w:rsidRDefault="002D4454">
      <w:pPr>
        <w:pStyle w:val="Seznamobrzk"/>
        <w:rPr>
          <w:noProof/>
          <w:szCs w:val="22"/>
          <w:lang w:eastAsia="cs-CZ"/>
        </w:rPr>
      </w:pPr>
      <w:hyperlink w:anchor="_Toc180650298" w:history="1">
        <w:r w:rsidR="00666B31" w:rsidRPr="004D7AB9">
          <w:rPr>
            <w:rStyle w:val="Hypertextovodkaz"/>
            <w:noProof/>
          </w:rPr>
          <w:t>Graf č. 21:</w:t>
        </w:r>
        <w:r w:rsidR="00666B31">
          <w:rPr>
            <w:noProof/>
            <w:szCs w:val="22"/>
            <w:lang w:eastAsia="cs-CZ"/>
          </w:rPr>
          <w:tab/>
        </w:r>
        <w:r w:rsidR="00666B31" w:rsidRPr="004D7AB9">
          <w:rPr>
            <w:rStyle w:val="Hypertextovodkaz"/>
            <w:noProof/>
          </w:rPr>
          <w:t>Vývoj sdílených daní</w:t>
        </w:r>
        <w:r w:rsidR="00666B31">
          <w:rPr>
            <w:noProof/>
            <w:webHidden/>
          </w:rPr>
          <w:tab/>
        </w:r>
        <w:r w:rsidR="00666B31">
          <w:rPr>
            <w:noProof/>
            <w:webHidden/>
          </w:rPr>
          <w:fldChar w:fldCharType="begin"/>
        </w:r>
        <w:r w:rsidR="00666B31">
          <w:rPr>
            <w:noProof/>
            <w:webHidden/>
          </w:rPr>
          <w:instrText xml:space="preserve"> PAGEREF _Toc180650298 \h </w:instrText>
        </w:r>
        <w:r w:rsidR="00666B31">
          <w:rPr>
            <w:noProof/>
            <w:webHidden/>
          </w:rPr>
        </w:r>
        <w:r w:rsidR="00666B31">
          <w:rPr>
            <w:noProof/>
            <w:webHidden/>
          </w:rPr>
          <w:fldChar w:fldCharType="separate"/>
        </w:r>
        <w:r w:rsidR="00666B31">
          <w:rPr>
            <w:noProof/>
            <w:webHidden/>
          </w:rPr>
          <w:t>26</w:t>
        </w:r>
        <w:r w:rsidR="00666B31">
          <w:rPr>
            <w:noProof/>
            <w:webHidden/>
          </w:rPr>
          <w:fldChar w:fldCharType="end"/>
        </w:r>
      </w:hyperlink>
    </w:p>
    <w:p w14:paraId="0249A990" w14:textId="280D20C9" w:rsidR="00666B31" w:rsidRDefault="002D4454">
      <w:pPr>
        <w:pStyle w:val="Seznamobrzk"/>
        <w:rPr>
          <w:noProof/>
          <w:szCs w:val="22"/>
          <w:lang w:eastAsia="cs-CZ"/>
        </w:rPr>
      </w:pPr>
      <w:hyperlink w:anchor="_Toc180650299" w:history="1">
        <w:r w:rsidR="00666B31" w:rsidRPr="004D7AB9">
          <w:rPr>
            <w:rStyle w:val="Hypertextovodkaz"/>
            <w:noProof/>
          </w:rPr>
          <w:t>Graf č. 22:</w:t>
        </w:r>
        <w:r w:rsidR="00666B31">
          <w:rPr>
            <w:noProof/>
            <w:szCs w:val="22"/>
            <w:lang w:eastAsia="cs-CZ"/>
          </w:rPr>
          <w:tab/>
        </w:r>
        <w:r w:rsidR="00666B31" w:rsidRPr="004D7AB9">
          <w:rPr>
            <w:rStyle w:val="Hypertextovodkaz"/>
            <w:noProof/>
          </w:rPr>
          <w:t>Vývoj běžných příjmů a výdajů</w:t>
        </w:r>
        <w:r w:rsidR="00666B31">
          <w:rPr>
            <w:noProof/>
            <w:webHidden/>
          </w:rPr>
          <w:tab/>
        </w:r>
        <w:r w:rsidR="00666B31">
          <w:rPr>
            <w:noProof/>
            <w:webHidden/>
          </w:rPr>
          <w:fldChar w:fldCharType="begin"/>
        </w:r>
        <w:r w:rsidR="00666B31">
          <w:rPr>
            <w:noProof/>
            <w:webHidden/>
          </w:rPr>
          <w:instrText xml:space="preserve"> PAGEREF _Toc180650299 \h </w:instrText>
        </w:r>
        <w:r w:rsidR="00666B31">
          <w:rPr>
            <w:noProof/>
            <w:webHidden/>
          </w:rPr>
        </w:r>
        <w:r w:rsidR="00666B31">
          <w:rPr>
            <w:noProof/>
            <w:webHidden/>
          </w:rPr>
          <w:fldChar w:fldCharType="separate"/>
        </w:r>
        <w:r w:rsidR="00666B31">
          <w:rPr>
            <w:noProof/>
            <w:webHidden/>
          </w:rPr>
          <w:t>26</w:t>
        </w:r>
        <w:r w:rsidR="00666B31">
          <w:rPr>
            <w:noProof/>
            <w:webHidden/>
          </w:rPr>
          <w:fldChar w:fldCharType="end"/>
        </w:r>
      </w:hyperlink>
    </w:p>
    <w:p w14:paraId="5EFA97BB" w14:textId="0F6AC2B5" w:rsidR="00666B31" w:rsidRDefault="002D4454">
      <w:pPr>
        <w:pStyle w:val="Seznamobrzk"/>
        <w:rPr>
          <w:noProof/>
          <w:szCs w:val="22"/>
          <w:lang w:eastAsia="cs-CZ"/>
        </w:rPr>
      </w:pPr>
      <w:hyperlink w:anchor="_Toc180650300" w:history="1">
        <w:r w:rsidR="00666B31" w:rsidRPr="004D7AB9">
          <w:rPr>
            <w:rStyle w:val="Hypertextovodkaz"/>
            <w:noProof/>
          </w:rPr>
          <w:t>Graf č. 23:</w:t>
        </w:r>
        <w:r w:rsidR="00666B31">
          <w:rPr>
            <w:noProof/>
            <w:szCs w:val="22"/>
            <w:lang w:eastAsia="cs-CZ"/>
          </w:rPr>
          <w:tab/>
        </w:r>
        <w:r w:rsidR="00666B31" w:rsidRPr="004D7AB9">
          <w:rPr>
            <w:rStyle w:val="Hypertextovodkaz"/>
            <w:noProof/>
          </w:rPr>
          <w:t>Vývoj provozního přebytku</w:t>
        </w:r>
        <w:r w:rsidR="00666B31">
          <w:rPr>
            <w:noProof/>
            <w:webHidden/>
          </w:rPr>
          <w:tab/>
        </w:r>
        <w:r w:rsidR="00666B31">
          <w:rPr>
            <w:noProof/>
            <w:webHidden/>
          </w:rPr>
          <w:fldChar w:fldCharType="begin"/>
        </w:r>
        <w:r w:rsidR="00666B31">
          <w:rPr>
            <w:noProof/>
            <w:webHidden/>
          </w:rPr>
          <w:instrText xml:space="preserve"> PAGEREF _Toc180650300 \h </w:instrText>
        </w:r>
        <w:r w:rsidR="00666B31">
          <w:rPr>
            <w:noProof/>
            <w:webHidden/>
          </w:rPr>
        </w:r>
        <w:r w:rsidR="00666B31">
          <w:rPr>
            <w:noProof/>
            <w:webHidden/>
          </w:rPr>
          <w:fldChar w:fldCharType="separate"/>
        </w:r>
        <w:r w:rsidR="00666B31">
          <w:rPr>
            <w:noProof/>
            <w:webHidden/>
          </w:rPr>
          <w:t>27</w:t>
        </w:r>
        <w:r w:rsidR="00666B31">
          <w:rPr>
            <w:noProof/>
            <w:webHidden/>
          </w:rPr>
          <w:fldChar w:fldCharType="end"/>
        </w:r>
      </w:hyperlink>
    </w:p>
    <w:p w14:paraId="4E9BD766" w14:textId="5D6FA6B4" w:rsidR="00666B31" w:rsidRDefault="002D4454">
      <w:pPr>
        <w:pStyle w:val="Seznamobrzk"/>
        <w:rPr>
          <w:noProof/>
          <w:szCs w:val="22"/>
          <w:lang w:eastAsia="cs-CZ"/>
        </w:rPr>
      </w:pPr>
      <w:hyperlink w:anchor="_Toc180650301" w:history="1">
        <w:r w:rsidR="00666B31" w:rsidRPr="004D7AB9">
          <w:rPr>
            <w:rStyle w:val="Hypertextovodkaz"/>
            <w:noProof/>
          </w:rPr>
          <w:t>Graf č. 24:</w:t>
        </w:r>
        <w:r w:rsidR="00666B31">
          <w:rPr>
            <w:noProof/>
            <w:szCs w:val="22"/>
            <w:lang w:eastAsia="cs-CZ"/>
          </w:rPr>
          <w:tab/>
        </w:r>
        <w:r w:rsidR="00666B31" w:rsidRPr="004D7AB9">
          <w:rPr>
            <w:rStyle w:val="Hypertextovodkaz"/>
            <w:noProof/>
          </w:rPr>
          <w:t>Vývoj ukazatele provozních úspor</w:t>
        </w:r>
        <w:r w:rsidR="00666B31">
          <w:rPr>
            <w:noProof/>
            <w:webHidden/>
          </w:rPr>
          <w:tab/>
        </w:r>
        <w:r w:rsidR="00666B31">
          <w:rPr>
            <w:noProof/>
            <w:webHidden/>
          </w:rPr>
          <w:fldChar w:fldCharType="begin"/>
        </w:r>
        <w:r w:rsidR="00666B31">
          <w:rPr>
            <w:noProof/>
            <w:webHidden/>
          </w:rPr>
          <w:instrText xml:space="preserve"> PAGEREF _Toc180650301 \h </w:instrText>
        </w:r>
        <w:r w:rsidR="00666B31">
          <w:rPr>
            <w:noProof/>
            <w:webHidden/>
          </w:rPr>
        </w:r>
        <w:r w:rsidR="00666B31">
          <w:rPr>
            <w:noProof/>
            <w:webHidden/>
          </w:rPr>
          <w:fldChar w:fldCharType="separate"/>
        </w:r>
        <w:r w:rsidR="00666B31">
          <w:rPr>
            <w:noProof/>
            <w:webHidden/>
          </w:rPr>
          <w:t>27</w:t>
        </w:r>
        <w:r w:rsidR="00666B31">
          <w:rPr>
            <w:noProof/>
            <w:webHidden/>
          </w:rPr>
          <w:fldChar w:fldCharType="end"/>
        </w:r>
      </w:hyperlink>
    </w:p>
    <w:p w14:paraId="4BA33534" w14:textId="578FCBE5" w:rsidR="00666B31" w:rsidRDefault="002D4454">
      <w:pPr>
        <w:pStyle w:val="Seznamobrzk"/>
        <w:rPr>
          <w:noProof/>
          <w:szCs w:val="22"/>
          <w:lang w:eastAsia="cs-CZ"/>
        </w:rPr>
      </w:pPr>
      <w:hyperlink w:anchor="_Toc180650302" w:history="1">
        <w:r w:rsidR="00666B31" w:rsidRPr="004D7AB9">
          <w:rPr>
            <w:rStyle w:val="Hypertextovodkaz"/>
            <w:noProof/>
          </w:rPr>
          <w:t>Graf č. 25:</w:t>
        </w:r>
        <w:r w:rsidR="00666B31">
          <w:rPr>
            <w:noProof/>
            <w:szCs w:val="22"/>
            <w:lang w:eastAsia="cs-CZ"/>
          </w:rPr>
          <w:tab/>
        </w:r>
        <w:r w:rsidR="00666B31" w:rsidRPr="004D7AB9">
          <w:rPr>
            <w:rStyle w:val="Hypertextovodkaz"/>
            <w:noProof/>
          </w:rPr>
          <w:t>Vývoj salda hospodaření</w:t>
        </w:r>
        <w:r w:rsidR="00666B31">
          <w:rPr>
            <w:noProof/>
            <w:webHidden/>
          </w:rPr>
          <w:tab/>
        </w:r>
        <w:r w:rsidR="00666B31">
          <w:rPr>
            <w:noProof/>
            <w:webHidden/>
          </w:rPr>
          <w:fldChar w:fldCharType="begin"/>
        </w:r>
        <w:r w:rsidR="00666B31">
          <w:rPr>
            <w:noProof/>
            <w:webHidden/>
          </w:rPr>
          <w:instrText xml:space="preserve"> PAGEREF _Toc180650302 \h </w:instrText>
        </w:r>
        <w:r w:rsidR="00666B31">
          <w:rPr>
            <w:noProof/>
            <w:webHidden/>
          </w:rPr>
        </w:r>
        <w:r w:rsidR="00666B31">
          <w:rPr>
            <w:noProof/>
            <w:webHidden/>
          </w:rPr>
          <w:fldChar w:fldCharType="separate"/>
        </w:r>
        <w:r w:rsidR="00666B31">
          <w:rPr>
            <w:noProof/>
            <w:webHidden/>
          </w:rPr>
          <w:t>28</w:t>
        </w:r>
        <w:r w:rsidR="00666B31">
          <w:rPr>
            <w:noProof/>
            <w:webHidden/>
          </w:rPr>
          <w:fldChar w:fldCharType="end"/>
        </w:r>
      </w:hyperlink>
    </w:p>
    <w:p w14:paraId="4F3CDADD" w14:textId="56313584" w:rsidR="00666B31" w:rsidRDefault="002D4454">
      <w:pPr>
        <w:pStyle w:val="Seznamobrzk"/>
        <w:rPr>
          <w:noProof/>
          <w:szCs w:val="22"/>
          <w:lang w:eastAsia="cs-CZ"/>
        </w:rPr>
      </w:pPr>
      <w:hyperlink w:anchor="_Toc180650303" w:history="1">
        <w:r w:rsidR="00666B31" w:rsidRPr="004D7AB9">
          <w:rPr>
            <w:rStyle w:val="Hypertextovodkaz"/>
            <w:noProof/>
          </w:rPr>
          <w:t>Graf č. 26:</w:t>
        </w:r>
        <w:r w:rsidR="00666B31">
          <w:rPr>
            <w:noProof/>
            <w:szCs w:val="22"/>
            <w:lang w:eastAsia="cs-CZ"/>
          </w:rPr>
          <w:tab/>
        </w:r>
        <w:r w:rsidR="00666B31" w:rsidRPr="004D7AB9">
          <w:rPr>
            <w:rStyle w:val="Hypertextovodkaz"/>
            <w:noProof/>
          </w:rPr>
          <w:t>Vývoj dluhové služby</w:t>
        </w:r>
        <w:r w:rsidR="00666B31">
          <w:rPr>
            <w:noProof/>
            <w:webHidden/>
          </w:rPr>
          <w:tab/>
        </w:r>
        <w:r w:rsidR="00666B31">
          <w:rPr>
            <w:noProof/>
            <w:webHidden/>
          </w:rPr>
          <w:fldChar w:fldCharType="begin"/>
        </w:r>
        <w:r w:rsidR="00666B31">
          <w:rPr>
            <w:noProof/>
            <w:webHidden/>
          </w:rPr>
          <w:instrText xml:space="preserve"> PAGEREF _Toc180650303 \h </w:instrText>
        </w:r>
        <w:r w:rsidR="00666B31">
          <w:rPr>
            <w:noProof/>
            <w:webHidden/>
          </w:rPr>
        </w:r>
        <w:r w:rsidR="00666B31">
          <w:rPr>
            <w:noProof/>
            <w:webHidden/>
          </w:rPr>
          <w:fldChar w:fldCharType="separate"/>
        </w:r>
        <w:r w:rsidR="00666B31">
          <w:rPr>
            <w:noProof/>
            <w:webHidden/>
          </w:rPr>
          <w:t>30</w:t>
        </w:r>
        <w:r w:rsidR="00666B31">
          <w:rPr>
            <w:noProof/>
            <w:webHidden/>
          </w:rPr>
          <w:fldChar w:fldCharType="end"/>
        </w:r>
      </w:hyperlink>
    </w:p>
    <w:p w14:paraId="6CA53B5B" w14:textId="138003C4" w:rsidR="00666B31" w:rsidRDefault="002D4454">
      <w:pPr>
        <w:pStyle w:val="Seznamobrzk"/>
        <w:rPr>
          <w:noProof/>
          <w:szCs w:val="22"/>
          <w:lang w:eastAsia="cs-CZ"/>
        </w:rPr>
      </w:pPr>
      <w:hyperlink w:anchor="_Toc180650304" w:history="1">
        <w:r w:rsidR="00666B31" w:rsidRPr="004D7AB9">
          <w:rPr>
            <w:rStyle w:val="Hypertextovodkaz"/>
            <w:noProof/>
          </w:rPr>
          <w:t>Graf č. 27:</w:t>
        </w:r>
        <w:r w:rsidR="00666B31">
          <w:rPr>
            <w:noProof/>
            <w:szCs w:val="22"/>
            <w:lang w:eastAsia="cs-CZ"/>
          </w:rPr>
          <w:tab/>
        </w:r>
        <w:r w:rsidR="00666B31" w:rsidRPr="004D7AB9">
          <w:rPr>
            <w:rStyle w:val="Hypertextovodkaz"/>
            <w:noProof/>
          </w:rPr>
          <w:t>Vývoj teoretického navýšení dluhu</w:t>
        </w:r>
        <w:r w:rsidR="00666B31">
          <w:rPr>
            <w:noProof/>
            <w:webHidden/>
          </w:rPr>
          <w:tab/>
        </w:r>
        <w:r w:rsidR="00666B31">
          <w:rPr>
            <w:noProof/>
            <w:webHidden/>
          </w:rPr>
          <w:fldChar w:fldCharType="begin"/>
        </w:r>
        <w:r w:rsidR="00666B31">
          <w:rPr>
            <w:noProof/>
            <w:webHidden/>
          </w:rPr>
          <w:instrText xml:space="preserve"> PAGEREF _Toc180650304 \h </w:instrText>
        </w:r>
        <w:r w:rsidR="00666B31">
          <w:rPr>
            <w:noProof/>
            <w:webHidden/>
          </w:rPr>
        </w:r>
        <w:r w:rsidR="00666B31">
          <w:rPr>
            <w:noProof/>
            <w:webHidden/>
          </w:rPr>
          <w:fldChar w:fldCharType="separate"/>
        </w:r>
        <w:r w:rsidR="00666B31">
          <w:rPr>
            <w:noProof/>
            <w:webHidden/>
          </w:rPr>
          <w:t>30</w:t>
        </w:r>
        <w:r w:rsidR="00666B31">
          <w:rPr>
            <w:noProof/>
            <w:webHidden/>
          </w:rPr>
          <w:fldChar w:fldCharType="end"/>
        </w:r>
      </w:hyperlink>
    </w:p>
    <w:p w14:paraId="19E3018E" w14:textId="712D5402" w:rsidR="00666B31" w:rsidRDefault="002D4454">
      <w:pPr>
        <w:pStyle w:val="Seznamobrzk"/>
        <w:rPr>
          <w:noProof/>
          <w:szCs w:val="22"/>
          <w:lang w:eastAsia="cs-CZ"/>
        </w:rPr>
      </w:pPr>
      <w:hyperlink w:anchor="_Toc180650305" w:history="1">
        <w:r w:rsidR="00666B31" w:rsidRPr="004D7AB9">
          <w:rPr>
            <w:rStyle w:val="Hypertextovodkaz"/>
            <w:noProof/>
          </w:rPr>
          <w:t>Graf č. 28:</w:t>
        </w:r>
        <w:r w:rsidR="00666B31">
          <w:rPr>
            <w:noProof/>
            <w:szCs w:val="22"/>
            <w:lang w:eastAsia="cs-CZ"/>
          </w:rPr>
          <w:tab/>
        </w:r>
        <w:r w:rsidR="00666B31" w:rsidRPr="004D7AB9">
          <w:rPr>
            <w:rStyle w:val="Hypertextovodkaz"/>
            <w:noProof/>
          </w:rPr>
          <w:t>Relativní zhodnocení dílčích oblastí</w:t>
        </w:r>
        <w:r w:rsidR="00666B31">
          <w:rPr>
            <w:noProof/>
            <w:webHidden/>
          </w:rPr>
          <w:tab/>
        </w:r>
        <w:r w:rsidR="00666B31">
          <w:rPr>
            <w:noProof/>
            <w:webHidden/>
          </w:rPr>
          <w:fldChar w:fldCharType="begin"/>
        </w:r>
        <w:r w:rsidR="00666B31">
          <w:rPr>
            <w:noProof/>
            <w:webHidden/>
          </w:rPr>
          <w:instrText xml:space="preserve"> PAGEREF _Toc180650305 \h </w:instrText>
        </w:r>
        <w:r w:rsidR="00666B31">
          <w:rPr>
            <w:noProof/>
            <w:webHidden/>
          </w:rPr>
        </w:r>
        <w:r w:rsidR="00666B31">
          <w:rPr>
            <w:noProof/>
            <w:webHidden/>
          </w:rPr>
          <w:fldChar w:fldCharType="separate"/>
        </w:r>
        <w:r w:rsidR="00666B31">
          <w:rPr>
            <w:noProof/>
            <w:webHidden/>
          </w:rPr>
          <w:t>32</w:t>
        </w:r>
        <w:r w:rsidR="00666B31">
          <w:rPr>
            <w:noProof/>
            <w:webHidden/>
          </w:rPr>
          <w:fldChar w:fldCharType="end"/>
        </w:r>
      </w:hyperlink>
    </w:p>
    <w:p w14:paraId="34BF62DA" w14:textId="2FC2E783" w:rsidR="00666B31" w:rsidRDefault="002D4454">
      <w:pPr>
        <w:pStyle w:val="Seznamobrzk"/>
        <w:rPr>
          <w:noProof/>
          <w:szCs w:val="22"/>
          <w:lang w:eastAsia="cs-CZ"/>
        </w:rPr>
      </w:pPr>
      <w:hyperlink w:anchor="_Toc180650306" w:history="1">
        <w:r w:rsidR="00666B31" w:rsidRPr="004D7AB9">
          <w:rPr>
            <w:rStyle w:val="Hypertextovodkaz"/>
            <w:noProof/>
          </w:rPr>
          <w:t>Graf č. 29:</w:t>
        </w:r>
        <w:r w:rsidR="00666B31">
          <w:rPr>
            <w:noProof/>
            <w:szCs w:val="22"/>
            <w:lang w:eastAsia="cs-CZ"/>
          </w:rPr>
          <w:tab/>
        </w:r>
        <w:r w:rsidR="00666B31" w:rsidRPr="004D7AB9">
          <w:rPr>
            <w:rStyle w:val="Hypertextovodkaz"/>
            <w:noProof/>
          </w:rPr>
          <w:t>Přidělené ekonomické hodnocení</w:t>
        </w:r>
        <w:r w:rsidR="00666B31">
          <w:rPr>
            <w:noProof/>
            <w:webHidden/>
          </w:rPr>
          <w:tab/>
        </w:r>
        <w:r w:rsidR="00666B31">
          <w:rPr>
            <w:noProof/>
            <w:webHidden/>
          </w:rPr>
          <w:fldChar w:fldCharType="begin"/>
        </w:r>
        <w:r w:rsidR="00666B31">
          <w:rPr>
            <w:noProof/>
            <w:webHidden/>
          </w:rPr>
          <w:instrText xml:space="preserve"> PAGEREF _Toc180650306 \h </w:instrText>
        </w:r>
        <w:r w:rsidR="00666B31">
          <w:rPr>
            <w:noProof/>
            <w:webHidden/>
          </w:rPr>
        </w:r>
        <w:r w:rsidR="00666B31">
          <w:rPr>
            <w:noProof/>
            <w:webHidden/>
          </w:rPr>
          <w:fldChar w:fldCharType="separate"/>
        </w:r>
        <w:r w:rsidR="00666B31">
          <w:rPr>
            <w:noProof/>
            <w:webHidden/>
          </w:rPr>
          <w:t>33</w:t>
        </w:r>
        <w:r w:rsidR="00666B31">
          <w:rPr>
            <w:noProof/>
            <w:webHidden/>
          </w:rPr>
          <w:fldChar w:fldCharType="end"/>
        </w:r>
      </w:hyperlink>
    </w:p>
    <w:p w14:paraId="1610EDAC" w14:textId="2D401CDD" w:rsidR="0046149B" w:rsidRPr="004F4117" w:rsidRDefault="002C458E" w:rsidP="00572F00">
      <w:pPr>
        <w:pStyle w:val="Obsah1"/>
        <w:rPr>
          <w:highlight w:val="yellow"/>
        </w:rPr>
      </w:pPr>
      <w:r w:rsidRPr="00793D98">
        <w:fldChar w:fldCharType="end"/>
      </w:r>
    </w:p>
    <w:p w14:paraId="227AAF36" w14:textId="77777777" w:rsidR="006559F6" w:rsidRPr="004F4117" w:rsidRDefault="006559F6" w:rsidP="006559F6">
      <w:pPr>
        <w:rPr>
          <w:highlight w:val="yellow"/>
        </w:rPr>
      </w:pPr>
    </w:p>
    <w:p w14:paraId="57A06848" w14:textId="77777777" w:rsidR="006559F6" w:rsidRPr="004F4117" w:rsidRDefault="006559F6" w:rsidP="006559F6">
      <w:pPr>
        <w:rPr>
          <w:highlight w:val="yellow"/>
        </w:rPr>
      </w:pPr>
    </w:p>
    <w:p w14:paraId="3FCD7ECD" w14:textId="77777777" w:rsidR="0046149B" w:rsidRPr="00F15ADB" w:rsidRDefault="0046149B" w:rsidP="006559F6">
      <w:pPr>
        <w:pStyle w:val="Nadpis1"/>
        <w:pageBreakBefore w:val="0"/>
        <w:numPr>
          <w:ilvl w:val="0"/>
          <w:numId w:val="0"/>
        </w:numPr>
        <w:ind w:left="431" w:hanging="431"/>
      </w:pPr>
      <w:bookmarkStart w:id="155" w:name="_Toc180650332"/>
      <w:r w:rsidRPr="00F15ADB">
        <w:t>Seznam příloh</w:t>
      </w:r>
      <w:bookmarkEnd w:id="155"/>
    </w:p>
    <w:p w14:paraId="18036DD9" w14:textId="797E828B" w:rsidR="00666B31" w:rsidRDefault="002C458E">
      <w:pPr>
        <w:pStyle w:val="Seznamobrzk"/>
        <w:rPr>
          <w:noProof/>
          <w:szCs w:val="22"/>
          <w:lang w:eastAsia="cs-CZ"/>
        </w:rPr>
      </w:pPr>
      <w:r w:rsidRPr="009D7695">
        <w:rPr>
          <w:rStyle w:val="Hypertextovodkaz"/>
          <w:rFonts w:cstheme="minorHAnsi"/>
          <w:b/>
          <w:color w:val="2E3192"/>
          <w:highlight w:val="yellow"/>
        </w:rPr>
        <w:fldChar w:fldCharType="begin"/>
      </w:r>
      <w:r w:rsidR="0046149B" w:rsidRPr="009D7695">
        <w:rPr>
          <w:rStyle w:val="Hypertextovodkaz"/>
          <w:rFonts w:cstheme="minorHAnsi"/>
          <w:b/>
          <w:color w:val="2E3192"/>
          <w:highlight w:val="yellow"/>
        </w:rPr>
        <w:instrText xml:space="preserve"> TOC \h \z \t "Příloha" \c </w:instrText>
      </w:r>
      <w:r w:rsidRPr="009D7695">
        <w:rPr>
          <w:rStyle w:val="Hypertextovodkaz"/>
          <w:rFonts w:cstheme="minorHAnsi"/>
          <w:b/>
          <w:color w:val="2E3192"/>
          <w:highlight w:val="yellow"/>
        </w:rPr>
        <w:fldChar w:fldCharType="separate"/>
      </w:r>
      <w:hyperlink w:anchor="_Toc180650307" w:history="1">
        <w:r w:rsidR="00666B31" w:rsidRPr="00F13CB7">
          <w:rPr>
            <w:rStyle w:val="Hypertextovodkaz"/>
            <w:bCs/>
            <w:noProof/>
            <w14:scene3d>
              <w14:camera w14:prst="orthographicFront"/>
              <w14:lightRig w14:rig="threePt" w14:dir="t">
                <w14:rot w14:lat="0" w14:lon="0" w14:rev="0"/>
              </w14:lightRig>
            </w14:scene3d>
          </w:rPr>
          <w:t>Příloha č. 1:</w:t>
        </w:r>
        <w:r w:rsidR="00666B31">
          <w:rPr>
            <w:noProof/>
            <w:szCs w:val="22"/>
            <w:lang w:eastAsia="cs-CZ"/>
          </w:rPr>
          <w:tab/>
        </w:r>
        <w:r w:rsidR="00666B31" w:rsidRPr="00F13CB7">
          <w:rPr>
            <w:rStyle w:val="Hypertextovodkaz"/>
            <w:noProof/>
          </w:rPr>
          <w:t>Historický vývoj sdílených daní</w:t>
        </w:r>
        <w:r w:rsidR="00666B31">
          <w:rPr>
            <w:noProof/>
            <w:webHidden/>
          </w:rPr>
          <w:tab/>
        </w:r>
        <w:r w:rsidR="00666B31">
          <w:rPr>
            <w:noProof/>
            <w:webHidden/>
          </w:rPr>
          <w:fldChar w:fldCharType="begin"/>
        </w:r>
        <w:r w:rsidR="00666B31">
          <w:rPr>
            <w:noProof/>
            <w:webHidden/>
          </w:rPr>
          <w:instrText xml:space="preserve"> PAGEREF _Toc180650307 \h </w:instrText>
        </w:r>
        <w:r w:rsidR="00666B31">
          <w:rPr>
            <w:noProof/>
            <w:webHidden/>
          </w:rPr>
        </w:r>
        <w:r w:rsidR="00666B31">
          <w:rPr>
            <w:noProof/>
            <w:webHidden/>
          </w:rPr>
          <w:fldChar w:fldCharType="separate"/>
        </w:r>
        <w:r w:rsidR="00666B31">
          <w:rPr>
            <w:noProof/>
            <w:webHidden/>
          </w:rPr>
          <w:t>39</w:t>
        </w:r>
        <w:r w:rsidR="00666B31">
          <w:rPr>
            <w:noProof/>
            <w:webHidden/>
          </w:rPr>
          <w:fldChar w:fldCharType="end"/>
        </w:r>
      </w:hyperlink>
    </w:p>
    <w:p w14:paraId="5699D474" w14:textId="4F78C0B3" w:rsidR="00666B31" w:rsidRDefault="002D4454">
      <w:pPr>
        <w:pStyle w:val="Seznamobrzk"/>
        <w:rPr>
          <w:noProof/>
          <w:szCs w:val="22"/>
          <w:lang w:eastAsia="cs-CZ"/>
        </w:rPr>
      </w:pPr>
      <w:hyperlink w:anchor="_Toc180650308" w:history="1">
        <w:r w:rsidR="00666B31" w:rsidRPr="00F13CB7">
          <w:rPr>
            <w:rStyle w:val="Hypertextovodkaz"/>
            <w:bCs/>
            <w:noProof/>
            <w14:scene3d>
              <w14:camera w14:prst="orthographicFront"/>
              <w14:lightRig w14:rig="threePt" w14:dir="t">
                <w14:rot w14:lat="0" w14:lon="0" w14:rev="0"/>
              </w14:lightRig>
            </w14:scene3d>
          </w:rPr>
          <w:t>Příloha č. 2:</w:t>
        </w:r>
        <w:r w:rsidR="00666B31">
          <w:rPr>
            <w:noProof/>
            <w:szCs w:val="22"/>
            <w:lang w:eastAsia="cs-CZ"/>
          </w:rPr>
          <w:tab/>
        </w:r>
        <w:r w:rsidR="00666B31" w:rsidRPr="00F13CB7">
          <w:rPr>
            <w:rStyle w:val="Hypertextovodkaz"/>
            <w:noProof/>
          </w:rPr>
          <w:t>Stupnice ekonomického hodnocení AQE (platná do 2020)</w:t>
        </w:r>
        <w:r w:rsidR="00666B31">
          <w:rPr>
            <w:noProof/>
            <w:webHidden/>
          </w:rPr>
          <w:tab/>
        </w:r>
        <w:r w:rsidR="00666B31">
          <w:rPr>
            <w:noProof/>
            <w:webHidden/>
          </w:rPr>
          <w:fldChar w:fldCharType="begin"/>
        </w:r>
        <w:r w:rsidR="00666B31">
          <w:rPr>
            <w:noProof/>
            <w:webHidden/>
          </w:rPr>
          <w:instrText xml:space="preserve"> PAGEREF _Toc180650308 \h </w:instrText>
        </w:r>
        <w:r w:rsidR="00666B31">
          <w:rPr>
            <w:noProof/>
            <w:webHidden/>
          </w:rPr>
        </w:r>
        <w:r w:rsidR="00666B31">
          <w:rPr>
            <w:noProof/>
            <w:webHidden/>
          </w:rPr>
          <w:fldChar w:fldCharType="separate"/>
        </w:r>
        <w:r w:rsidR="00666B31">
          <w:rPr>
            <w:noProof/>
            <w:webHidden/>
          </w:rPr>
          <w:t>40</w:t>
        </w:r>
        <w:r w:rsidR="00666B31">
          <w:rPr>
            <w:noProof/>
            <w:webHidden/>
          </w:rPr>
          <w:fldChar w:fldCharType="end"/>
        </w:r>
      </w:hyperlink>
    </w:p>
    <w:p w14:paraId="66784FF0" w14:textId="13996A81" w:rsidR="00666B31" w:rsidRDefault="002D4454">
      <w:pPr>
        <w:pStyle w:val="Seznamobrzk"/>
        <w:rPr>
          <w:noProof/>
          <w:szCs w:val="22"/>
          <w:lang w:eastAsia="cs-CZ"/>
        </w:rPr>
      </w:pPr>
      <w:hyperlink w:anchor="_Toc180650309" w:history="1">
        <w:r w:rsidR="00666B31" w:rsidRPr="00F13CB7">
          <w:rPr>
            <w:rStyle w:val="Hypertextovodkaz"/>
            <w:bCs/>
            <w:noProof/>
            <w14:scene3d>
              <w14:camera w14:prst="orthographicFront"/>
              <w14:lightRig w14:rig="threePt" w14:dir="t">
                <w14:rot w14:lat="0" w14:lon="0" w14:rev="0"/>
              </w14:lightRig>
            </w14:scene3d>
          </w:rPr>
          <w:t>Příloha č. 3:</w:t>
        </w:r>
        <w:r w:rsidR="00666B31">
          <w:rPr>
            <w:noProof/>
            <w:szCs w:val="22"/>
            <w:lang w:eastAsia="cs-CZ"/>
          </w:rPr>
          <w:tab/>
        </w:r>
        <w:r w:rsidR="00666B31" w:rsidRPr="00F13CB7">
          <w:rPr>
            <w:rStyle w:val="Hypertextovodkaz"/>
            <w:noProof/>
          </w:rPr>
          <w:t>Stupnice ekonomického hodnocení AQE (platná od 2021)</w:t>
        </w:r>
        <w:r w:rsidR="00666B31">
          <w:rPr>
            <w:noProof/>
            <w:webHidden/>
          </w:rPr>
          <w:tab/>
        </w:r>
        <w:r w:rsidR="00666B31">
          <w:rPr>
            <w:noProof/>
            <w:webHidden/>
          </w:rPr>
          <w:fldChar w:fldCharType="begin"/>
        </w:r>
        <w:r w:rsidR="00666B31">
          <w:rPr>
            <w:noProof/>
            <w:webHidden/>
          </w:rPr>
          <w:instrText xml:space="preserve"> PAGEREF _Toc180650309 \h </w:instrText>
        </w:r>
        <w:r w:rsidR="00666B31">
          <w:rPr>
            <w:noProof/>
            <w:webHidden/>
          </w:rPr>
        </w:r>
        <w:r w:rsidR="00666B31">
          <w:rPr>
            <w:noProof/>
            <w:webHidden/>
          </w:rPr>
          <w:fldChar w:fldCharType="separate"/>
        </w:r>
        <w:r w:rsidR="00666B31">
          <w:rPr>
            <w:noProof/>
            <w:webHidden/>
          </w:rPr>
          <w:t>41</w:t>
        </w:r>
        <w:r w:rsidR="00666B31">
          <w:rPr>
            <w:noProof/>
            <w:webHidden/>
          </w:rPr>
          <w:fldChar w:fldCharType="end"/>
        </w:r>
      </w:hyperlink>
    </w:p>
    <w:p w14:paraId="448F327A" w14:textId="309F964F" w:rsidR="00D07CE6" w:rsidRDefault="002C458E" w:rsidP="00666B31">
      <w:pPr>
        <w:tabs>
          <w:tab w:val="left" w:pos="5387"/>
          <w:tab w:val="right" w:leader="dot" w:pos="10206"/>
        </w:tabs>
        <w:rPr>
          <w:rStyle w:val="Hypertextovodkaz"/>
          <w:rFonts w:cstheme="minorHAnsi"/>
          <w:b/>
          <w:color w:val="2E3192"/>
          <w:highlight w:val="yellow"/>
        </w:rPr>
        <w:sectPr w:rsidR="00D07CE6" w:rsidSect="00216871">
          <w:headerReference w:type="default" r:id="rId74"/>
          <w:pgSz w:w="11906" w:h="16838"/>
          <w:pgMar w:top="1417" w:right="849" w:bottom="1236" w:left="851" w:header="709" w:footer="280" w:gutter="0"/>
          <w:cols w:space="708"/>
          <w:docGrid w:linePitch="360"/>
        </w:sectPr>
      </w:pPr>
      <w:r w:rsidRPr="009D7695">
        <w:rPr>
          <w:rStyle w:val="Hypertextovodkaz"/>
          <w:rFonts w:cstheme="minorHAnsi"/>
          <w:b/>
          <w:color w:val="2E3192"/>
          <w:highlight w:val="yellow"/>
        </w:rPr>
        <w:fldChar w:fldCharType="end"/>
      </w:r>
    </w:p>
    <w:p w14:paraId="44903C80" w14:textId="00C6E7E7" w:rsidR="00AA37F7" w:rsidRDefault="003D0E38" w:rsidP="00231FBC">
      <w:pPr>
        <w:pStyle w:val="Ploha"/>
      </w:pPr>
      <w:bookmarkStart w:id="156" w:name="_Toc293671796"/>
      <w:bookmarkStart w:id="157" w:name="_Toc62211732"/>
      <w:bookmarkStart w:id="158" w:name="_Toc180650307"/>
      <w:bookmarkEnd w:id="153"/>
      <w:bookmarkEnd w:id="154"/>
      <w:r w:rsidRPr="003D0E38">
        <w:lastRenderedPageBreak/>
        <w:t>Historický vývoj sdílených daní</w:t>
      </w:r>
      <w:bookmarkEnd w:id="156"/>
      <w:bookmarkEnd w:id="157"/>
      <w:bookmarkEnd w:id="158"/>
    </w:p>
    <w:p w14:paraId="6FAF1EF9" w14:textId="1D28EB5A" w:rsidR="003D0E38" w:rsidRDefault="003D0E38" w:rsidP="003D0E38">
      <w:r>
        <w:t xml:space="preserve">Vývoj hodnot sdílených daní je ovlivňován jak změnami v zákoně o Rozpočtovém určení daní (RUD), tak aktuálním vývojem ekonomické situace. V roce 2017 došlo ke zrušení inkasa 30 % z </w:t>
      </w:r>
      <w:proofErr w:type="spellStart"/>
      <w:r>
        <w:t>DPFOosvč</w:t>
      </w:r>
      <w:proofErr w:type="spellEnd"/>
      <w:r>
        <w:t xml:space="preserve"> a zároveň jako kompenzace byl navýšen podíl obcí na DPH z 20,43 % na 21,4 %, aby hned v následujícím roce byl tento podíl navýšen na 23,58 % a ještě byla v rámci výpočtu zvýrazněna váha kritéria počtu žáků ze 7 % na 9 % (došlo tím ke snížení váhy počtu obyvatel). V roce 2021 došlo k opětovné změně zákona v důsledku přijetí tzv. daňového balíčku, který zrušil superhrubou mzdu. Tento výpadek je řešen zvýšením podílu ÚSC z 23,58 % na 25,84 % na přerozdělování celorepublikového inkasa u všech položek sdílených daní.</w:t>
      </w:r>
    </w:p>
    <w:p w14:paraId="7DB63AF1" w14:textId="259EF0C9" w:rsidR="003D0E38" w:rsidRPr="00B00BA5" w:rsidRDefault="00047951" w:rsidP="003D0E38">
      <w:pPr>
        <w:rPr>
          <w:color w:val="FF0000"/>
        </w:rPr>
      </w:pPr>
      <w:r w:rsidRPr="00047951">
        <w:t>„Výměnou“ za zvýšení daně z nemovitých věcí a její automatickou valorizaci v následujících letech konsolidační balíček snižuje hodnoty jednotlivých sdílených daní, vyjma motivační části DPFO placená plátci (1,5 %). V roce 2024 se tak podíl ÚSC u dotčených položek sdílených daní snižuje na 24,92 % a od roku 2025 pak na 24,16 %.</w:t>
      </w:r>
      <w:r w:rsidR="003D0E38" w:rsidRPr="00B00BA5">
        <w:rPr>
          <w:color w:val="FF0000"/>
        </w:rPr>
        <w:t xml:space="preserve"> </w:t>
      </w:r>
    </w:p>
    <w:p w14:paraId="252E89FF" w14:textId="2B05F44E" w:rsidR="00B00BA5" w:rsidRDefault="00B00BA5" w:rsidP="00B00BA5">
      <w:pPr>
        <w:jc w:val="left"/>
        <w:rPr>
          <w:b/>
          <w:bCs/>
        </w:rPr>
      </w:pPr>
      <w:r>
        <w:rPr>
          <w:b/>
          <w:bCs/>
        </w:rPr>
        <w:t>S</w:t>
      </w:r>
      <w:r w:rsidRPr="00B80AA0">
        <w:rPr>
          <w:b/>
          <w:bCs/>
        </w:rPr>
        <w:t>chéma rozpočtového určení daní</w:t>
      </w:r>
    </w:p>
    <w:p w14:paraId="6B58CB30" w14:textId="12A3A6ED" w:rsidR="00B00BA5" w:rsidRPr="00B80AA0" w:rsidRDefault="00B00BA5" w:rsidP="00B00BA5">
      <w:pPr>
        <w:jc w:val="left"/>
        <w:rPr>
          <w:b/>
          <w:bCs/>
        </w:rPr>
      </w:pPr>
      <w:r w:rsidRPr="0078536B">
        <w:rPr>
          <w:noProof/>
        </w:rPr>
        <w:drawing>
          <wp:inline distT="0" distB="0" distL="0" distR="0" wp14:anchorId="2B479F46" wp14:editId="75B61DB6">
            <wp:extent cx="6479540" cy="2776855"/>
            <wp:effectExtent l="0" t="0" r="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6479540" cy="2776855"/>
                    </a:xfrm>
                    <a:prstGeom prst="rect">
                      <a:avLst/>
                    </a:prstGeom>
                    <a:noFill/>
                    <a:ln>
                      <a:noFill/>
                    </a:ln>
                  </pic:spPr>
                </pic:pic>
              </a:graphicData>
            </a:graphic>
          </wp:inline>
        </w:drawing>
      </w:r>
    </w:p>
    <w:p w14:paraId="50A9BADD" w14:textId="77777777" w:rsidR="003D0E38" w:rsidRDefault="003D0E38" w:rsidP="003D0E38">
      <w:r>
        <w:t xml:space="preserve">Celosvětová pandemie Covid 19 vyvolala nutnost kompenzovat výpadky v postižených oblastech hospodářství. Negativní dopady restriktivních opatření na hodnoty sdílených daní (na položku 1111 – </w:t>
      </w:r>
      <w:proofErr w:type="spellStart"/>
      <w:r>
        <w:t>DPFOzč</w:t>
      </w:r>
      <w:proofErr w:type="spellEnd"/>
      <w:r>
        <w:t>) byly ÚSC kom-</w:t>
      </w:r>
      <w:proofErr w:type="spellStart"/>
      <w:r>
        <w:t>penzovány</w:t>
      </w:r>
      <w:proofErr w:type="spellEnd"/>
      <w:r>
        <w:t xml:space="preserve"> tzv. kompenzačním bonusem. Ten v roce 2020 činil 1 250 Kč na obyvatele a v roce 2021 byl stanoven ve výši 80 % jejich podílu na výplatách kompenzačního bonusu. Příspěvek byl mezi ÚSC rozdělen podle procent-</w:t>
      </w:r>
      <w:proofErr w:type="spellStart"/>
      <w:r>
        <w:t>ních</w:t>
      </w:r>
      <w:proofErr w:type="spellEnd"/>
      <w:r>
        <w:t xml:space="preserve"> podílů v rámci RUD.</w:t>
      </w:r>
    </w:p>
    <w:p w14:paraId="225CD6E4" w14:textId="484D6606" w:rsidR="003D0E38" w:rsidRPr="00581547" w:rsidRDefault="003D0E38" w:rsidP="003D0E38">
      <w:r>
        <w:t>V kontextu výše zmíněného vývoje příjmů ze sdílených daní je třeba připomenout další historické okolnosti, které ovlivňovaly příjmovou i výdajovou stranu rozpočtu. V roce 2003 to byl vznik obcí s pověřeným obecním úřadem a obcí s přenesenou působností. V roce 2005 přešlo financování školství mimo rozpočty ÚSC. V roce 2009 zasáhla hospodaření municipalit celosvětová finanční krize, která byla citelná i v následujícím roce. Prozatím poslední velká změna čekala na municipality v roce 2012, kdy výplata sociálních dávek přešla na úřady práce.</w:t>
      </w:r>
    </w:p>
    <w:p w14:paraId="0F97A7F1" w14:textId="77777777" w:rsidR="00581547" w:rsidRPr="00581547" w:rsidRDefault="00581547" w:rsidP="00581547">
      <w:pPr>
        <w:pStyle w:val="Ploha"/>
      </w:pPr>
      <w:bookmarkStart w:id="159" w:name="_Toc180650308"/>
      <w:r w:rsidRPr="00581547">
        <w:lastRenderedPageBreak/>
        <w:t>Stupnice ekonomického hodnocení AQE (platná do 2020)</w:t>
      </w:r>
      <w:bookmarkEnd w:id="159"/>
    </w:p>
    <w:p w14:paraId="6C6DCD98" w14:textId="6FED8FF8" w:rsidR="00AA37F7" w:rsidRPr="00F15ADB" w:rsidRDefault="00AA37F7" w:rsidP="00AA37F7">
      <w:pPr>
        <w:pStyle w:val="altNadpis3"/>
      </w:pPr>
      <w:r w:rsidRPr="00F15ADB">
        <w:t>Krátkodobé hodnocení</w:t>
      </w:r>
    </w:p>
    <w:tbl>
      <w:tblPr>
        <w:tblW w:w="76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80"/>
        <w:gridCol w:w="7105"/>
      </w:tblGrid>
      <w:tr w:rsidR="00AA37F7" w:rsidRPr="00F15ADB" w14:paraId="3117270D" w14:textId="77777777" w:rsidTr="00F15ADB">
        <w:trPr>
          <w:trHeight w:val="255"/>
          <w:jc w:val="center"/>
        </w:trPr>
        <w:tc>
          <w:tcPr>
            <w:tcW w:w="580" w:type="dxa"/>
            <w:shd w:val="clear" w:color="auto" w:fill="auto"/>
            <w:noWrap/>
            <w:vAlign w:val="bottom"/>
            <w:hideMark/>
          </w:tcPr>
          <w:p w14:paraId="4B752AEB" w14:textId="77777777" w:rsidR="00AA37F7" w:rsidRPr="00F15ADB" w:rsidRDefault="00AA37F7" w:rsidP="009A160F">
            <w:pPr>
              <w:rPr>
                <w:rFonts w:eastAsia="Times New Roman"/>
              </w:rPr>
            </w:pPr>
            <w:r w:rsidRPr="00F15ADB">
              <w:rPr>
                <w:rFonts w:eastAsia="Times New Roman"/>
              </w:rPr>
              <w:t>STR1</w:t>
            </w:r>
          </w:p>
        </w:tc>
        <w:tc>
          <w:tcPr>
            <w:tcW w:w="7105" w:type="dxa"/>
            <w:shd w:val="clear" w:color="auto" w:fill="auto"/>
            <w:noWrap/>
            <w:vAlign w:val="bottom"/>
            <w:hideMark/>
          </w:tcPr>
          <w:p w14:paraId="68FC4605" w14:textId="77777777" w:rsidR="00AA37F7" w:rsidRPr="00F15ADB" w:rsidRDefault="00AA37F7" w:rsidP="009A160F">
            <w:pPr>
              <w:rPr>
                <w:rFonts w:eastAsia="Times New Roman"/>
              </w:rPr>
            </w:pPr>
            <w:r w:rsidRPr="00F15ADB">
              <w:rPr>
                <w:rFonts w:eastAsia="Times New Roman"/>
              </w:rPr>
              <w:t>Výborné subjekty v plnění svých závazků v krátkém časovém horizontu</w:t>
            </w:r>
          </w:p>
        </w:tc>
      </w:tr>
      <w:tr w:rsidR="00AA37F7" w:rsidRPr="00F15ADB" w14:paraId="5EFAE6D7" w14:textId="77777777" w:rsidTr="00F15ADB">
        <w:trPr>
          <w:trHeight w:val="255"/>
          <w:jc w:val="center"/>
        </w:trPr>
        <w:tc>
          <w:tcPr>
            <w:tcW w:w="580" w:type="dxa"/>
            <w:shd w:val="clear" w:color="auto" w:fill="auto"/>
            <w:noWrap/>
            <w:vAlign w:val="bottom"/>
            <w:hideMark/>
          </w:tcPr>
          <w:p w14:paraId="6041F384" w14:textId="77777777" w:rsidR="00AA37F7" w:rsidRPr="00F15ADB" w:rsidRDefault="00AA37F7" w:rsidP="009A160F">
            <w:pPr>
              <w:rPr>
                <w:rFonts w:eastAsia="Times New Roman"/>
              </w:rPr>
            </w:pPr>
            <w:r w:rsidRPr="00F15ADB">
              <w:rPr>
                <w:rFonts w:eastAsia="Times New Roman"/>
              </w:rPr>
              <w:t>STR2</w:t>
            </w:r>
          </w:p>
        </w:tc>
        <w:tc>
          <w:tcPr>
            <w:tcW w:w="7105" w:type="dxa"/>
            <w:shd w:val="clear" w:color="auto" w:fill="auto"/>
            <w:noWrap/>
            <w:vAlign w:val="bottom"/>
            <w:hideMark/>
          </w:tcPr>
          <w:p w14:paraId="5D27E7F7" w14:textId="77777777" w:rsidR="00AA37F7" w:rsidRPr="00F15ADB" w:rsidRDefault="00AA37F7" w:rsidP="009A160F">
            <w:pPr>
              <w:rPr>
                <w:rFonts w:eastAsia="Times New Roman"/>
              </w:rPr>
            </w:pPr>
            <w:r w:rsidRPr="00F15ADB">
              <w:rPr>
                <w:rFonts w:eastAsia="Times New Roman"/>
              </w:rPr>
              <w:t>Kvalitní subjekty s dobrou schopností splácet své aktuální závazky</w:t>
            </w:r>
          </w:p>
        </w:tc>
      </w:tr>
      <w:tr w:rsidR="00AA37F7" w:rsidRPr="00F15ADB" w14:paraId="7A89C85E" w14:textId="77777777" w:rsidTr="00F15ADB">
        <w:trPr>
          <w:trHeight w:val="255"/>
          <w:jc w:val="center"/>
        </w:trPr>
        <w:tc>
          <w:tcPr>
            <w:tcW w:w="580" w:type="dxa"/>
            <w:shd w:val="clear" w:color="auto" w:fill="auto"/>
            <w:noWrap/>
            <w:vAlign w:val="bottom"/>
            <w:hideMark/>
          </w:tcPr>
          <w:p w14:paraId="5A76A676" w14:textId="77777777" w:rsidR="00AA37F7" w:rsidRPr="00F15ADB" w:rsidRDefault="00AA37F7" w:rsidP="009A160F">
            <w:pPr>
              <w:rPr>
                <w:rFonts w:eastAsia="Times New Roman"/>
              </w:rPr>
            </w:pPr>
            <w:r w:rsidRPr="00F15ADB">
              <w:rPr>
                <w:rFonts w:eastAsia="Times New Roman"/>
              </w:rPr>
              <w:t>STR3</w:t>
            </w:r>
          </w:p>
        </w:tc>
        <w:tc>
          <w:tcPr>
            <w:tcW w:w="7105" w:type="dxa"/>
            <w:shd w:val="clear" w:color="auto" w:fill="auto"/>
            <w:noWrap/>
            <w:vAlign w:val="bottom"/>
            <w:hideMark/>
          </w:tcPr>
          <w:p w14:paraId="14DCED56" w14:textId="77777777" w:rsidR="00AA37F7" w:rsidRPr="00F15ADB" w:rsidRDefault="00AA37F7" w:rsidP="009A160F">
            <w:pPr>
              <w:rPr>
                <w:rFonts w:eastAsia="Times New Roman"/>
              </w:rPr>
            </w:pPr>
            <w:r w:rsidRPr="00F15ADB">
              <w:rPr>
                <w:rFonts w:eastAsia="Times New Roman"/>
              </w:rPr>
              <w:t>Vyhovující subjekty dostát svým závazkům včas</w:t>
            </w:r>
          </w:p>
        </w:tc>
      </w:tr>
      <w:tr w:rsidR="00AA37F7" w:rsidRPr="00F15ADB" w14:paraId="7DE35CC5" w14:textId="77777777" w:rsidTr="00F15ADB">
        <w:trPr>
          <w:trHeight w:val="255"/>
          <w:jc w:val="center"/>
        </w:trPr>
        <w:tc>
          <w:tcPr>
            <w:tcW w:w="580" w:type="dxa"/>
            <w:shd w:val="clear" w:color="auto" w:fill="auto"/>
            <w:noWrap/>
            <w:vAlign w:val="bottom"/>
            <w:hideMark/>
          </w:tcPr>
          <w:p w14:paraId="12D8ACF8" w14:textId="77777777" w:rsidR="00AA37F7" w:rsidRPr="00F15ADB" w:rsidRDefault="00AA37F7" w:rsidP="009A160F">
            <w:pPr>
              <w:rPr>
                <w:rFonts w:eastAsia="Times New Roman"/>
              </w:rPr>
            </w:pPr>
            <w:r w:rsidRPr="00F15ADB">
              <w:rPr>
                <w:rFonts w:eastAsia="Times New Roman"/>
              </w:rPr>
              <w:t>STR4</w:t>
            </w:r>
          </w:p>
        </w:tc>
        <w:tc>
          <w:tcPr>
            <w:tcW w:w="7105" w:type="dxa"/>
            <w:shd w:val="clear" w:color="auto" w:fill="auto"/>
            <w:noWrap/>
            <w:vAlign w:val="bottom"/>
            <w:hideMark/>
          </w:tcPr>
          <w:p w14:paraId="1D707273" w14:textId="77777777" w:rsidR="00AA37F7" w:rsidRPr="00F15ADB" w:rsidRDefault="00AA37F7" w:rsidP="009A160F">
            <w:pPr>
              <w:rPr>
                <w:rFonts w:eastAsia="Times New Roman"/>
              </w:rPr>
            </w:pPr>
            <w:r w:rsidRPr="00F15ADB">
              <w:rPr>
                <w:rFonts w:eastAsia="Times New Roman"/>
              </w:rPr>
              <w:t>Sporné subjekty s rizikem plnění svých závazků v termínu</w:t>
            </w:r>
          </w:p>
        </w:tc>
      </w:tr>
      <w:tr w:rsidR="00AA37F7" w:rsidRPr="00F15ADB" w14:paraId="20F15B46" w14:textId="77777777" w:rsidTr="00F15ADB">
        <w:trPr>
          <w:trHeight w:val="270"/>
          <w:jc w:val="center"/>
        </w:trPr>
        <w:tc>
          <w:tcPr>
            <w:tcW w:w="580" w:type="dxa"/>
            <w:shd w:val="clear" w:color="auto" w:fill="auto"/>
            <w:noWrap/>
            <w:vAlign w:val="bottom"/>
            <w:hideMark/>
          </w:tcPr>
          <w:p w14:paraId="166AFE36" w14:textId="77777777" w:rsidR="00AA37F7" w:rsidRPr="00F15ADB" w:rsidRDefault="00AA37F7" w:rsidP="009A160F">
            <w:pPr>
              <w:rPr>
                <w:rFonts w:eastAsia="Times New Roman"/>
              </w:rPr>
            </w:pPr>
            <w:r w:rsidRPr="00F15ADB">
              <w:rPr>
                <w:rFonts w:eastAsia="Times New Roman"/>
              </w:rPr>
              <w:t>STR5</w:t>
            </w:r>
          </w:p>
        </w:tc>
        <w:tc>
          <w:tcPr>
            <w:tcW w:w="7105" w:type="dxa"/>
            <w:shd w:val="clear" w:color="auto" w:fill="auto"/>
            <w:noWrap/>
            <w:vAlign w:val="bottom"/>
            <w:hideMark/>
          </w:tcPr>
          <w:p w14:paraId="21A70ED9" w14:textId="77777777" w:rsidR="00AA37F7" w:rsidRPr="00F15ADB" w:rsidRDefault="00AA37F7" w:rsidP="009A160F">
            <w:pPr>
              <w:rPr>
                <w:rFonts w:eastAsia="Times New Roman"/>
              </w:rPr>
            </w:pPr>
            <w:r w:rsidRPr="00F15ADB">
              <w:rPr>
                <w:rFonts w:eastAsia="Times New Roman"/>
              </w:rPr>
              <w:t>Nevhodné subjekty neschopné plnit své i krátkodobé závazky</w:t>
            </w:r>
          </w:p>
        </w:tc>
      </w:tr>
    </w:tbl>
    <w:p w14:paraId="664747FF" w14:textId="77777777" w:rsidR="00AA37F7" w:rsidRPr="00F15ADB" w:rsidRDefault="00AA37F7" w:rsidP="00AA37F7"/>
    <w:p w14:paraId="57A1EAFC" w14:textId="77777777" w:rsidR="00AA37F7" w:rsidRPr="00F15ADB" w:rsidRDefault="00AA37F7" w:rsidP="00AA37F7">
      <w:pPr>
        <w:pStyle w:val="altNadpis3"/>
      </w:pPr>
      <w:r w:rsidRPr="00F15ADB">
        <w:t>Dlouhodobé hodnocení</w:t>
      </w:r>
    </w:p>
    <w:tbl>
      <w:tblPr>
        <w:tblW w:w="77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49"/>
        <w:gridCol w:w="7173"/>
      </w:tblGrid>
      <w:tr w:rsidR="00AA37F7" w:rsidRPr="00F15ADB" w14:paraId="4810AEF5" w14:textId="77777777" w:rsidTr="00F15ADB">
        <w:trPr>
          <w:trHeight w:val="570"/>
          <w:jc w:val="center"/>
        </w:trPr>
        <w:tc>
          <w:tcPr>
            <w:tcW w:w="549" w:type="dxa"/>
            <w:shd w:val="clear" w:color="auto" w:fill="auto"/>
            <w:noWrap/>
            <w:vAlign w:val="center"/>
            <w:hideMark/>
          </w:tcPr>
          <w:p w14:paraId="79C0AE38" w14:textId="77777777" w:rsidR="00AA37F7" w:rsidRPr="00F15ADB" w:rsidRDefault="00AA37F7" w:rsidP="009A160F">
            <w:pPr>
              <w:rPr>
                <w:rFonts w:eastAsia="Times New Roman"/>
              </w:rPr>
            </w:pPr>
            <w:r w:rsidRPr="00F15ADB">
              <w:rPr>
                <w:rFonts w:eastAsia="Times New Roman"/>
              </w:rPr>
              <w:t>A</w:t>
            </w:r>
          </w:p>
        </w:tc>
        <w:tc>
          <w:tcPr>
            <w:tcW w:w="7173" w:type="dxa"/>
            <w:shd w:val="clear" w:color="auto" w:fill="auto"/>
            <w:noWrap/>
            <w:vAlign w:val="center"/>
            <w:hideMark/>
          </w:tcPr>
          <w:p w14:paraId="6FE89107" w14:textId="77777777" w:rsidR="00AA37F7" w:rsidRPr="00F15ADB" w:rsidRDefault="00AA37F7" w:rsidP="009A160F">
            <w:pPr>
              <w:rPr>
                <w:rFonts w:eastAsia="Times New Roman"/>
              </w:rPr>
            </w:pPr>
            <w:r w:rsidRPr="00F15ADB">
              <w:rPr>
                <w:rFonts w:eastAsia="Times New Roman"/>
              </w:rPr>
              <w:t>výborné subjekty, bez rizika a s vynikající schopností splácet své závazky</w:t>
            </w:r>
          </w:p>
        </w:tc>
      </w:tr>
      <w:tr w:rsidR="00AA37F7" w:rsidRPr="00F15ADB" w14:paraId="78EAF7B2" w14:textId="77777777" w:rsidTr="00F15ADB">
        <w:trPr>
          <w:trHeight w:val="520"/>
          <w:jc w:val="center"/>
        </w:trPr>
        <w:tc>
          <w:tcPr>
            <w:tcW w:w="549" w:type="dxa"/>
            <w:shd w:val="clear" w:color="auto" w:fill="auto"/>
            <w:noWrap/>
            <w:vAlign w:val="bottom"/>
            <w:hideMark/>
          </w:tcPr>
          <w:p w14:paraId="4314B8C2" w14:textId="77777777" w:rsidR="00AA37F7" w:rsidRPr="00F15ADB" w:rsidRDefault="00AA37F7" w:rsidP="009A160F">
            <w:pPr>
              <w:rPr>
                <w:rFonts w:eastAsia="Times New Roman"/>
              </w:rPr>
            </w:pPr>
            <w:r w:rsidRPr="00F15ADB">
              <w:rPr>
                <w:rFonts w:eastAsia="Times New Roman"/>
              </w:rPr>
              <w:t>A1+</w:t>
            </w:r>
          </w:p>
          <w:p w14:paraId="0D00B675" w14:textId="77777777" w:rsidR="00AA37F7" w:rsidRPr="00F15ADB" w:rsidRDefault="00AA37F7" w:rsidP="009A160F">
            <w:pPr>
              <w:rPr>
                <w:rFonts w:eastAsia="Times New Roman"/>
              </w:rPr>
            </w:pPr>
            <w:r w:rsidRPr="00F15ADB">
              <w:rPr>
                <w:rFonts w:eastAsia="Times New Roman"/>
              </w:rPr>
              <w:t>A1-</w:t>
            </w:r>
          </w:p>
        </w:tc>
        <w:tc>
          <w:tcPr>
            <w:tcW w:w="7173" w:type="dxa"/>
            <w:shd w:val="clear" w:color="auto" w:fill="auto"/>
            <w:noWrap/>
            <w:vAlign w:val="center"/>
            <w:hideMark/>
          </w:tcPr>
          <w:p w14:paraId="6F646105" w14:textId="77777777" w:rsidR="00AA37F7" w:rsidRPr="00F15ADB" w:rsidRDefault="00AA37F7" w:rsidP="009A160F">
            <w:pPr>
              <w:rPr>
                <w:rFonts w:eastAsia="Times New Roman"/>
              </w:rPr>
            </w:pPr>
            <w:r w:rsidRPr="00F15ADB">
              <w:rPr>
                <w:rFonts w:eastAsia="Times New Roman"/>
              </w:rPr>
              <w:t>velmi dobré subjekty, s výbornou schopností splácet své závazky, s očekávanou stabilní budoucností</w:t>
            </w:r>
          </w:p>
        </w:tc>
      </w:tr>
      <w:tr w:rsidR="00AA37F7" w:rsidRPr="00F15ADB" w14:paraId="16C4917A" w14:textId="77777777" w:rsidTr="00F15ADB">
        <w:trPr>
          <w:trHeight w:val="520"/>
          <w:jc w:val="center"/>
        </w:trPr>
        <w:tc>
          <w:tcPr>
            <w:tcW w:w="549" w:type="dxa"/>
            <w:shd w:val="clear" w:color="auto" w:fill="auto"/>
            <w:noWrap/>
            <w:vAlign w:val="bottom"/>
            <w:hideMark/>
          </w:tcPr>
          <w:p w14:paraId="692D63AB" w14:textId="77777777" w:rsidR="00AA37F7" w:rsidRPr="00F15ADB" w:rsidRDefault="00AA37F7" w:rsidP="009A160F">
            <w:pPr>
              <w:rPr>
                <w:rFonts w:eastAsia="Times New Roman"/>
              </w:rPr>
            </w:pPr>
            <w:r w:rsidRPr="00F15ADB">
              <w:rPr>
                <w:rFonts w:eastAsia="Times New Roman"/>
              </w:rPr>
              <w:t>A2+</w:t>
            </w:r>
          </w:p>
          <w:p w14:paraId="0D5588A4" w14:textId="77777777" w:rsidR="00AA37F7" w:rsidRPr="00F15ADB" w:rsidRDefault="00AA37F7" w:rsidP="009A160F">
            <w:pPr>
              <w:rPr>
                <w:rFonts w:eastAsia="Times New Roman"/>
              </w:rPr>
            </w:pPr>
            <w:r w:rsidRPr="00F15ADB">
              <w:rPr>
                <w:rFonts w:eastAsia="Times New Roman"/>
              </w:rPr>
              <w:t>A2-</w:t>
            </w:r>
          </w:p>
        </w:tc>
        <w:tc>
          <w:tcPr>
            <w:tcW w:w="7173" w:type="dxa"/>
            <w:shd w:val="clear" w:color="auto" w:fill="auto"/>
            <w:noWrap/>
            <w:vAlign w:val="center"/>
            <w:hideMark/>
          </w:tcPr>
          <w:p w14:paraId="2567B62D" w14:textId="77777777" w:rsidR="00AA37F7" w:rsidRPr="00F15ADB" w:rsidRDefault="00AA37F7" w:rsidP="009A160F">
            <w:pPr>
              <w:rPr>
                <w:rFonts w:eastAsia="Times New Roman"/>
              </w:rPr>
            </w:pPr>
            <w:r w:rsidRPr="00F15ADB">
              <w:rPr>
                <w:rFonts w:eastAsia="Times New Roman"/>
              </w:rPr>
              <w:t>dobré (kvalitní) subjekty, s velmi dobrou schopností splácet své závazky, doporučeno sledovat budoucí riziko v delším časovém horizontu</w:t>
            </w:r>
          </w:p>
        </w:tc>
      </w:tr>
      <w:tr w:rsidR="00AA37F7" w:rsidRPr="00F15ADB" w14:paraId="0A5E2115" w14:textId="77777777" w:rsidTr="00F15ADB">
        <w:trPr>
          <w:trHeight w:val="520"/>
          <w:jc w:val="center"/>
        </w:trPr>
        <w:tc>
          <w:tcPr>
            <w:tcW w:w="549" w:type="dxa"/>
            <w:shd w:val="clear" w:color="auto" w:fill="auto"/>
            <w:noWrap/>
            <w:vAlign w:val="bottom"/>
            <w:hideMark/>
          </w:tcPr>
          <w:p w14:paraId="0E0DA07B" w14:textId="77777777" w:rsidR="00AA37F7" w:rsidRPr="00F15ADB" w:rsidRDefault="00AA37F7" w:rsidP="009A160F">
            <w:pPr>
              <w:rPr>
                <w:rFonts w:eastAsia="Times New Roman"/>
              </w:rPr>
            </w:pPr>
            <w:r w:rsidRPr="00F15ADB">
              <w:rPr>
                <w:rFonts w:eastAsia="Times New Roman"/>
              </w:rPr>
              <w:t>B+</w:t>
            </w:r>
          </w:p>
          <w:p w14:paraId="3BD25A23" w14:textId="77777777" w:rsidR="00AA37F7" w:rsidRPr="00F15ADB" w:rsidRDefault="00AA37F7" w:rsidP="009A160F">
            <w:pPr>
              <w:rPr>
                <w:rFonts w:eastAsia="Times New Roman"/>
              </w:rPr>
            </w:pPr>
            <w:r w:rsidRPr="00F15ADB">
              <w:rPr>
                <w:rFonts w:eastAsia="Times New Roman"/>
              </w:rPr>
              <w:t>B-</w:t>
            </w:r>
          </w:p>
        </w:tc>
        <w:tc>
          <w:tcPr>
            <w:tcW w:w="7173" w:type="dxa"/>
            <w:shd w:val="clear" w:color="auto" w:fill="auto"/>
            <w:noWrap/>
            <w:vAlign w:val="center"/>
            <w:hideMark/>
          </w:tcPr>
          <w:p w14:paraId="0FD8C72F" w14:textId="77777777" w:rsidR="00AA37F7" w:rsidRPr="00F15ADB" w:rsidRDefault="00AA37F7" w:rsidP="009A160F">
            <w:pPr>
              <w:rPr>
                <w:rFonts w:eastAsia="Times New Roman"/>
              </w:rPr>
            </w:pPr>
            <w:r w:rsidRPr="00F15ADB">
              <w:rPr>
                <w:rFonts w:eastAsia="Times New Roman"/>
              </w:rPr>
              <w:t>přijatelné (bonitní) subjekty, s dobrou schopností splácet své závazky, doporučeno sledovat budoucí riziko již ve středním časovém horizontu</w:t>
            </w:r>
          </w:p>
        </w:tc>
      </w:tr>
      <w:tr w:rsidR="00AA37F7" w:rsidRPr="00F15ADB" w14:paraId="3E59FFAD" w14:textId="77777777" w:rsidTr="00F15ADB">
        <w:trPr>
          <w:trHeight w:val="520"/>
          <w:jc w:val="center"/>
        </w:trPr>
        <w:tc>
          <w:tcPr>
            <w:tcW w:w="549" w:type="dxa"/>
            <w:shd w:val="clear" w:color="auto" w:fill="auto"/>
            <w:noWrap/>
            <w:vAlign w:val="bottom"/>
            <w:hideMark/>
          </w:tcPr>
          <w:p w14:paraId="5827CF49" w14:textId="77777777" w:rsidR="00AA37F7" w:rsidRPr="00F15ADB" w:rsidRDefault="00AA37F7" w:rsidP="009A160F">
            <w:pPr>
              <w:rPr>
                <w:rFonts w:eastAsia="Times New Roman"/>
              </w:rPr>
            </w:pPr>
            <w:r w:rsidRPr="00F15ADB">
              <w:rPr>
                <w:rFonts w:eastAsia="Times New Roman"/>
              </w:rPr>
              <w:t>B1+</w:t>
            </w:r>
          </w:p>
          <w:p w14:paraId="0A480741" w14:textId="77777777" w:rsidR="00AA37F7" w:rsidRPr="00F15ADB" w:rsidRDefault="00AA37F7" w:rsidP="009A160F">
            <w:pPr>
              <w:rPr>
                <w:rFonts w:eastAsia="Times New Roman"/>
              </w:rPr>
            </w:pPr>
            <w:r w:rsidRPr="00F15ADB">
              <w:rPr>
                <w:rFonts w:eastAsia="Times New Roman"/>
              </w:rPr>
              <w:t>B1-</w:t>
            </w:r>
          </w:p>
        </w:tc>
        <w:tc>
          <w:tcPr>
            <w:tcW w:w="7173" w:type="dxa"/>
            <w:shd w:val="clear" w:color="auto" w:fill="auto"/>
            <w:noWrap/>
            <w:vAlign w:val="center"/>
            <w:hideMark/>
          </w:tcPr>
          <w:p w14:paraId="084AF307" w14:textId="77777777" w:rsidR="00AA37F7" w:rsidRPr="00F15ADB" w:rsidRDefault="00AA37F7" w:rsidP="009A160F">
            <w:pPr>
              <w:rPr>
                <w:rFonts w:eastAsia="Times New Roman"/>
              </w:rPr>
            </w:pPr>
            <w:r w:rsidRPr="00F15ADB">
              <w:rPr>
                <w:rFonts w:eastAsia="Times New Roman"/>
              </w:rPr>
              <w:t>vyhovující (uspokojivé) subjekty, s dostatečnou schopností splácet své aktuální závazky, s nejistým budoucím rizikem již v krátkém časovém horizontu</w:t>
            </w:r>
          </w:p>
        </w:tc>
      </w:tr>
      <w:tr w:rsidR="00AA37F7" w:rsidRPr="00F15ADB" w14:paraId="12349A9F" w14:textId="77777777" w:rsidTr="00F15ADB">
        <w:trPr>
          <w:trHeight w:val="520"/>
          <w:jc w:val="center"/>
        </w:trPr>
        <w:tc>
          <w:tcPr>
            <w:tcW w:w="549" w:type="dxa"/>
            <w:shd w:val="clear" w:color="auto" w:fill="auto"/>
            <w:noWrap/>
            <w:vAlign w:val="bottom"/>
            <w:hideMark/>
          </w:tcPr>
          <w:p w14:paraId="1DB2692A" w14:textId="77777777" w:rsidR="00AA37F7" w:rsidRPr="00F15ADB" w:rsidRDefault="00AA37F7" w:rsidP="009A160F">
            <w:pPr>
              <w:rPr>
                <w:rFonts w:eastAsia="Times New Roman"/>
              </w:rPr>
            </w:pPr>
            <w:r w:rsidRPr="00F15ADB">
              <w:rPr>
                <w:rFonts w:eastAsia="Times New Roman"/>
              </w:rPr>
              <w:t>B2+</w:t>
            </w:r>
          </w:p>
          <w:p w14:paraId="60793783" w14:textId="77777777" w:rsidR="00AA37F7" w:rsidRPr="00F15ADB" w:rsidRDefault="00AA37F7" w:rsidP="009A160F">
            <w:pPr>
              <w:rPr>
                <w:rFonts w:eastAsia="Times New Roman"/>
              </w:rPr>
            </w:pPr>
            <w:r w:rsidRPr="00F15ADB">
              <w:rPr>
                <w:rFonts w:eastAsia="Times New Roman"/>
              </w:rPr>
              <w:t>B2-</w:t>
            </w:r>
          </w:p>
        </w:tc>
        <w:tc>
          <w:tcPr>
            <w:tcW w:w="7173" w:type="dxa"/>
            <w:shd w:val="clear" w:color="auto" w:fill="auto"/>
            <w:noWrap/>
            <w:vAlign w:val="center"/>
            <w:hideMark/>
          </w:tcPr>
          <w:p w14:paraId="255392D4" w14:textId="77777777" w:rsidR="00AA37F7" w:rsidRPr="00F15ADB" w:rsidRDefault="00AA37F7" w:rsidP="009A160F">
            <w:pPr>
              <w:rPr>
                <w:rFonts w:eastAsia="Times New Roman"/>
              </w:rPr>
            </w:pPr>
            <w:r w:rsidRPr="00F15ADB">
              <w:rPr>
                <w:rFonts w:eastAsia="Times New Roman"/>
              </w:rPr>
              <w:t>průměrné subjekty schopné splácet své aktuální závazky, s problematickou budoucností</w:t>
            </w:r>
          </w:p>
        </w:tc>
      </w:tr>
      <w:tr w:rsidR="00AA37F7" w:rsidRPr="00F15ADB" w14:paraId="52C26E88" w14:textId="77777777" w:rsidTr="00F15ADB">
        <w:trPr>
          <w:trHeight w:val="520"/>
          <w:jc w:val="center"/>
        </w:trPr>
        <w:tc>
          <w:tcPr>
            <w:tcW w:w="549" w:type="dxa"/>
            <w:shd w:val="clear" w:color="auto" w:fill="auto"/>
            <w:noWrap/>
            <w:vAlign w:val="bottom"/>
            <w:hideMark/>
          </w:tcPr>
          <w:p w14:paraId="071C83CE" w14:textId="77777777" w:rsidR="00AA37F7" w:rsidRPr="00F15ADB" w:rsidRDefault="00AA37F7" w:rsidP="009A160F">
            <w:pPr>
              <w:rPr>
                <w:rFonts w:eastAsia="Times New Roman"/>
              </w:rPr>
            </w:pPr>
            <w:r w:rsidRPr="00F15ADB">
              <w:rPr>
                <w:rFonts w:eastAsia="Times New Roman"/>
              </w:rPr>
              <w:t>B3+</w:t>
            </w:r>
          </w:p>
          <w:p w14:paraId="6BF93898" w14:textId="77777777" w:rsidR="00AA37F7" w:rsidRPr="00F15ADB" w:rsidRDefault="00AA37F7" w:rsidP="009A160F">
            <w:pPr>
              <w:rPr>
                <w:rFonts w:eastAsia="Times New Roman"/>
              </w:rPr>
            </w:pPr>
            <w:r w:rsidRPr="00F15ADB">
              <w:rPr>
                <w:rFonts w:eastAsia="Times New Roman"/>
              </w:rPr>
              <w:t>B3-</w:t>
            </w:r>
          </w:p>
        </w:tc>
        <w:tc>
          <w:tcPr>
            <w:tcW w:w="7173" w:type="dxa"/>
            <w:shd w:val="clear" w:color="auto" w:fill="auto"/>
            <w:noWrap/>
            <w:vAlign w:val="center"/>
            <w:hideMark/>
          </w:tcPr>
          <w:p w14:paraId="52FD195A" w14:textId="77777777" w:rsidR="00AA37F7" w:rsidRPr="00F15ADB" w:rsidRDefault="00AA37F7" w:rsidP="009A160F">
            <w:pPr>
              <w:rPr>
                <w:rFonts w:eastAsia="Times New Roman"/>
              </w:rPr>
            </w:pPr>
            <w:r w:rsidRPr="00F15ADB">
              <w:rPr>
                <w:rFonts w:eastAsia="Times New Roman"/>
              </w:rPr>
              <w:t>podprůměrné subjekty s poměrně rizikovou schopností splácet své závazky, s rizikovou budoucností</w:t>
            </w:r>
          </w:p>
        </w:tc>
      </w:tr>
      <w:tr w:rsidR="00AA37F7" w:rsidRPr="00F15ADB" w14:paraId="0113DF4F" w14:textId="77777777" w:rsidTr="00F15ADB">
        <w:trPr>
          <w:trHeight w:val="520"/>
          <w:jc w:val="center"/>
        </w:trPr>
        <w:tc>
          <w:tcPr>
            <w:tcW w:w="549" w:type="dxa"/>
            <w:shd w:val="clear" w:color="auto" w:fill="auto"/>
            <w:noWrap/>
            <w:vAlign w:val="bottom"/>
            <w:hideMark/>
          </w:tcPr>
          <w:p w14:paraId="08173346" w14:textId="77777777" w:rsidR="00AA37F7" w:rsidRPr="00F15ADB" w:rsidRDefault="00AA37F7" w:rsidP="009A160F">
            <w:pPr>
              <w:rPr>
                <w:rFonts w:eastAsia="Times New Roman"/>
              </w:rPr>
            </w:pPr>
            <w:r w:rsidRPr="00F15ADB">
              <w:rPr>
                <w:rFonts w:eastAsia="Times New Roman"/>
              </w:rPr>
              <w:t>C+</w:t>
            </w:r>
          </w:p>
          <w:p w14:paraId="7D16AC10" w14:textId="77777777" w:rsidR="00AA37F7" w:rsidRPr="00F15ADB" w:rsidRDefault="00AA37F7" w:rsidP="009A160F">
            <w:pPr>
              <w:rPr>
                <w:rFonts w:eastAsia="Times New Roman"/>
              </w:rPr>
            </w:pPr>
            <w:r w:rsidRPr="00F15ADB">
              <w:rPr>
                <w:rFonts w:eastAsia="Times New Roman"/>
              </w:rPr>
              <w:t>C-</w:t>
            </w:r>
          </w:p>
        </w:tc>
        <w:tc>
          <w:tcPr>
            <w:tcW w:w="7173" w:type="dxa"/>
            <w:shd w:val="clear" w:color="auto" w:fill="auto"/>
            <w:noWrap/>
            <w:vAlign w:val="center"/>
            <w:hideMark/>
          </w:tcPr>
          <w:p w14:paraId="69D3E562" w14:textId="77777777" w:rsidR="00AA37F7" w:rsidRPr="00F15ADB" w:rsidRDefault="00AA37F7" w:rsidP="009A160F">
            <w:pPr>
              <w:rPr>
                <w:rFonts w:eastAsia="Times New Roman"/>
              </w:rPr>
            </w:pPr>
            <w:r w:rsidRPr="00F15ADB">
              <w:rPr>
                <w:rFonts w:eastAsia="Times New Roman"/>
              </w:rPr>
              <w:t>sporný (spekulativní) subjekty s nejistou schopností splácet své závazky, se značně rizikovou budoucností</w:t>
            </w:r>
          </w:p>
        </w:tc>
      </w:tr>
      <w:tr w:rsidR="00AA37F7" w:rsidRPr="00F15ADB" w14:paraId="4EEE7187" w14:textId="77777777" w:rsidTr="00F15ADB">
        <w:trPr>
          <w:trHeight w:val="520"/>
          <w:jc w:val="center"/>
        </w:trPr>
        <w:tc>
          <w:tcPr>
            <w:tcW w:w="549" w:type="dxa"/>
            <w:shd w:val="clear" w:color="auto" w:fill="auto"/>
            <w:noWrap/>
            <w:vAlign w:val="bottom"/>
            <w:hideMark/>
          </w:tcPr>
          <w:p w14:paraId="726A9317" w14:textId="77777777" w:rsidR="00AA37F7" w:rsidRPr="00F15ADB" w:rsidRDefault="00AA37F7" w:rsidP="009A160F">
            <w:pPr>
              <w:rPr>
                <w:rFonts w:eastAsia="Times New Roman"/>
              </w:rPr>
            </w:pPr>
            <w:r w:rsidRPr="00F15ADB">
              <w:rPr>
                <w:rFonts w:eastAsia="Times New Roman"/>
              </w:rPr>
              <w:t>C1+</w:t>
            </w:r>
          </w:p>
          <w:p w14:paraId="7D99DECD" w14:textId="77777777" w:rsidR="00AA37F7" w:rsidRPr="00F15ADB" w:rsidRDefault="00AA37F7" w:rsidP="009A160F">
            <w:pPr>
              <w:rPr>
                <w:rFonts w:eastAsia="Times New Roman"/>
              </w:rPr>
            </w:pPr>
            <w:r w:rsidRPr="00F15ADB">
              <w:rPr>
                <w:rFonts w:eastAsia="Times New Roman"/>
              </w:rPr>
              <w:t>C1-</w:t>
            </w:r>
          </w:p>
        </w:tc>
        <w:tc>
          <w:tcPr>
            <w:tcW w:w="7173" w:type="dxa"/>
            <w:shd w:val="clear" w:color="auto" w:fill="auto"/>
            <w:noWrap/>
            <w:vAlign w:val="center"/>
            <w:hideMark/>
          </w:tcPr>
          <w:p w14:paraId="1305572F" w14:textId="77777777" w:rsidR="00AA37F7" w:rsidRPr="00F15ADB" w:rsidRDefault="00AA37F7" w:rsidP="009A160F">
            <w:pPr>
              <w:rPr>
                <w:rFonts w:eastAsia="Times New Roman"/>
              </w:rPr>
            </w:pPr>
            <w:r w:rsidRPr="00F15ADB">
              <w:rPr>
                <w:rFonts w:eastAsia="Times New Roman"/>
              </w:rPr>
              <w:t>nevhodné (rizikové) subjekty s nestabilní schopností splácet své závazky, s vysokým rizikem v budoucnu</w:t>
            </w:r>
          </w:p>
        </w:tc>
      </w:tr>
      <w:tr w:rsidR="00AA37F7" w:rsidRPr="00F15ADB" w14:paraId="70205BE3" w14:textId="77777777" w:rsidTr="00F15ADB">
        <w:trPr>
          <w:trHeight w:val="535"/>
          <w:jc w:val="center"/>
        </w:trPr>
        <w:tc>
          <w:tcPr>
            <w:tcW w:w="549" w:type="dxa"/>
            <w:shd w:val="clear" w:color="auto" w:fill="auto"/>
            <w:noWrap/>
            <w:vAlign w:val="bottom"/>
            <w:hideMark/>
          </w:tcPr>
          <w:p w14:paraId="2C861E83" w14:textId="77777777" w:rsidR="00AA37F7" w:rsidRPr="00F15ADB" w:rsidRDefault="00AA37F7" w:rsidP="009A160F">
            <w:pPr>
              <w:rPr>
                <w:rFonts w:eastAsia="Times New Roman"/>
              </w:rPr>
            </w:pPr>
            <w:r w:rsidRPr="00F15ADB">
              <w:rPr>
                <w:rFonts w:eastAsia="Times New Roman"/>
              </w:rPr>
              <w:t>C2+</w:t>
            </w:r>
          </w:p>
          <w:p w14:paraId="304D5298" w14:textId="77777777" w:rsidR="00AA37F7" w:rsidRPr="00F15ADB" w:rsidRDefault="00AA37F7" w:rsidP="009A160F">
            <w:pPr>
              <w:rPr>
                <w:rFonts w:eastAsia="Times New Roman"/>
              </w:rPr>
            </w:pPr>
            <w:r w:rsidRPr="00F15ADB">
              <w:rPr>
                <w:rFonts w:eastAsia="Times New Roman"/>
              </w:rPr>
              <w:t>C2-</w:t>
            </w:r>
          </w:p>
        </w:tc>
        <w:tc>
          <w:tcPr>
            <w:tcW w:w="7173" w:type="dxa"/>
            <w:shd w:val="clear" w:color="auto" w:fill="auto"/>
            <w:noWrap/>
            <w:vAlign w:val="center"/>
            <w:hideMark/>
          </w:tcPr>
          <w:p w14:paraId="2166643E" w14:textId="77777777" w:rsidR="00AA37F7" w:rsidRPr="00F15ADB" w:rsidRDefault="00AA37F7" w:rsidP="009A160F">
            <w:pPr>
              <w:rPr>
                <w:rFonts w:eastAsia="Times New Roman"/>
              </w:rPr>
            </w:pPr>
            <w:r w:rsidRPr="00F15ADB">
              <w:rPr>
                <w:rFonts w:eastAsia="Times New Roman"/>
              </w:rPr>
              <w:t>nezpůsobilé (vysoce rizikové) subjekty s neschopností a neochotou splácet své závazky</w:t>
            </w:r>
          </w:p>
        </w:tc>
      </w:tr>
    </w:tbl>
    <w:p w14:paraId="24720A9A" w14:textId="77777777" w:rsidR="00AA37F7" w:rsidRPr="00F15ADB" w:rsidRDefault="00AA37F7" w:rsidP="00531349">
      <w:pPr>
        <w:pStyle w:val="Ploha"/>
      </w:pPr>
      <w:bookmarkStart w:id="160" w:name="_Toc62211733"/>
      <w:bookmarkStart w:id="161" w:name="_Toc180650309"/>
      <w:r w:rsidRPr="00F15ADB">
        <w:lastRenderedPageBreak/>
        <w:t>Stupnice ekonomického hodnocení AQE</w:t>
      </w:r>
      <w:bookmarkEnd w:id="160"/>
      <w:r w:rsidR="003336FB" w:rsidRPr="00F15ADB">
        <w:t xml:space="preserve"> </w:t>
      </w:r>
      <w:r w:rsidR="003336FB" w:rsidRPr="00F15ADB">
        <w:rPr>
          <w:b w:val="0"/>
        </w:rPr>
        <w:t>(platná od 2021)</w:t>
      </w:r>
      <w:bookmarkEnd w:id="161"/>
    </w:p>
    <w:p w14:paraId="460D8897" w14:textId="77777777" w:rsidR="00AA37F7" w:rsidRPr="00F15ADB" w:rsidRDefault="00E16671" w:rsidP="00E16671">
      <w:pPr>
        <w:pStyle w:val="Objekt"/>
        <w:jc w:val="center"/>
      </w:pPr>
      <w:r w:rsidRPr="00E16671">
        <w:rPr>
          <w:noProof/>
          <w:lang w:eastAsia="cs-CZ"/>
        </w:rPr>
        <w:drawing>
          <wp:inline distT="0" distB="0" distL="0" distR="0" wp14:anchorId="44CBFF51" wp14:editId="610EA788">
            <wp:extent cx="4935415" cy="3245041"/>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976459" cy="3272028"/>
                    </a:xfrm>
                    <a:prstGeom prst="rect">
                      <a:avLst/>
                    </a:prstGeom>
                    <a:noFill/>
                    <a:ln>
                      <a:noFill/>
                    </a:ln>
                  </pic:spPr>
                </pic:pic>
              </a:graphicData>
            </a:graphic>
          </wp:inline>
        </w:drawing>
      </w:r>
    </w:p>
    <w:p w14:paraId="103DF01C" w14:textId="77777777" w:rsidR="00AA37F7" w:rsidRPr="00C91F31" w:rsidRDefault="00E16671" w:rsidP="00B51E38">
      <w:pPr>
        <w:pStyle w:val="Objekt"/>
        <w:jc w:val="center"/>
      </w:pPr>
      <w:r w:rsidRPr="00E16671">
        <w:rPr>
          <w:noProof/>
          <w:lang w:eastAsia="cs-CZ"/>
        </w:rPr>
        <w:drawing>
          <wp:inline distT="0" distB="0" distL="0" distR="0" wp14:anchorId="0A3DF5D5" wp14:editId="060CB5AA">
            <wp:extent cx="4924427" cy="1693985"/>
            <wp:effectExtent l="0" t="0" r="0" b="190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988758" cy="1716115"/>
                    </a:xfrm>
                    <a:prstGeom prst="rect">
                      <a:avLst/>
                    </a:prstGeom>
                    <a:noFill/>
                    <a:ln>
                      <a:noFill/>
                    </a:ln>
                  </pic:spPr>
                </pic:pic>
              </a:graphicData>
            </a:graphic>
          </wp:inline>
        </w:drawing>
      </w:r>
    </w:p>
    <w:p w14:paraId="33312130" w14:textId="77777777" w:rsidR="00EF408D" w:rsidRDefault="00EF408D">
      <w:pPr>
        <w:spacing w:before="0" w:after="200"/>
        <w:jc w:val="left"/>
      </w:pPr>
      <w:r>
        <w:br w:type="page"/>
      </w:r>
    </w:p>
    <w:p w14:paraId="7ED2FF0F" w14:textId="77777777" w:rsidR="00EF408D" w:rsidRDefault="00EF408D" w:rsidP="00EF408D">
      <w:pPr>
        <w:jc w:val="left"/>
      </w:pPr>
    </w:p>
    <w:p w14:paraId="7F8FCD5E" w14:textId="77777777" w:rsidR="00EF408D" w:rsidRDefault="00EF408D" w:rsidP="00EF408D">
      <w:pPr>
        <w:jc w:val="left"/>
      </w:pPr>
    </w:p>
    <w:p w14:paraId="4AC69725" w14:textId="77777777" w:rsidR="00EF408D" w:rsidRDefault="00EF408D" w:rsidP="00EF408D">
      <w:pPr>
        <w:jc w:val="left"/>
      </w:pPr>
      <w:r>
        <w:t>Zpracovatel:</w:t>
      </w:r>
      <w:r>
        <w:tab/>
      </w:r>
      <w:r>
        <w:tab/>
        <w:t xml:space="preserve">AQE </w:t>
      </w:r>
      <w:proofErr w:type="spellStart"/>
      <w:r>
        <w:t>advisors</w:t>
      </w:r>
      <w:proofErr w:type="spellEnd"/>
      <w:r>
        <w:t>, a.s.</w:t>
      </w:r>
      <w:r>
        <w:br/>
      </w:r>
      <w:r>
        <w:tab/>
      </w:r>
      <w:r>
        <w:tab/>
      </w:r>
      <w:r>
        <w:tab/>
        <w:t>třída Kapitána Jaroše 31</w:t>
      </w:r>
      <w:r>
        <w:br/>
      </w:r>
      <w:r>
        <w:tab/>
      </w:r>
      <w:r>
        <w:tab/>
      </w:r>
      <w:r>
        <w:tab/>
        <w:t>602 00 Brno</w:t>
      </w:r>
    </w:p>
    <w:p w14:paraId="3FA133FE" w14:textId="613ED517" w:rsidR="00EF408D" w:rsidRDefault="00EF408D" w:rsidP="00EF408D">
      <w:pPr>
        <w:jc w:val="left"/>
      </w:pPr>
    </w:p>
    <w:p w14:paraId="2654710A" w14:textId="76AAD02F" w:rsidR="00EF408D" w:rsidRDefault="00EF408D" w:rsidP="00EF408D">
      <w:pPr>
        <w:jc w:val="left"/>
      </w:pPr>
    </w:p>
    <w:p w14:paraId="10815757" w14:textId="47DC6709" w:rsidR="00EF408D" w:rsidRDefault="00EF408D" w:rsidP="00EF408D">
      <w:pPr>
        <w:jc w:val="left"/>
      </w:pPr>
    </w:p>
    <w:p w14:paraId="4D005BC1" w14:textId="77777777" w:rsidR="00EF408D" w:rsidRDefault="00EF408D" w:rsidP="00EF408D">
      <w:pPr>
        <w:jc w:val="left"/>
      </w:pPr>
      <w:r>
        <w:t>Zpracoval:</w:t>
      </w:r>
      <w:r>
        <w:tab/>
      </w:r>
      <w:r>
        <w:tab/>
        <w:t>Ing. Petr Kamínek</w:t>
      </w:r>
    </w:p>
    <w:p w14:paraId="21CCC8F7" w14:textId="4281D07C" w:rsidR="00CB2E70" w:rsidRDefault="00CB2E70" w:rsidP="00CB2E70">
      <w:pPr>
        <w:jc w:val="left"/>
      </w:pPr>
    </w:p>
    <w:p w14:paraId="48467B01" w14:textId="7A592B68" w:rsidR="00CB2E70" w:rsidRDefault="00CB2E70" w:rsidP="00CB2E70">
      <w:pPr>
        <w:jc w:val="left"/>
      </w:pPr>
    </w:p>
    <w:p w14:paraId="52E9B5F2" w14:textId="77777777" w:rsidR="00EF408D" w:rsidRDefault="00793D98" w:rsidP="00CB2E70">
      <w:pPr>
        <w:ind w:left="1418" w:firstLine="709"/>
        <w:jc w:val="left"/>
      </w:pPr>
      <w:r>
        <w:t>Mgr. Jan Eberhard</w:t>
      </w:r>
    </w:p>
    <w:p w14:paraId="6AF5E3EC" w14:textId="09280BED" w:rsidR="00EF408D" w:rsidRDefault="00EF408D" w:rsidP="00EF408D">
      <w:pPr>
        <w:jc w:val="left"/>
      </w:pPr>
      <w:bookmarkStart w:id="162" w:name="_GoBack"/>
      <w:bookmarkEnd w:id="162"/>
    </w:p>
    <w:p w14:paraId="7635BADC" w14:textId="1E53ED5B" w:rsidR="00EF408D" w:rsidRDefault="00EF408D" w:rsidP="00EF408D">
      <w:pPr>
        <w:jc w:val="left"/>
      </w:pPr>
    </w:p>
    <w:p w14:paraId="064E79F2" w14:textId="77777777" w:rsidR="00EF408D" w:rsidRDefault="00EF408D" w:rsidP="00EF408D">
      <w:pPr>
        <w:jc w:val="left"/>
      </w:pPr>
      <w:r>
        <w:t>Vedoucí projektu:</w:t>
      </w:r>
      <w:r>
        <w:tab/>
        <w:t>Ing. Jan Obrovský</w:t>
      </w:r>
    </w:p>
    <w:p w14:paraId="0BA8DB4F" w14:textId="77777777" w:rsidR="00EF408D" w:rsidRDefault="00EF408D" w:rsidP="00EF408D">
      <w:pPr>
        <w:jc w:val="left"/>
      </w:pPr>
    </w:p>
    <w:p w14:paraId="67F2277C" w14:textId="77777777" w:rsidR="00EF408D" w:rsidRDefault="00EF408D" w:rsidP="00EF408D">
      <w:pPr>
        <w:jc w:val="left"/>
      </w:pPr>
    </w:p>
    <w:p w14:paraId="4FE1AC51" w14:textId="77777777" w:rsidR="00EF408D" w:rsidRDefault="00EF408D" w:rsidP="00EF408D">
      <w:pPr>
        <w:jc w:val="left"/>
      </w:pPr>
    </w:p>
    <w:p w14:paraId="1F9C8B53" w14:textId="77777777" w:rsidR="00EF408D" w:rsidRDefault="00EF408D" w:rsidP="00EF408D">
      <w:pPr>
        <w:jc w:val="left"/>
      </w:pPr>
    </w:p>
    <w:p w14:paraId="5399B835" w14:textId="77777777" w:rsidR="00EF408D" w:rsidRDefault="00EF408D" w:rsidP="00EF408D">
      <w:pPr>
        <w:jc w:val="left"/>
      </w:pPr>
    </w:p>
    <w:p w14:paraId="4B3CA6EA" w14:textId="5234CBA6" w:rsidR="00EF408D" w:rsidRDefault="00EF408D" w:rsidP="00EF408D">
      <w:pPr>
        <w:jc w:val="left"/>
      </w:pPr>
      <w:r>
        <w:t xml:space="preserve">Brno </w:t>
      </w:r>
      <w:r w:rsidR="00E77FC3">
        <w:t>říjen 2024</w:t>
      </w:r>
    </w:p>
    <w:p w14:paraId="70DC3ACB" w14:textId="77777777" w:rsidR="00DD770D" w:rsidRDefault="00DD770D">
      <w:pPr>
        <w:spacing w:before="0" w:after="200"/>
        <w:jc w:val="left"/>
      </w:pPr>
    </w:p>
    <w:p w14:paraId="29787B50" w14:textId="77777777" w:rsidR="00606A5A" w:rsidRDefault="00606A5A">
      <w:pPr>
        <w:spacing w:before="0" w:after="200"/>
        <w:jc w:val="left"/>
      </w:pPr>
    </w:p>
    <w:sectPr w:rsidR="00606A5A" w:rsidSect="00216871">
      <w:pgSz w:w="11906" w:h="16838"/>
      <w:pgMar w:top="1417" w:right="849" w:bottom="1236" w:left="851" w:header="709" w:footer="2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B887E9E" w14:textId="77777777" w:rsidR="007450E9" w:rsidRDefault="007450E9" w:rsidP="00993408">
      <w:r>
        <w:separator/>
      </w:r>
    </w:p>
    <w:p w14:paraId="7E6E552D" w14:textId="77777777" w:rsidR="007450E9" w:rsidRDefault="007450E9" w:rsidP="00993408"/>
  </w:endnote>
  <w:endnote w:type="continuationSeparator" w:id="0">
    <w:p w14:paraId="0420132F" w14:textId="77777777" w:rsidR="007450E9" w:rsidRDefault="007450E9" w:rsidP="00993408">
      <w:r>
        <w:continuationSeparator/>
      </w:r>
    </w:p>
    <w:p w14:paraId="5D8C9B49" w14:textId="77777777" w:rsidR="007450E9" w:rsidRDefault="007450E9" w:rsidP="0099340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Verdana Pro">
    <w:altName w:val="Tahoma"/>
    <w:charset w:val="00"/>
    <w:family w:val="swiss"/>
    <w:pitch w:val="variable"/>
    <w:sig w:usb0="80000287" w:usb1="0000004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019C30" w14:textId="77777777" w:rsidR="0031735E" w:rsidRPr="00AE43AB" w:rsidRDefault="0031735E" w:rsidP="00C67305">
    <w:pPr>
      <w:pStyle w:val="Zpat"/>
      <w:jc w:val="right"/>
      <w:rPr>
        <w:szCs w:val="20"/>
      </w:rPr>
    </w:pPr>
    <w:r>
      <w:rPr>
        <w:noProof/>
      </w:rPr>
      <w:fldChar w:fldCharType="begin"/>
    </w:r>
    <w:r>
      <w:rPr>
        <w:noProof/>
      </w:rPr>
      <w:instrText xml:space="preserve"> PAGE  \* Arabic  \* MERGEFORMAT </w:instrText>
    </w:r>
    <w:r>
      <w:rPr>
        <w:noProof/>
      </w:rPr>
      <w:fldChar w:fldCharType="separate"/>
    </w:r>
    <w:r w:rsidR="000D3122">
      <w:rPr>
        <w:noProof/>
      </w:rPr>
      <w:t>27</w:t>
    </w:r>
    <w:r>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E66406" w14:textId="77777777" w:rsidR="0031735E" w:rsidRPr="00AE43AB" w:rsidRDefault="0031735E" w:rsidP="003137C1">
    <w:pPr>
      <w:pStyle w:val="Zpat"/>
      <w:jc w:val="right"/>
      <w:rPr>
        <w:szCs w:val="20"/>
      </w:rPr>
    </w:pPr>
  </w:p>
  <w:p w14:paraId="3C981CDC" w14:textId="77777777" w:rsidR="0031735E" w:rsidRDefault="0031735E">
    <w:pPr>
      <w:pStyle w:val="Zpat"/>
    </w:pPr>
    <w:r>
      <w:tab/>
    </w:r>
    <w:r>
      <w:tab/>
    </w:r>
    <w:r>
      <w:tab/>
    </w: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21AA03" w14:textId="77777777" w:rsidR="007450E9" w:rsidRDefault="007450E9" w:rsidP="00993408">
      <w:r>
        <w:separator/>
      </w:r>
    </w:p>
    <w:p w14:paraId="5B83F693" w14:textId="77777777" w:rsidR="007450E9" w:rsidRDefault="007450E9" w:rsidP="00993408"/>
  </w:footnote>
  <w:footnote w:type="continuationSeparator" w:id="0">
    <w:p w14:paraId="79B78D46" w14:textId="77777777" w:rsidR="007450E9" w:rsidRDefault="007450E9" w:rsidP="00993408">
      <w:r>
        <w:continuationSeparator/>
      </w:r>
    </w:p>
    <w:p w14:paraId="11B3A45A" w14:textId="77777777" w:rsidR="007450E9" w:rsidRDefault="007450E9" w:rsidP="0099340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CB940C" w14:textId="77777777" w:rsidR="0031735E" w:rsidRPr="00C40C50" w:rsidRDefault="0031735E" w:rsidP="00483E44">
    <w:pPr>
      <w:pStyle w:val="Zhlav"/>
      <w:tabs>
        <w:tab w:val="clear" w:pos="4536"/>
        <w:tab w:val="clear" w:pos="9072"/>
        <w:tab w:val="left" w:pos="3271"/>
        <w:tab w:val="left" w:pos="9923"/>
      </w:tabs>
    </w:pPr>
    <w:r w:rsidRPr="00464232">
      <w:rPr>
        <w:noProof/>
        <w:lang w:eastAsia="cs-CZ"/>
      </w:rPr>
      <w:drawing>
        <wp:anchor distT="0" distB="0" distL="114300" distR="114300" simplePos="0" relativeHeight="251658240" behindDoc="1" locked="0" layoutInCell="1" allowOverlap="1" wp14:anchorId="64630097" wp14:editId="451A9EF6">
          <wp:simplePos x="0" y="0"/>
          <wp:positionH relativeFrom="column">
            <wp:posOffset>5860612</wp:posOffset>
          </wp:positionH>
          <wp:positionV relativeFrom="paragraph">
            <wp:posOffset>-144030</wp:posOffset>
          </wp:positionV>
          <wp:extent cx="568325" cy="554355"/>
          <wp:effectExtent l="0" t="0" r="3175" b="0"/>
          <wp:wrapNone/>
          <wp:docPr id="17" name="obrázek 12" descr="\\192.168.1.250\Firma\!___AQEacademy___!\AQE_Logotypy\AQE_Logotypy\AQE_advisors\JPG_300dpi\AQE-advisors_Logo-01_Positi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92.168.1.250\Firma\!___AQEacademy___!\AQE_Logotypy\AQE_Logotypy\AQE_advisors\JPG_300dpi\AQE-advisors_Logo-01_Positive.jpg"/>
                  <pic:cNvPicPr>
                    <a:picLocks noChangeAspect="1" noChangeArrowheads="1"/>
                  </pic:cNvPicPr>
                </pic:nvPicPr>
                <pic:blipFill>
                  <a:blip r:embed="rId1">
                    <a:extLst>
                      <a:ext uri="{28A0092B-C50C-407E-A947-70E740481C1C}">
                        <a14:useLocalDpi xmlns:a14="http://schemas.microsoft.com/office/drawing/2010/main" val="0"/>
                      </a:ext>
                    </a:extLst>
                  </a:blip>
                  <a:srcRect l="12691" t="13513" r="13396" b="14101"/>
                  <a:stretch>
                    <a:fillRect/>
                  </a:stretch>
                </pic:blipFill>
                <pic:spPr bwMode="auto">
                  <a:xfrm>
                    <a:off x="0" y="0"/>
                    <a:ext cx="568325" cy="554355"/>
                  </a:xfrm>
                  <a:prstGeom prst="rect">
                    <a:avLst/>
                  </a:prstGeom>
                  <a:noFill/>
                  <a:ln>
                    <a:noFill/>
                  </a:ln>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33C4E7" w14:textId="77777777" w:rsidR="0031735E" w:rsidRDefault="0031735E">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02652B"/>
    <w:multiLevelType w:val="multilevel"/>
    <w:tmpl w:val="1A269BA6"/>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 w15:restartNumberingAfterBreak="0">
    <w:nsid w:val="02D30B6D"/>
    <w:multiLevelType w:val="multilevel"/>
    <w:tmpl w:val="0405001D"/>
    <w:styleLink w:val="Plohy"/>
    <w:lvl w:ilvl="0">
      <w:start w:val="1"/>
      <w:numFmt w:val="decimal"/>
      <w:lvlText w:val="%1)"/>
      <w:lvlJc w:val="left"/>
      <w:pPr>
        <w:ind w:left="360" w:hanging="360"/>
      </w:pPr>
      <w:rPr>
        <w:rFonts w:ascii="Verdana" w:hAnsi="Verdana"/>
        <w:b/>
        <w:sz w:val="19"/>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06952E97"/>
    <w:multiLevelType w:val="multilevel"/>
    <w:tmpl w:val="08109782"/>
    <w:lvl w:ilvl="0">
      <w:start w:val="1"/>
      <w:numFmt w:val="decimal"/>
      <w:pStyle w:val="Kaskda"/>
      <w:lvlText w:val="%1."/>
      <w:lvlJc w:val="left"/>
      <w:pPr>
        <w:ind w:left="425" w:hanging="141"/>
      </w:pPr>
      <w:rPr>
        <w:rFonts w:hint="default"/>
      </w:rPr>
    </w:lvl>
    <w:lvl w:ilvl="1">
      <w:start w:val="1"/>
      <w:numFmt w:val="lowerLetter"/>
      <w:lvlText w:val="%2."/>
      <w:lvlJc w:val="left"/>
      <w:pPr>
        <w:ind w:left="1134" w:hanging="425"/>
      </w:pPr>
      <w:rPr>
        <w:rFonts w:hint="default"/>
      </w:rPr>
    </w:lvl>
    <w:lvl w:ilvl="2">
      <w:start w:val="1"/>
      <w:numFmt w:val="lowerRoman"/>
      <w:lvlText w:val="%3."/>
      <w:lvlJc w:val="right"/>
      <w:pPr>
        <w:ind w:left="1559" w:hanging="283"/>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 w15:restartNumberingAfterBreak="0">
    <w:nsid w:val="08623CF1"/>
    <w:multiLevelType w:val="multilevel"/>
    <w:tmpl w:val="F5EE2D3A"/>
    <w:lvl w:ilvl="0">
      <w:start w:val="1"/>
      <w:numFmt w:val="decimal"/>
      <w:pStyle w:val="Nadpis1"/>
      <w:lvlText w:val="%1"/>
      <w:lvlJc w:val="left"/>
      <w:pPr>
        <w:ind w:left="6953" w:hanging="432"/>
      </w:pPr>
    </w:lvl>
    <w:lvl w:ilvl="1">
      <w:start w:val="1"/>
      <w:numFmt w:val="decimal"/>
      <w:pStyle w:val="Nadpis2"/>
      <w:lvlText w:val="%1.%2"/>
      <w:lvlJc w:val="left"/>
      <w:pPr>
        <w:ind w:left="576" w:hanging="576"/>
      </w:pPr>
    </w:lvl>
    <w:lvl w:ilvl="2">
      <w:start w:val="1"/>
      <w:numFmt w:val="decimal"/>
      <w:pStyle w:val="Nadpis3"/>
      <w:lvlText w:val="%1.%2.%3"/>
      <w:lvlJc w:val="left"/>
      <w:pPr>
        <w:ind w:left="1288"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0AB853DC"/>
    <w:multiLevelType w:val="hybridMultilevel"/>
    <w:tmpl w:val="AF4C845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CB93E6F"/>
    <w:multiLevelType w:val="multilevel"/>
    <w:tmpl w:val="B1F8297E"/>
    <w:styleLink w:val="Grafy"/>
    <w:lvl w:ilvl="0">
      <w:start w:val="1"/>
      <w:numFmt w:val="decimal"/>
      <w:lvlText w:val="Graf č. %1:"/>
      <w:lvlJc w:val="left"/>
      <w:pPr>
        <w:tabs>
          <w:tab w:val="num" w:pos="1134"/>
        </w:tabs>
        <w:ind w:left="0" w:firstLine="0"/>
      </w:pPr>
      <w:rPr>
        <w:rFonts w:ascii="Verdana" w:hAnsi="Verdana" w:hint="default"/>
        <w:color w:val="auto"/>
        <w:sz w:val="19"/>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108F70F6"/>
    <w:multiLevelType w:val="multilevel"/>
    <w:tmpl w:val="9E827616"/>
    <w:lvl w:ilvl="0">
      <w:start w:val="1"/>
      <w:numFmt w:val="bullet"/>
      <w:lvlText w:val=""/>
      <w:lvlJc w:val="left"/>
      <w:pPr>
        <w:ind w:left="644" w:hanging="360"/>
      </w:pPr>
      <w:rPr>
        <w:rFonts w:ascii="Wingdings 2" w:hAnsi="Wingdings 2" w:hint="default"/>
        <w:color w:val="215868" w:themeColor="accent5" w:themeShade="80"/>
        <w:sz w:val="16"/>
        <w:szCs w:val="16"/>
        <w:u w:color="D52B1E"/>
      </w:rPr>
    </w:lvl>
    <w:lvl w:ilvl="1">
      <w:start w:val="1"/>
      <w:numFmt w:val="bullet"/>
      <w:lvlText w:val="-"/>
      <w:lvlJc w:val="left"/>
      <w:pPr>
        <w:ind w:left="1134" w:hanging="425"/>
      </w:pPr>
      <w:rPr>
        <w:rFonts w:ascii="Times New Roman" w:hAnsi="Times New Roman" w:cs="Times New Roman" w:hint="default"/>
      </w:rPr>
    </w:lvl>
    <w:lvl w:ilvl="2">
      <w:start w:val="1"/>
      <w:numFmt w:val="bullet"/>
      <w:lvlText w:val=""/>
      <w:lvlJc w:val="left"/>
      <w:pPr>
        <w:ind w:left="1559" w:hanging="283"/>
      </w:pPr>
      <w:rPr>
        <w:rFonts w:ascii="Wingdings" w:hAnsi="Wingdings" w:hint="default"/>
      </w:rPr>
    </w:lvl>
    <w:lvl w:ilvl="3">
      <w:start w:val="1"/>
      <w:numFmt w:val="bullet"/>
      <w:lvlText w:val=""/>
      <w:lvlJc w:val="left"/>
      <w:pPr>
        <w:ind w:left="3232" w:hanging="360"/>
      </w:pPr>
      <w:rPr>
        <w:rFonts w:ascii="Symbol" w:hAnsi="Symbol" w:hint="default"/>
      </w:rPr>
    </w:lvl>
    <w:lvl w:ilvl="4">
      <w:start w:val="1"/>
      <w:numFmt w:val="bullet"/>
      <w:lvlText w:val="o"/>
      <w:lvlJc w:val="left"/>
      <w:pPr>
        <w:ind w:left="3952" w:hanging="360"/>
      </w:pPr>
      <w:rPr>
        <w:rFonts w:ascii="Courier New" w:hAnsi="Courier New" w:cs="Courier New" w:hint="default"/>
      </w:rPr>
    </w:lvl>
    <w:lvl w:ilvl="5">
      <w:start w:val="1"/>
      <w:numFmt w:val="bullet"/>
      <w:lvlText w:val=""/>
      <w:lvlJc w:val="left"/>
      <w:pPr>
        <w:ind w:left="4672" w:hanging="360"/>
      </w:pPr>
      <w:rPr>
        <w:rFonts w:ascii="Wingdings" w:hAnsi="Wingdings" w:hint="default"/>
      </w:rPr>
    </w:lvl>
    <w:lvl w:ilvl="6">
      <w:start w:val="1"/>
      <w:numFmt w:val="bullet"/>
      <w:lvlText w:val=""/>
      <w:lvlJc w:val="left"/>
      <w:pPr>
        <w:ind w:left="5392" w:hanging="360"/>
      </w:pPr>
      <w:rPr>
        <w:rFonts w:ascii="Symbol" w:hAnsi="Symbol" w:hint="default"/>
      </w:rPr>
    </w:lvl>
    <w:lvl w:ilvl="7">
      <w:start w:val="1"/>
      <w:numFmt w:val="bullet"/>
      <w:lvlText w:val="o"/>
      <w:lvlJc w:val="left"/>
      <w:pPr>
        <w:ind w:left="6112" w:hanging="360"/>
      </w:pPr>
      <w:rPr>
        <w:rFonts w:ascii="Courier New" w:hAnsi="Courier New" w:cs="Courier New" w:hint="default"/>
      </w:rPr>
    </w:lvl>
    <w:lvl w:ilvl="8">
      <w:start w:val="1"/>
      <w:numFmt w:val="bullet"/>
      <w:lvlText w:val=""/>
      <w:lvlJc w:val="left"/>
      <w:pPr>
        <w:ind w:left="6832" w:hanging="360"/>
      </w:pPr>
      <w:rPr>
        <w:rFonts w:ascii="Wingdings" w:hAnsi="Wingdings" w:hint="default"/>
      </w:rPr>
    </w:lvl>
  </w:abstractNum>
  <w:abstractNum w:abstractNumId="7" w15:restartNumberingAfterBreak="0">
    <w:nsid w:val="12630EE9"/>
    <w:multiLevelType w:val="hybridMultilevel"/>
    <w:tmpl w:val="60B6B00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15841284"/>
    <w:multiLevelType w:val="hybridMultilevel"/>
    <w:tmpl w:val="09D8105A"/>
    <w:lvl w:ilvl="0" w:tplc="FB98C1D2">
      <w:start w:val="1"/>
      <w:numFmt w:val="decimal"/>
      <w:lvlText w:val="Tabulka č. %1: "/>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5E3692C"/>
    <w:multiLevelType w:val="hybridMultilevel"/>
    <w:tmpl w:val="FD5C73FE"/>
    <w:lvl w:ilvl="0" w:tplc="35264F44">
      <w:start w:val="1"/>
      <w:numFmt w:val="bullet"/>
      <w:pStyle w:val="Odstavecseseznamem"/>
      <w:lvlText w:val="Â"/>
      <w:lvlJc w:val="left"/>
      <w:pPr>
        <w:ind w:left="4188" w:hanging="360"/>
      </w:pPr>
      <w:rPr>
        <w:rFonts w:ascii="Wingdings 2" w:hAnsi="Wingdings 2" w:hint="default"/>
        <w:color w:val="808080" w:themeColor="background1" w:themeShade="80"/>
      </w:rPr>
    </w:lvl>
    <w:lvl w:ilvl="1" w:tplc="04050003">
      <w:start w:val="1"/>
      <w:numFmt w:val="bullet"/>
      <w:lvlText w:val="o"/>
      <w:lvlJc w:val="left"/>
      <w:pPr>
        <w:ind w:left="5846" w:hanging="360"/>
      </w:pPr>
      <w:rPr>
        <w:rFonts w:ascii="Courier New" w:hAnsi="Courier New" w:cs="Courier New" w:hint="default"/>
      </w:rPr>
    </w:lvl>
    <w:lvl w:ilvl="2" w:tplc="04050005" w:tentative="1">
      <w:start w:val="1"/>
      <w:numFmt w:val="bullet"/>
      <w:lvlText w:val=""/>
      <w:lvlJc w:val="left"/>
      <w:pPr>
        <w:ind w:left="6566" w:hanging="360"/>
      </w:pPr>
      <w:rPr>
        <w:rFonts w:ascii="Wingdings" w:hAnsi="Wingdings" w:hint="default"/>
      </w:rPr>
    </w:lvl>
    <w:lvl w:ilvl="3" w:tplc="04050001" w:tentative="1">
      <w:start w:val="1"/>
      <w:numFmt w:val="bullet"/>
      <w:lvlText w:val=""/>
      <w:lvlJc w:val="left"/>
      <w:pPr>
        <w:ind w:left="7286" w:hanging="360"/>
      </w:pPr>
      <w:rPr>
        <w:rFonts w:ascii="Symbol" w:hAnsi="Symbol" w:hint="default"/>
      </w:rPr>
    </w:lvl>
    <w:lvl w:ilvl="4" w:tplc="04050003" w:tentative="1">
      <w:start w:val="1"/>
      <w:numFmt w:val="bullet"/>
      <w:lvlText w:val="o"/>
      <w:lvlJc w:val="left"/>
      <w:pPr>
        <w:ind w:left="8006" w:hanging="360"/>
      </w:pPr>
      <w:rPr>
        <w:rFonts w:ascii="Courier New" w:hAnsi="Courier New" w:cs="Courier New" w:hint="default"/>
      </w:rPr>
    </w:lvl>
    <w:lvl w:ilvl="5" w:tplc="04050005" w:tentative="1">
      <w:start w:val="1"/>
      <w:numFmt w:val="bullet"/>
      <w:lvlText w:val=""/>
      <w:lvlJc w:val="left"/>
      <w:pPr>
        <w:ind w:left="8726" w:hanging="360"/>
      </w:pPr>
      <w:rPr>
        <w:rFonts w:ascii="Wingdings" w:hAnsi="Wingdings" w:hint="default"/>
      </w:rPr>
    </w:lvl>
    <w:lvl w:ilvl="6" w:tplc="04050001" w:tentative="1">
      <w:start w:val="1"/>
      <w:numFmt w:val="bullet"/>
      <w:lvlText w:val=""/>
      <w:lvlJc w:val="left"/>
      <w:pPr>
        <w:ind w:left="9446" w:hanging="360"/>
      </w:pPr>
      <w:rPr>
        <w:rFonts w:ascii="Symbol" w:hAnsi="Symbol" w:hint="default"/>
      </w:rPr>
    </w:lvl>
    <w:lvl w:ilvl="7" w:tplc="04050003" w:tentative="1">
      <w:start w:val="1"/>
      <w:numFmt w:val="bullet"/>
      <w:lvlText w:val="o"/>
      <w:lvlJc w:val="left"/>
      <w:pPr>
        <w:ind w:left="10166" w:hanging="360"/>
      </w:pPr>
      <w:rPr>
        <w:rFonts w:ascii="Courier New" w:hAnsi="Courier New" w:cs="Courier New" w:hint="default"/>
      </w:rPr>
    </w:lvl>
    <w:lvl w:ilvl="8" w:tplc="04050005" w:tentative="1">
      <w:start w:val="1"/>
      <w:numFmt w:val="bullet"/>
      <w:lvlText w:val=""/>
      <w:lvlJc w:val="left"/>
      <w:pPr>
        <w:ind w:left="10886" w:hanging="360"/>
      </w:pPr>
      <w:rPr>
        <w:rFonts w:ascii="Wingdings" w:hAnsi="Wingdings" w:hint="default"/>
      </w:rPr>
    </w:lvl>
  </w:abstractNum>
  <w:abstractNum w:abstractNumId="10" w15:restartNumberingAfterBreak="0">
    <w:nsid w:val="18EE20AE"/>
    <w:multiLevelType w:val="hybridMultilevel"/>
    <w:tmpl w:val="CD942976"/>
    <w:lvl w:ilvl="0" w:tplc="988CBEF6">
      <w:start w:val="1"/>
      <w:numFmt w:val="bullet"/>
      <w:lvlText w:val=""/>
      <w:lvlJc w:val="left"/>
      <w:pPr>
        <w:ind w:left="720" w:hanging="360"/>
      </w:pPr>
      <w:rPr>
        <w:rFonts w:ascii="Wingdings 2" w:hAnsi="Wingdings 2" w:hint="default"/>
        <w:color w:val="215868" w:themeColor="accent5" w:themeShade="80"/>
        <w:sz w:val="16"/>
        <w:szCs w:val="16"/>
        <w:u w:color="D52B1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1EF4323E"/>
    <w:multiLevelType w:val="multilevel"/>
    <w:tmpl w:val="1944AB6E"/>
    <w:styleLink w:val="Tabulky"/>
    <w:lvl w:ilvl="0">
      <w:start w:val="1"/>
      <w:numFmt w:val="decimal"/>
      <w:lvlText w:val="Tabulka č. %1:"/>
      <w:lvlJc w:val="left"/>
      <w:pPr>
        <w:ind w:left="786" w:hanging="360"/>
      </w:pPr>
      <w:rPr>
        <w:rFonts w:ascii="Verdana" w:hAnsi="Verdana" w:hint="default"/>
        <w:b/>
        <w:sz w:val="19"/>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20DD03AD"/>
    <w:multiLevelType w:val="hybridMultilevel"/>
    <w:tmpl w:val="537E99E6"/>
    <w:lvl w:ilvl="0" w:tplc="988CBEF6">
      <w:start w:val="1"/>
      <w:numFmt w:val="bullet"/>
      <w:lvlText w:val=""/>
      <w:lvlJc w:val="left"/>
      <w:pPr>
        <w:ind w:left="720" w:hanging="360"/>
      </w:pPr>
      <w:rPr>
        <w:rFonts w:ascii="Wingdings 2" w:hAnsi="Wingdings 2" w:hint="default"/>
        <w:color w:val="215868" w:themeColor="accent5" w:themeShade="80"/>
        <w:sz w:val="16"/>
        <w:szCs w:val="16"/>
        <w:u w:color="D52B1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20DD078A"/>
    <w:multiLevelType w:val="hybridMultilevel"/>
    <w:tmpl w:val="C4C8CE3C"/>
    <w:lvl w:ilvl="0" w:tplc="CC76667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3FF1FB4"/>
    <w:multiLevelType w:val="multilevel"/>
    <w:tmpl w:val="69AA1CF6"/>
    <w:lvl w:ilvl="0">
      <w:start w:val="1"/>
      <w:numFmt w:val="decimal"/>
      <w:pStyle w:val="Tabulka"/>
      <w:lvlText w:val="Tabulka č. %1:"/>
      <w:lvlJc w:val="left"/>
      <w:pPr>
        <w:tabs>
          <w:tab w:val="num" w:pos="2552"/>
        </w:tabs>
        <w:ind w:left="851" w:firstLine="0"/>
      </w:pPr>
      <w:rPr>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27785C32"/>
    <w:multiLevelType w:val="multilevel"/>
    <w:tmpl w:val="4AE6D854"/>
    <w:lvl w:ilvl="0">
      <w:start w:val="1"/>
      <w:numFmt w:val="bullet"/>
      <w:lvlText w:val=""/>
      <w:lvlJc w:val="left"/>
      <w:pPr>
        <w:ind w:left="644" w:hanging="360"/>
      </w:pPr>
      <w:rPr>
        <w:rFonts w:ascii="Wingdings 2" w:hAnsi="Wingdings 2" w:hint="default"/>
        <w:color w:val="215868" w:themeColor="accent5" w:themeShade="80"/>
        <w:sz w:val="16"/>
        <w:szCs w:val="16"/>
        <w:u w:color="D52B1E"/>
      </w:rPr>
    </w:lvl>
    <w:lvl w:ilvl="1">
      <w:start w:val="1"/>
      <w:numFmt w:val="bullet"/>
      <w:lvlText w:val="-"/>
      <w:lvlJc w:val="left"/>
      <w:pPr>
        <w:ind w:left="1134" w:hanging="425"/>
      </w:pPr>
      <w:rPr>
        <w:rFonts w:ascii="Times New Roman" w:hAnsi="Times New Roman" w:cs="Times New Roman" w:hint="default"/>
      </w:rPr>
    </w:lvl>
    <w:lvl w:ilvl="2">
      <w:start w:val="1"/>
      <w:numFmt w:val="bullet"/>
      <w:lvlText w:val=""/>
      <w:lvlJc w:val="left"/>
      <w:pPr>
        <w:ind w:left="1559" w:hanging="283"/>
      </w:pPr>
      <w:rPr>
        <w:rFonts w:ascii="Wingdings" w:hAnsi="Wingdings" w:hint="default"/>
      </w:rPr>
    </w:lvl>
    <w:lvl w:ilvl="3">
      <w:start w:val="1"/>
      <w:numFmt w:val="bullet"/>
      <w:lvlText w:val=""/>
      <w:lvlJc w:val="left"/>
      <w:pPr>
        <w:ind w:left="3232" w:hanging="360"/>
      </w:pPr>
      <w:rPr>
        <w:rFonts w:ascii="Symbol" w:hAnsi="Symbol" w:hint="default"/>
      </w:rPr>
    </w:lvl>
    <w:lvl w:ilvl="4">
      <w:start w:val="1"/>
      <w:numFmt w:val="bullet"/>
      <w:lvlText w:val="o"/>
      <w:lvlJc w:val="left"/>
      <w:pPr>
        <w:ind w:left="3952" w:hanging="360"/>
      </w:pPr>
      <w:rPr>
        <w:rFonts w:ascii="Courier New" w:hAnsi="Courier New" w:cs="Courier New" w:hint="default"/>
      </w:rPr>
    </w:lvl>
    <w:lvl w:ilvl="5">
      <w:start w:val="1"/>
      <w:numFmt w:val="bullet"/>
      <w:lvlText w:val=""/>
      <w:lvlJc w:val="left"/>
      <w:pPr>
        <w:ind w:left="4672" w:hanging="360"/>
      </w:pPr>
      <w:rPr>
        <w:rFonts w:ascii="Wingdings" w:hAnsi="Wingdings" w:hint="default"/>
      </w:rPr>
    </w:lvl>
    <w:lvl w:ilvl="6">
      <w:start w:val="1"/>
      <w:numFmt w:val="bullet"/>
      <w:lvlText w:val=""/>
      <w:lvlJc w:val="left"/>
      <w:pPr>
        <w:ind w:left="5392" w:hanging="360"/>
      </w:pPr>
      <w:rPr>
        <w:rFonts w:ascii="Symbol" w:hAnsi="Symbol" w:hint="default"/>
      </w:rPr>
    </w:lvl>
    <w:lvl w:ilvl="7">
      <w:start w:val="1"/>
      <w:numFmt w:val="bullet"/>
      <w:lvlText w:val="o"/>
      <w:lvlJc w:val="left"/>
      <w:pPr>
        <w:ind w:left="6112" w:hanging="360"/>
      </w:pPr>
      <w:rPr>
        <w:rFonts w:ascii="Courier New" w:hAnsi="Courier New" w:cs="Courier New" w:hint="default"/>
      </w:rPr>
    </w:lvl>
    <w:lvl w:ilvl="8">
      <w:start w:val="1"/>
      <w:numFmt w:val="bullet"/>
      <w:lvlText w:val=""/>
      <w:lvlJc w:val="left"/>
      <w:pPr>
        <w:ind w:left="6832" w:hanging="360"/>
      </w:pPr>
      <w:rPr>
        <w:rFonts w:ascii="Wingdings" w:hAnsi="Wingdings" w:hint="default"/>
      </w:rPr>
    </w:lvl>
  </w:abstractNum>
  <w:abstractNum w:abstractNumId="16" w15:restartNumberingAfterBreak="0">
    <w:nsid w:val="27C85C49"/>
    <w:multiLevelType w:val="multilevel"/>
    <w:tmpl w:val="8F785DF4"/>
    <w:styleLink w:val="KaskdyA"/>
    <w:lvl w:ilvl="0">
      <w:start w:val="1"/>
      <w:numFmt w:val="decimal"/>
      <w:lvlText w:val="%1."/>
      <w:lvlJc w:val="left"/>
      <w:pPr>
        <w:ind w:left="425" w:hanging="141"/>
      </w:pPr>
      <w:rPr>
        <w:rFonts w:ascii="Verdana" w:hAnsi="Verdana" w:hint="default"/>
        <w:sz w:val="19"/>
      </w:rPr>
    </w:lvl>
    <w:lvl w:ilvl="1">
      <w:start w:val="1"/>
      <w:numFmt w:val="lowerLetter"/>
      <w:lvlText w:val="%2."/>
      <w:lvlJc w:val="left"/>
      <w:pPr>
        <w:ind w:left="992" w:hanging="283"/>
      </w:pPr>
      <w:rPr>
        <w:rFonts w:hint="default"/>
      </w:rPr>
    </w:lvl>
    <w:lvl w:ilvl="2">
      <w:start w:val="1"/>
      <w:numFmt w:val="lowerRoman"/>
      <w:lvlText w:val="%3."/>
      <w:lvlJc w:val="right"/>
      <w:pPr>
        <w:ind w:left="1418" w:hanging="284"/>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28573A2B"/>
    <w:multiLevelType w:val="multilevel"/>
    <w:tmpl w:val="B108194C"/>
    <w:lvl w:ilvl="0">
      <w:start w:val="1"/>
      <w:numFmt w:val="decimal"/>
      <w:pStyle w:val="Ploha"/>
      <w:lvlText w:val="Příloha č. %1:"/>
      <w:lvlJc w:val="left"/>
      <w:pPr>
        <w:ind w:left="1418" w:hanging="1418"/>
      </w:pPr>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2B297A9A"/>
    <w:multiLevelType w:val="hybridMultilevel"/>
    <w:tmpl w:val="B392855C"/>
    <w:lvl w:ilvl="0" w:tplc="9494865C">
      <w:start w:val="1"/>
      <w:numFmt w:val="decimal"/>
      <w:pStyle w:val="graf"/>
      <w:lvlText w:val="Graf č. %1: "/>
      <w:lvlJc w:val="left"/>
      <w:pPr>
        <w:ind w:left="720" w:hanging="360"/>
      </w:pPr>
      <w:rPr>
        <w:rFonts w:hint="default"/>
      </w:rPr>
    </w:lvl>
    <w:lvl w:ilvl="1" w:tplc="04050003" w:tentative="1">
      <w:start w:val="1"/>
      <w:numFmt w:val="lowerLetter"/>
      <w:lvlText w:val="%2."/>
      <w:lvlJc w:val="left"/>
      <w:pPr>
        <w:ind w:left="1440" w:hanging="360"/>
      </w:pPr>
    </w:lvl>
    <w:lvl w:ilvl="2" w:tplc="04050005" w:tentative="1">
      <w:start w:val="1"/>
      <w:numFmt w:val="lowerRoman"/>
      <w:lvlText w:val="%3."/>
      <w:lvlJc w:val="right"/>
      <w:pPr>
        <w:ind w:left="2160" w:hanging="180"/>
      </w:pPr>
    </w:lvl>
    <w:lvl w:ilvl="3" w:tplc="04050001" w:tentative="1">
      <w:start w:val="1"/>
      <w:numFmt w:val="decimal"/>
      <w:lvlText w:val="%4."/>
      <w:lvlJc w:val="left"/>
      <w:pPr>
        <w:ind w:left="2880" w:hanging="360"/>
      </w:pPr>
    </w:lvl>
    <w:lvl w:ilvl="4" w:tplc="04050003" w:tentative="1">
      <w:start w:val="1"/>
      <w:numFmt w:val="lowerLetter"/>
      <w:lvlText w:val="%5."/>
      <w:lvlJc w:val="left"/>
      <w:pPr>
        <w:ind w:left="3600" w:hanging="360"/>
      </w:pPr>
    </w:lvl>
    <w:lvl w:ilvl="5" w:tplc="04050005" w:tentative="1">
      <w:start w:val="1"/>
      <w:numFmt w:val="lowerRoman"/>
      <w:lvlText w:val="%6."/>
      <w:lvlJc w:val="right"/>
      <w:pPr>
        <w:ind w:left="4320" w:hanging="180"/>
      </w:pPr>
    </w:lvl>
    <w:lvl w:ilvl="6" w:tplc="04050001" w:tentative="1">
      <w:start w:val="1"/>
      <w:numFmt w:val="decimal"/>
      <w:lvlText w:val="%7."/>
      <w:lvlJc w:val="left"/>
      <w:pPr>
        <w:ind w:left="5040" w:hanging="360"/>
      </w:pPr>
    </w:lvl>
    <w:lvl w:ilvl="7" w:tplc="04050003" w:tentative="1">
      <w:start w:val="1"/>
      <w:numFmt w:val="lowerLetter"/>
      <w:lvlText w:val="%8."/>
      <w:lvlJc w:val="left"/>
      <w:pPr>
        <w:ind w:left="5760" w:hanging="360"/>
      </w:pPr>
    </w:lvl>
    <w:lvl w:ilvl="8" w:tplc="04050005" w:tentative="1">
      <w:start w:val="1"/>
      <w:numFmt w:val="lowerRoman"/>
      <w:lvlText w:val="%9."/>
      <w:lvlJc w:val="right"/>
      <w:pPr>
        <w:ind w:left="6480" w:hanging="180"/>
      </w:pPr>
    </w:lvl>
  </w:abstractNum>
  <w:abstractNum w:abstractNumId="19" w15:restartNumberingAfterBreak="0">
    <w:nsid w:val="3289008B"/>
    <w:multiLevelType w:val="multilevel"/>
    <w:tmpl w:val="8EDC0B00"/>
    <w:lvl w:ilvl="0">
      <w:start w:val="1"/>
      <w:numFmt w:val="upperLetter"/>
      <w:pStyle w:val="KaskdaA"/>
      <w:lvlText w:val="%1."/>
      <w:lvlJc w:val="left"/>
      <w:pPr>
        <w:ind w:left="425" w:hanging="141"/>
      </w:pPr>
      <w:rPr>
        <w:rFonts w:ascii="Verdana" w:hAnsi="Verdana" w:hint="default"/>
        <w:sz w:val="19"/>
      </w:rPr>
    </w:lvl>
    <w:lvl w:ilvl="1">
      <w:start w:val="1"/>
      <w:numFmt w:val="decimal"/>
      <w:lvlText w:val="%2)"/>
      <w:lvlJc w:val="left"/>
      <w:pPr>
        <w:ind w:left="1134" w:hanging="425"/>
      </w:pPr>
      <w:rPr>
        <w:rFonts w:hint="default"/>
      </w:rPr>
    </w:lvl>
    <w:lvl w:ilvl="2">
      <w:start w:val="1"/>
      <w:numFmt w:val="lowerRoman"/>
      <w:lvlText w:val="%3."/>
      <w:lvlJc w:val="right"/>
      <w:pPr>
        <w:ind w:left="1559" w:hanging="283"/>
      </w:pPr>
      <w:rPr>
        <w:rFonts w:hint="default"/>
      </w:rPr>
    </w:lvl>
    <w:lvl w:ilvl="3">
      <w:start w:val="1"/>
      <w:numFmt w:val="decimal"/>
      <w:lvlText w:val="%4."/>
      <w:lvlJc w:val="left"/>
      <w:pPr>
        <w:ind w:left="1843" w:hanging="284"/>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369658E9"/>
    <w:multiLevelType w:val="hybridMultilevel"/>
    <w:tmpl w:val="72828990"/>
    <w:lvl w:ilvl="0" w:tplc="988CBEF6">
      <w:start w:val="1"/>
      <w:numFmt w:val="bullet"/>
      <w:lvlText w:val=""/>
      <w:lvlJc w:val="left"/>
      <w:pPr>
        <w:ind w:left="720" w:hanging="360"/>
      </w:pPr>
      <w:rPr>
        <w:rFonts w:ascii="Wingdings 2" w:hAnsi="Wingdings 2" w:hint="default"/>
        <w:color w:val="215868" w:themeColor="accent5" w:themeShade="80"/>
        <w:sz w:val="16"/>
        <w:szCs w:val="16"/>
        <w:u w:color="D52B1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37E05A52"/>
    <w:multiLevelType w:val="multilevel"/>
    <w:tmpl w:val="04CEB976"/>
    <w:lvl w:ilvl="0">
      <w:start w:val="1"/>
      <w:numFmt w:val="decimal"/>
      <w:pStyle w:val="Obrzek"/>
      <w:lvlText w:val="Obrázek č. %1: "/>
      <w:lvlJc w:val="left"/>
      <w:pPr>
        <w:tabs>
          <w:tab w:val="num" w:pos="1701"/>
        </w:tabs>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2" w15:restartNumberingAfterBreak="0">
    <w:nsid w:val="39E94C1B"/>
    <w:multiLevelType w:val="hybridMultilevel"/>
    <w:tmpl w:val="C3A41A2C"/>
    <w:lvl w:ilvl="0" w:tplc="E9C4BB8A">
      <w:start w:val="1"/>
      <w:numFmt w:val="bullet"/>
      <w:lvlText w:val=""/>
      <w:lvlJc w:val="left"/>
      <w:pPr>
        <w:ind w:left="1080" w:hanging="360"/>
      </w:pPr>
      <w:rPr>
        <w:rFonts w:ascii="Wingdings 2" w:hAnsi="Wingdings 2" w:hint="default"/>
        <w:color w:val="C2DEEA"/>
        <w:sz w:val="16"/>
        <w:szCs w:val="16"/>
        <w:u w:color="D52B1E"/>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3" w15:restartNumberingAfterBreak="0">
    <w:nsid w:val="4115722C"/>
    <w:multiLevelType w:val="hybridMultilevel"/>
    <w:tmpl w:val="C4244230"/>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42DB0C72"/>
    <w:multiLevelType w:val="multilevel"/>
    <w:tmpl w:val="206C14F6"/>
    <w:lvl w:ilvl="0">
      <w:start w:val="1"/>
      <w:numFmt w:val="bullet"/>
      <w:lvlText w:val=""/>
      <w:lvlJc w:val="left"/>
      <w:pPr>
        <w:ind w:left="644" w:hanging="360"/>
      </w:pPr>
      <w:rPr>
        <w:rFonts w:ascii="Wingdings 2" w:hAnsi="Wingdings 2" w:hint="default"/>
        <w:color w:val="215868" w:themeColor="accent5" w:themeShade="80"/>
        <w:sz w:val="16"/>
        <w:szCs w:val="16"/>
        <w:u w:color="D52B1E"/>
      </w:rPr>
    </w:lvl>
    <w:lvl w:ilvl="1">
      <w:start w:val="1"/>
      <w:numFmt w:val="bullet"/>
      <w:lvlText w:val="-"/>
      <w:lvlJc w:val="left"/>
      <w:pPr>
        <w:ind w:left="1134" w:hanging="425"/>
      </w:pPr>
      <w:rPr>
        <w:rFonts w:ascii="Times New Roman" w:hAnsi="Times New Roman" w:cs="Times New Roman" w:hint="default"/>
      </w:rPr>
    </w:lvl>
    <w:lvl w:ilvl="2">
      <w:start w:val="1"/>
      <w:numFmt w:val="bullet"/>
      <w:lvlText w:val=""/>
      <w:lvlJc w:val="left"/>
      <w:pPr>
        <w:ind w:left="1559" w:hanging="283"/>
      </w:pPr>
      <w:rPr>
        <w:rFonts w:ascii="Wingdings" w:hAnsi="Wingdings" w:hint="default"/>
      </w:rPr>
    </w:lvl>
    <w:lvl w:ilvl="3">
      <w:start w:val="1"/>
      <w:numFmt w:val="bullet"/>
      <w:lvlText w:val=""/>
      <w:lvlJc w:val="left"/>
      <w:pPr>
        <w:ind w:left="3232" w:hanging="360"/>
      </w:pPr>
      <w:rPr>
        <w:rFonts w:ascii="Symbol" w:hAnsi="Symbol" w:hint="default"/>
      </w:rPr>
    </w:lvl>
    <w:lvl w:ilvl="4">
      <w:start w:val="1"/>
      <w:numFmt w:val="bullet"/>
      <w:lvlText w:val="o"/>
      <w:lvlJc w:val="left"/>
      <w:pPr>
        <w:ind w:left="3952" w:hanging="360"/>
      </w:pPr>
      <w:rPr>
        <w:rFonts w:ascii="Courier New" w:hAnsi="Courier New" w:cs="Courier New" w:hint="default"/>
      </w:rPr>
    </w:lvl>
    <w:lvl w:ilvl="5">
      <w:start w:val="1"/>
      <w:numFmt w:val="bullet"/>
      <w:lvlText w:val=""/>
      <w:lvlJc w:val="left"/>
      <w:pPr>
        <w:ind w:left="4672" w:hanging="360"/>
      </w:pPr>
      <w:rPr>
        <w:rFonts w:ascii="Wingdings" w:hAnsi="Wingdings" w:hint="default"/>
      </w:rPr>
    </w:lvl>
    <w:lvl w:ilvl="6">
      <w:start w:val="1"/>
      <w:numFmt w:val="bullet"/>
      <w:lvlText w:val=""/>
      <w:lvlJc w:val="left"/>
      <w:pPr>
        <w:ind w:left="5392" w:hanging="360"/>
      </w:pPr>
      <w:rPr>
        <w:rFonts w:ascii="Symbol" w:hAnsi="Symbol" w:hint="default"/>
      </w:rPr>
    </w:lvl>
    <w:lvl w:ilvl="7">
      <w:start w:val="1"/>
      <w:numFmt w:val="bullet"/>
      <w:lvlText w:val="o"/>
      <w:lvlJc w:val="left"/>
      <w:pPr>
        <w:ind w:left="6112" w:hanging="360"/>
      </w:pPr>
      <w:rPr>
        <w:rFonts w:ascii="Courier New" w:hAnsi="Courier New" w:cs="Courier New" w:hint="default"/>
      </w:rPr>
    </w:lvl>
    <w:lvl w:ilvl="8">
      <w:start w:val="1"/>
      <w:numFmt w:val="bullet"/>
      <w:lvlText w:val=""/>
      <w:lvlJc w:val="left"/>
      <w:pPr>
        <w:ind w:left="6832" w:hanging="360"/>
      </w:pPr>
      <w:rPr>
        <w:rFonts w:ascii="Wingdings" w:hAnsi="Wingdings" w:hint="default"/>
      </w:rPr>
    </w:lvl>
  </w:abstractNum>
  <w:abstractNum w:abstractNumId="25" w15:restartNumberingAfterBreak="0">
    <w:nsid w:val="44CB72C4"/>
    <w:multiLevelType w:val="multilevel"/>
    <w:tmpl w:val="422CFD04"/>
    <w:lvl w:ilvl="0">
      <w:start w:val="1"/>
      <w:numFmt w:val="bullet"/>
      <w:lvlText w:val=""/>
      <w:lvlJc w:val="left"/>
      <w:pPr>
        <w:ind w:left="644" w:hanging="360"/>
      </w:pPr>
      <w:rPr>
        <w:rFonts w:ascii="Wingdings 2" w:hAnsi="Wingdings 2" w:hint="default"/>
        <w:color w:val="215868" w:themeColor="accent5" w:themeShade="80"/>
        <w:sz w:val="16"/>
        <w:szCs w:val="16"/>
        <w:u w:color="D52B1E"/>
      </w:rPr>
    </w:lvl>
    <w:lvl w:ilvl="1">
      <w:start w:val="1"/>
      <w:numFmt w:val="bullet"/>
      <w:lvlText w:val="-"/>
      <w:lvlJc w:val="left"/>
      <w:pPr>
        <w:ind w:left="1134" w:hanging="425"/>
      </w:pPr>
      <w:rPr>
        <w:rFonts w:ascii="Times New Roman" w:hAnsi="Times New Roman" w:cs="Times New Roman" w:hint="default"/>
      </w:rPr>
    </w:lvl>
    <w:lvl w:ilvl="2">
      <w:start w:val="1"/>
      <w:numFmt w:val="bullet"/>
      <w:lvlText w:val=""/>
      <w:lvlJc w:val="left"/>
      <w:pPr>
        <w:ind w:left="1559" w:hanging="283"/>
      </w:pPr>
      <w:rPr>
        <w:rFonts w:ascii="Wingdings" w:hAnsi="Wingdings" w:hint="default"/>
      </w:rPr>
    </w:lvl>
    <w:lvl w:ilvl="3">
      <w:start w:val="1"/>
      <w:numFmt w:val="bullet"/>
      <w:lvlText w:val=""/>
      <w:lvlJc w:val="left"/>
      <w:pPr>
        <w:ind w:left="3232" w:hanging="360"/>
      </w:pPr>
      <w:rPr>
        <w:rFonts w:ascii="Symbol" w:hAnsi="Symbol" w:hint="default"/>
      </w:rPr>
    </w:lvl>
    <w:lvl w:ilvl="4">
      <w:start w:val="1"/>
      <w:numFmt w:val="bullet"/>
      <w:lvlText w:val="o"/>
      <w:lvlJc w:val="left"/>
      <w:pPr>
        <w:ind w:left="3952" w:hanging="360"/>
      </w:pPr>
      <w:rPr>
        <w:rFonts w:ascii="Courier New" w:hAnsi="Courier New" w:cs="Courier New" w:hint="default"/>
      </w:rPr>
    </w:lvl>
    <w:lvl w:ilvl="5">
      <w:start w:val="1"/>
      <w:numFmt w:val="bullet"/>
      <w:lvlText w:val=""/>
      <w:lvlJc w:val="left"/>
      <w:pPr>
        <w:ind w:left="4672" w:hanging="360"/>
      </w:pPr>
      <w:rPr>
        <w:rFonts w:ascii="Wingdings" w:hAnsi="Wingdings" w:hint="default"/>
      </w:rPr>
    </w:lvl>
    <w:lvl w:ilvl="6">
      <w:start w:val="1"/>
      <w:numFmt w:val="bullet"/>
      <w:lvlText w:val=""/>
      <w:lvlJc w:val="left"/>
      <w:pPr>
        <w:ind w:left="5392" w:hanging="360"/>
      </w:pPr>
      <w:rPr>
        <w:rFonts w:ascii="Symbol" w:hAnsi="Symbol" w:hint="default"/>
      </w:rPr>
    </w:lvl>
    <w:lvl w:ilvl="7">
      <w:start w:val="1"/>
      <w:numFmt w:val="bullet"/>
      <w:lvlText w:val="o"/>
      <w:lvlJc w:val="left"/>
      <w:pPr>
        <w:ind w:left="6112" w:hanging="360"/>
      </w:pPr>
      <w:rPr>
        <w:rFonts w:ascii="Courier New" w:hAnsi="Courier New" w:cs="Courier New" w:hint="default"/>
      </w:rPr>
    </w:lvl>
    <w:lvl w:ilvl="8">
      <w:start w:val="1"/>
      <w:numFmt w:val="bullet"/>
      <w:lvlText w:val=""/>
      <w:lvlJc w:val="left"/>
      <w:pPr>
        <w:ind w:left="6832" w:hanging="360"/>
      </w:pPr>
      <w:rPr>
        <w:rFonts w:ascii="Wingdings" w:hAnsi="Wingdings" w:hint="default"/>
      </w:rPr>
    </w:lvl>
  </w:abstractNum>
  <w:abstractNum w:abstractNumId="26" w15:restartNumberingAfterBreak="0">
    <w:nsid w:val="457E43F4"/>
    <w:multiLevelType w:val="hybridMultilevel"/>
    <w:tmpl w:val="73AE534E"/>
    <w:lvl w:ilvl="0" w:tplc="9716A94C">
      <w:start w:val="1"/>
      <w:numFmt w:val="decimal"/>
      <w:pStyle w:val="tabulka0"/>
      <w:lvlText w:val="Tabulka č. %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4AE207DB"/>
    <w:multiLevelType w:val="multilevel"/>
    <w:tmpl w:val="1D1AC466"/>
    <w:lvl w:ilvl="0">
      <w:start w:val="1"/>
      <w:numFmt w:val="bullet"/>
      <w:lvlText w:val=""/>
      <w:lvlJc w:val="left"/>
      <w:pPr>
        <w:ind w:left="644" w:hanging="360"/>
      </w:pPr>
      <w:rPr>
        <w:rFonts w:ascii="Wingdings 2" w:hAnsi="Wingdings 2" w:hint="default"/>
        <w:color w:val="215868" w:themeColor="accent5" w:themeShade="80"/>
        <w:sz w:val="16"/>
        <w:szCs w:val="16"/>
        <w:u w:color="D52B1E"/>
      </w:rPr>
    </w:lvl>
    <w:lvl w:ilvl="1">
      <w:start w:val="1"/>
      <w:numFmt w:val="bullet"/>
      <w:lvlText w:val="-"/>
      <w:lvlJc w:val="left"/>
      <w:pPr>
        <w:ind w:left="1134" w:hanging="425"/>
      </w:pPr>
      <w:rPr>
        <w:rFonts w:ascii="Times New Roman" w:hAnsi="Times New Roman" w:cs="Times New Roman" w:hint="default"/>
      </w:rPr>
    </w:lvl>
    <w:lvl w:ilvl="2">
      <w:start w:val="1"/>
      <w:numFmt w:val="bullet"/>
      <w:lvlText w:val=""/>
      <w:lvlJc w:val="left"/>
      <w:pPr>
        <w:ind w:left="1559" w:hanging="283"/>
      </w:pPr>
      <w:rPr>
        <w:rFonts w:ascii="Wingdings" w:hAnsi="Wingdings" w:hint="default"/>
      </w:rPr>
    </w:lvl>
    <w:lvl w:ilvl="3">
      <w:start w:val="1"/>
      <w:numFmt w:val="bullet"/>
      <w:lvlText w:val=""/>
      <w:lvlJc w:val="left"/>
      <w:pPr>
        <w:ind w:left="3232" w:hanging="360"/>
      </w:pPr>
      <w:rPr>
        <w:rFonts w:ascii="Symbol" w:hAnsi="Symbol" w:hint="default"/>
      </w:rPr>
    </w:lvl>
    <w:lvl w:ilvl="4">
      <w:start w:val="1"/>
      <w:numFmt w:val="bullet"/>
      <w:lvlText w:val="o"/>
      <w:lvlJc w:val="left"/>
      <w:pPr>
        <w:ind w:left="3952" w:hanging="360"/>
      </w:pPr>
      <w:rPr>
        <w:rFonts w:ascii="Courier New" w:hAnsi="Courier New" w:cs="Courier New" w:hint="default"/>
      </w:rPr>
    </w:lvl>
    <w:lvl w:ilvl="5">
      <w:start w:val="1"/>
      <w:numFmt w:val="bullet"/>
      <w:lvlText w:val=""/>
      <w:lvlJc w:val="left"/>
      <w:pPr>
        <w:ind w:left="4672" w:hanging="360"/>
      </w:pPr>
      <w:rPr>
        <w:rFonts w:ascii="Wingdings" w:hAnsi="Wingdings" w:hint="default"/>
      </w:rPr>
    </w:lvl>
    <w:lvl w:ilvl="6">
      <w:start w:val="1"/>
      <w:numFmt w:val="bullet"/>
      <w:lvlText w:val=""/>
      <w:lvlJc w:val="left"/>
      <w:pPr>
        <w:ind w:left="5392" w:hanging="360"/>
      </w:pPr>
      <w:rPr>
        <w:rFonts w:ascii="Symbol" w:hAnsi="Symbol" w:hint="default"/>
      </w:rPr>
    </w:lvl>
    <w:lvl w:ilvl="7">
      <w:start w:val="1"/>
      <w:numFmt w:val="bullet"/>
      <w:lvlText w:val="o"/>
      <w:lvlJc w:val="left"/>
      <w:pPr>
        <w:ind w:left="6112" w:hanging="360"/>
      </w:pPr>
      <w:rPr>
        <w:rFonts w:ascii="Courier New" w:hAnsi="Courier New" w:cs="Courier New" w:hint="default"/>
      </w:rPr>
    </w:lvl>
    <w:lvl w:ilvl="8">
      <w:start w:val="1"/>
      <w:numFmt w:val="bullet"/>
      <w:lvlText w:val=""/>
      <w:lvlJc w:val="left"/>
      <w:pPr>
        <w:ind w:left="6832" w:hanging="360"/>
      </w:pPr>
      <w:rPr>
        <w:rFonts w:ascii="Wingdings" w:hAnsi="Wingdings" w:hint="default"/>
      </w:rPr>
    </w:lvl>
  </w:abstractNum>
  <w:abstractNum w:abstractNumId="28" w15:restartNumberingAfterBreak="0">
    <w:nsid w:val="4AF25C8A"/>
    <w:multiLevelType w:val="multilevel"/>
    <w:tmpl w:val="C4E4EE16"/>
    <w:lvl w:ilvl="0">
      <w:start w:val="3"/>
      <w:numFmt w:val="bullet"/>
      <w:pStyle w:val="Kaskda0"/>
      <w:lvlText w:val="●"/>
      <w:lvlJc w:val="left"/>
      <w:pPr>
        <w:ind w:left="644" w:hanging="360"/>
      </w:pPr>
      <w:rPr>
        <w:rFonts w:ascii="Calibri" w:hAnsi="Calibri" w:hint="default"/>
        <w:color w:val="2E3192"/>
        <w:sz w:val="16"/>
      </w:rPr>
    </w:lvl>
    <w:lvl w:ilvl="1">
      <w:start w:val="1"/>
      <w:numFmt w:val="bullet"/>
      <w:lvlText w:val="-"/>
      <w:lvlJc w:val="left"/>
      <w:pPr>
        <w:ind w:left="1134" w:hanging="425"/>
      </w:pPr>
      <w:rPr>
        <w:rFonts w:ascii="Times New Roman" w:hAnsi="Times New Roman" w:cs="Times New Roman" w:hint="default"/>
      </w:rPr>
    </w:lvl>
    <w:lvl w:ilvl="2">
      <w:start w:val="1"/>
      <w:numFmt w:val="bullet"/>
      <w:lvlText w:val=""/>
      <w:lvlJc w:val="left"/>
      <w:pPr>
        <w:ind w:left="1559" w:hanging="283"/>
      </w:pPr>
      <w:rPr>
        <w:rFonts w:ascii="Wingdings" w:hAnsi="Wingdings" w:hint="default"/>
      </w:rPr>
    </w:lvl>
    <w:lvl w:ilvl="3">
      <w:start w:val="1"/>
      <w:numFmt w:val="bullet"/>
      <w:lvlText w:val=""/>
      <w:lvlJc w:val="left"/>
      <w:pPr>
        <w:ind w:left="3232" w:hanging="360"/>
      </w:pPr>
      <w:rPr>
        <w:rFonts w:ascii="Symbol" w:hAnsi="Symbol" w:hint="default"/>
      </w:rPr>
    </w:lvl>
    <w:lvl w:ilvl="4">
      <w:start w:val="1"/>
      <w:numFmt w:val="bullet"/>
      <w:lvlText w:val="o"/>
      <w:lvlJc w:val="left"/>
      <w:pPr>
        <w:ind w:left="3952" w:hanging="360"/>
      </w:pPr>
      <w:rPr>
        <w:rFonts w:ascii="Courier New" w:hAnsi="Courier New" w:cs="Courier New" w:hint="default"/>
      </w:rPr>
    </w:lvl>
    <w:lvl w:ilvl="5">
      <w:start w:val="1"/>
      <w:numFmt w:val="bullet"/>
      <w:lvlText w:val=""/>
      <w:lvlJc w:val="left"/>
      <w:pPr>
        <w:ind w:left="4672" w:hanging="360"/>
      </w:pPr>
      <w:rPr>
        <w:rFonts w:ascii="Wingdings" w:hAnsi="Wingdings" w:hint="default"/>
      </w:rPr>
    </w:lvl>
    <w:lvl w:ilvl="6">
      <w:start w:val="1"/>
      <w:numFmt w:val="bullet"/>
      <w:lvlText w:val=""/>
      <w:lvlJc w:val="left"/>
      <w:pPr>
        <w:ind w:left="5392" w:hanging="360"/>
      </w:pPr>
      <w:rPr>
        <w:rFonts w:ascii="Symbol" w:hAnsi="Symbol" w:hint="default"/>
      </w:rPr>
    </w:lvl>
    <w:lvl w:ilvl="7">
      <w:start w:val="1"/>
      <w:numFmt w:val="bullet"/>
      <w:lvlText w:val="o"/>
      <w:lvlJc w:val="left"/>
      <w:pPr>
        <w:ind w:left="6112" w:hanging="360"/>
      </w:pPr>
      <w:rPr>
        <w:rFonts w:ascii="Courier New" w:hAnsi="Courier New" w:cs="Courier New" w:hint="default"/>
      </w:rPr>
    </w:lvl>
    <w:lvl w:ilvl="8">
      <w:start w:val="1"/>
      <w:numFmt w:val="bullet"/>
      <w:lvlText w:val=""/>
      <w:lvlJc w:val="left"/>
      <w:pPr>
        <w:ind w:left="6832" w:hanging="360"/>
      </w:pPr>
      <w:rPr>
        <w:rFonts w:ascii="Wingdings" w:hAnsi="Wingdings" w:hint="default"/>
      </w:rPr>
    </w:lvl>
  </w:abstractNum>
  <w:abstractNum w:abstractNumId="29" w15:restartNumberingAfterBreak="0">
    <w:nsid w:val="4CCB5274"/>
    <w:multiLevelType w:val="multilevel"/>
    <w:tmpl w:val="DB68E026"/>
    <w:lvl w:ilvl="0">
      <w:start w:val="1"/>
      <w:numFmt w:val="bullet"/>
      <w:lvlText w:val=""/>
      <w:lvlJc w:val="left"/>
      <w:pPr>
        <w:ind w:left="644" w:hanging="360"/>
      </w:pPr>
      <w:rPr>
        <w:rFonts w:ascii="Wingdings 2" w:hAnsi="Wingdings 2" w:hint="default"/>
        <w:color w:val="215868" w:themeColor="accent5" w:themeShade="80"/>
        <w:sz w:val="16"/>
        <w:szCs w:val="16"/>
        <w:u w:color="D52B1E"/>
      </w:rPr>
    </w:lvl>
    <w:lvl w:ilvl="1">
      <w:start w:val="1"/>
      <w:numFmt w:val="bullet"/>
      <w:lvlText w:val="-"/>
      <w:lvlJc w:val="left"/>
      <w:pPr>
        <w:ind w:left="1134" w:hanging="425"/>
      </w:pPr>
      <w:rPr>
        <w:rFonts w:ascii="Times New Roman" w:hAnsi="Times New Roman" w:cs="Times New Roman" w:hint="default"/>
      </w:rPr>
    </w:lvl>
    <w:lvl w:ilvl="2">
      <w:start w:val="1"/>
      <w:numFmt w:val="bullet"/>
      <w:lvlText w:val=""/>
      <w:lvlJc w:val="left"/>
      <w:pPr>
        <w:ind w:left="1559" w:hanging="283"/>
      </w:pPr>
      <w:rPr>
        <w:rFonts w:ascii="Wingdings" w:hAnsi="Wingdings" w:hint="default"/>
      </w:rPr>
    </w:lvl>
    <w:lvl w:ilvl="3">
      <w:start w:val="1"/>
      <w:numFmt w:val="bullet"/>
      <w:lvlText w:val=""/>
      <w:lvlJc w:val="left"/>
      <w:pPr>
        <w:ind w:left="3232" w:hanging="360"/>
      </w:pPr>
      <w:rPr>
        <w:rFonts w:ascii="Symbol" w:hAnsi="Symbol" w:hint="default"/>
      </w:rPr>
    </w:lvl>
    <w:lvl w:ilvl="4">
      <w:start w:val="1"/>
      <w:numFmt w:val="bullet"/>
      <w:lvlText w:val="o"/>
      <w:lvlJc w:val="left"/>
      <w:pPr>
        <w:ind w:left="3952" w:hanging="360"/>
      </w:pPr>
      <w:rPr>
        <w:rFonts w:ascii="Courier New" w:hAnsi="Courier New" w:cs="Courier New" w:hint="default"/>
      </w:rPr>
    </w:lvl>
    <w:lvl w:ilvl="5">
      <w:start w:val="1"/>
      <w:numFmt w:val="bullet"/>
      <w:lvlText w:val=""/>
      <w:lvlJc w:val="left"/>
      <w:pPr>
        <w:ind w:left="4672" w:hanging="360"/>
      </w:pPr>
      <w:rPr>
        <w:rFonts w:ascii="Wingdings" w:hAnsi="Wingdings" w:hint="default"/>
      </w:rPr>
    </w:lvl>
    <w:lvl w:ilvl="6">
      <w:start w:val="1"/>
      <w:numFmt w:val="bullet"/>
      <w:lvlText w:val=""/>
      <w:lvlJc w:val="left"/>
      <w:pPr>
        <w:ind w:left="5392" w:hanging="360"/>
      </w:pPr>
      <w:rPr>
        <w:rFonts w:ascii="Symbol" w:hAnsi="Symbol" w:hint="default"/>
      </w:rPr>
    </w:lvl>
    <w:lvl w:ilvl="7">
      <w:start w:val="1"/>
      <w:numFmt w:val="bullet"/>
      <w:lvlText w:val="o"/>
      <w:lvlJc w:val="left"/>
      <w:pPr>
        <w:ind w:left="6112" w:hanging="360"/>
      </w:pPr>
      <w:rPr>
        <w:rFonts w:ascii="Courier New" w:hAnsi="Courier New" w:cs="Courier New" w:hint="default"/>
      </w:rPr>
    </w:lvl>
    <w:lvl w:ilvl="8">
      <w:start w:val="1"/>
      <w:numFmt w:val="bullet"/>
      <w:lvlText w:val=""/>
      <w:lvlJc w:val="left"/>
      <w:pPr>
        <w:ind w:left="6832" w:hanging="360"/>
      </w:pPr>
      <w:rPr>
        <w:rFonts w:ascii="Wingdings" w:hAnsi="Wingdings" w:hint="default"/>
      </w:rPr>
    </w:lvl>
  </w:abstractNum>
  <w:abstractNum w:abstractNumId="30" w15:restartNumberingAfterBreak="0">
    <w:nsid w:val="4FCA4982"/>
    <w:multiLevelType w:val="hybridMultilevel"/>
    <w:tmpl w:val="F19EC372"/>
    <w:lvl w:ilvl="0" w:tplc="87DA3480">
      <w:start w:val="1"/>
      <w:numFmt w:val="decimal"/>
      <w:pStyle w:val="Odstavecsslem"/>
      <w:lvlText w:val="%1)"/>
      <w:lvlJc w:val="left"/>
      <w:pPr>
        <w:ind w:left="1068" w:hanging="708"/>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515C69FD"/>
    <w:multiLevelType w:val="hybridMultilevel"/>
    <w:tmpl w:val="FB7C5D8A"/>
    <w:lvl w:ilvl="0" w:tplc="FE324CCE">
      <w:start w:val="2016"/>
      <w:numFmt w:val="bullet"/>
      <w:lvlText w:val="-"/>
      <w:lvlJc w:val="left"/>
      <w:pPr>
        <w:ind w:left="720" w:hanging="360"/>
      </w:pPr>
      <w:rPr>
        <w:rFonts w:ascii="Calibri" w:eastAsiaTheme="minorEastAsia"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51770CBB"/>
    <w:multiLevelType w:val="multilevel"/>
    <w:tmpl w:val="01CEB6B4"/>
    <w:lvl w:ilvl="0">
      <w:start w:val="1"/>
      <w:numFmt w:val="bullet"/>
      <w:lvlText w:val=""/>
      <w:lvlJc w:val="left"/>
      <w:pPr>
        <w:ind w:left="644" w:hanging="360"/>
      </w:pPr>
      <w:rPr>
        <w:rFonts w:ascii="Wingdings 2" w:hAnsi="Wingdings 2" w:hint="default"/>
        <w:color w:val="C2DEEA"/>
        <w:sz w:val="16"/>
        <w:szCs w:val="16"/>
        <w:u w:color="D52B1E"/>
      </w:rPr>
    </w:lvl>
    <w:lvl w:ilvl="1">
      <w:start w:val="1"/>
      <w:numFmt w:val="bullet"/>
      <w:lvlText w:val="-"/>
      <w:lvlJc w:val="left"/>
      <w:pPr>
        <w:ind w:left="1134" w:hanging="425"/>
      </w:pPr>
      <w:rPr>
        <w:rFonts w:ascii="Times New Roman" w:hAnsi="Times New Roman" w:cs="Times New Roman" w:hint="default"/>
      </w:rPr>
    </w:lvl>
    <w:lvl w:ilvl="2">
      <w:start w:val="1"/>
      <w:numFmt w:val="bullet"/>
      <w:lvlText w:val=""/>
      <w:lvlJc w:val="left"/>
      <w:pPr>
        <w:ind w:left="1559" w:hanging="283"/>
      </w:pPr>
      <w:rPr>
        <w:rFonts w:ascii="Wingdings" w:hAnsi="Wingdings" w:hint="default"/>
      </w:rPr>
    </w:lvl>
    <w:lvl w:ilvl="3">
      <w:start w:val="1"/>
      <w:numFmt w:val="bullet"/>
      <w:lvlText w:val=""/>
      <w:lvlJc w:val="left"/>
      <w:pPr>
        <w:ind w:left="3232" w:hanging="360"/>
      </w:pPr>
      <w:rPr>
        <w:rFonts w:ascii="Symbol" w:hAnsi="Symbol" w:hint="default"/>
      </w:rPr>
    </w:lvl>
    <w:lvl w:ilvl="4">
      <w:start w:val="1"/>
      <w:numFmt w:val="bullet"/>
      <w:lvlText w:val="o"/>
      <w:lvlJc w:val="left"/>
      <w:pPr>
        <w:ind w:left="3952" w:hanging="360"/>
      </w:pPr>
      <w:rPr>
        <w:rFonts w:ascii="Courier New" w:hAnsi="Courier New" w:cs="Courier New" w:hint="default"/>
      </w:rPr>
    </w:lvl>
    <w:lvl w:ilvl="5">
      <w:start w:val="1"/>
      <w:numFmt w:val="bullet"/>
      <w:lvlText w:val=""/>
      <w:lvlJc w:val="left"/>
      <w:pPr>
        <w:ind w:left="4672" w:hanging="360"/>
      </w:pPr>
      <w:rPr>
        <w:rFonts w:ascii="Wingdings" w:hAnsi="Wingdings" w:hint="default"/>
      </w:rPr>
    </w:lvl>
    <w:lvl w:ilvl="6">
      <w:start w:val="1"/>
      <w:numFmt w:val="bullet"/>
      <w:lvlText w:val=""/>
      <w:lvlJc w:val="left"/>
      <w:pPr>
        <w:ind w:left="5392" w:hanging="360"/>
      </w:pPr>
      <w:rPr>
        <w:rFonts w:ascii="Symbol" w:hAnsi="Symbol" w:hint="default"/>
      </w:rPr>
    </w:lvl>
    <w:lvl w:ilvl="7">
      <w:start w:val="1"/>
      <w:numFmt w:val="bullet"/>
      <w:lvlText w:val="o"/>
      <w:lvlJc w:val="left"/>
      <w:pPr>
        <w:ind w:left="6112" w:hanging="360"/>
      </w:pPr>
      <w:rPr>
        <w:rFonts w:ascii="Courier New" w:hAnsi="Courier New" w:cs="Courier New" w:hint="default"/>
      </w:rPr>
    </w:lvl>
    <w:lvl w:ilvl="8">
      <w:start w:val="1"/>
      <w:numFmt w:val="bullet"/>
      <w:lvlText w:val=""/>
      <w:lvlJc w:val="left"/>
      <w:pPr>
        <w:ind w:left="6832" w:hanging="360"/>
      </w:pPr>
      <w:rPr>
        <w:rFonts w:ascii="Wingdings" w:hAnsi="Wingdings" w:hint="default"/>
      </w:rPr>
    </w:lvl>
  </w:abstractNum>
  <w:abstractNum w:abstractNumId="33" w15:restartNumberingAfterBreak="0">
    <w:nsid w:val="5CDE7197"/>
    <w:multiLevelType w:val="multilevel"/>
    <w:tmpl w:val="EF02B3AC"/>
    <w:lvl w:ilvl="0">
      <w:start w:val="1"/>
      <w:numFmt w:val="decimal"/>
      <w:pStyle w:val="Graf0"/>
      <w:lvlText w:val="Graf č. %1:"/>
      <w:lvlJc w:val="left"/>
      <w:pPr>
        <w:tabs>
          <w:tab w:val="num" w:pos="1276"/>
        </w:tabs>
        <w:ind w:left="0" w:firstLine="0"/>
      </w:pPr>
      <w:rPr>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4" w15:restartNumberingAfterBreak="0">
    <w:nsid w:val="6BB837F1"/>
    <w:multiLevelType w:val="multilevel"/>
    <w:tmpl w:val="B192A514"/>
    <w:lvl w:ilvl="0">
      <w:start w:val="1"/>
      <w:numFmt w:val="bullet"/>
      <w:lvlText w:val=""/>
      <w:lvlJc w:val="left"/>
      <w:pPr>
        <w:ind w:left="644" w:hanging="360"/>
      </w:pPr>
      <w:rPr>
        <w:rFonts w:ascii="Wingdings 2" w:hAnsi="Wingdings 2" w:hint="default"/>
        <w:color w:val="215868" w:themeColor="accent5" w:themeShade="80"/>
        <w:sz w:val="16"/>
        <w:szCs w:val="16"/>
        <w:u w:color="D52B1E"/>
      </w:rPr>
    </w:lvl>
    <w:lvl w:ilvl="1">
      <w:start w:val="1"/>
      <w:numFmt w:val="bullet"/>
      <w:lvlText w:val="-"/>
      <w:lvlJc w:val="left"/>
      <w:pPr>
        <w:ind w:left="1134" w:hanging="425"/>
      </w:pPr>
      <w:rPr>
        <w:rFonts w:ascii="Times New Roman" w:hAnsi="Times New Roman" w:cs="Times New Roman" w:hint="default"/>
      </w:rPr>
    </w:lvl>
    <w:lvl w:ilvl="2">
      <w:start w:val="1"/>
      <w:numFmt w:val="bullet"/>
      <w:lvlText w:val=""/>
      <w:lvlJc w:val="left"/>
      <w:pPr>
        <w:ind w:left="1559" w:hanging="283"/>
      </w:pPr>
      <w:rPr>
        <w:rFonts w:ascii="Wingdings" w:hAnsi="Wingdings" w:hint="default"/>
      </w:rPr>
    </w:lvl>
    <w:lvl w:ilvl="3">
      <w:start w:val="1"/>
      <w:numFmt w:val="bullet"/>
      <w:lvlText w:val=""/>
      <w:lvlJc w:val="left"/>
      <w:pPr>
        <w:ind w:left="3232" w:hanging="360"/>
      </w:pPr>
      <w:rPr>
        <w:rFonts w:ascii="Symbol" w:hAnsi="Symbol" w:hint="default"/>
      </w:rPr>
    </w:lvl>
    <w:lvl w:ilvl="4">
      <w:start w:val="1"/>
      <w:numFmt w:val="bullet"/>
      <w:lvlText w:val="o"/>
      <w:lvlJc w:val="left"/>
      <w:pPr>
        <w:ind w:left="3952" w:hanging="360"/>
      </w:pPr>
      <w:rPr>
        <w:rFonts w:ascii="Courier New" w:hAnsi="Courier New" w:cs="Courier New" w:hint="default"/>
      </w:rPr>
    </w:lvl>
    <w:lvl w:ilvl="5">
      <w:start w:val="1"/>
      <w:numFmt w:val="bullet"/>
      <w:lvlText w:val=""/>
      <w:lvlJc w:val="left"/>
      <w:pPr>
        <w:ind w:left="4672" w:hanging="360"/>
      </w:pPr>
      <w:rPr>
        <w:rFonts w:ascii="Wingdings" w:hAnsi="Wingdings" w:hint="default"/>
      </w:rPr>
    </w:lvl>
    <w:lvl w:ilvl="6">
      <w:start w:val="1"/>
      <w:numFmt w:val="bullet"/>
      <w:lvlText w:val=""/>
      <w:lvlJc w:val="left"/>
      <w:pPr>
        <w:ind w:left="5392" w:hanging="360"/>
      </w:pPr>
      <w:rPr>
        <w:rFonts w:ascii="Symbol" w:hAnsi="Symbol" w:hint="default"/>
      </w:rPr>
    </w:lvl>
    <w:lvl w:ilvl="7">
      <w:start w:val="1"/>
      <w:numFmt w:val="bullet"/>
      <w:lvlText w:val="o"/>
      <w:lvlJc w:val="left"/>
      <w:pPr>
        <w:ind w:left="6112" w:hanging="360"/>
      </w:pPr>
      <w:rPr>
        <w:rFonts w:ascii="Courier New" w:hAnsi="Courier New" w:cs="Courier New" w:hint="default"/>
      </w:rPr>
    </w:lvl>
    <w:lvl w:ilvl="8">
      <w:start w:val="1"/>
      <w:numFmt w:val="bullet"/>
      <w:lvlText w:val=""/>
      <w:lvlJc w:val="left"/>
      <w:pPr>
        <w:ind w:left="6832" w:hanging="360"/>
      </w:pPr>
      <w:rPr>
        <w:rFonts w:ascii="Wingdings" w:hAnsi="Wingdings" w:hint="default"/>
      </w:rPr>
    </w:lvl>
  </w:abstractNum>
  <w:abstractNum w:abstractNumId="35" w15:restartNumberingAfterBreak="0">
    <w:nsid w:val="71B04295"/>
    <w:multiLevelType w:val="hybridMultilevel"/>
    <w:tmpl w:val="3DDECB4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722F50B5"/>
    <w:multiLevelType w:val="hybridMultilevel"/>
    <w:tmpl w:val="89482558"/>
    <w:lvl w:ilvl="0" w:tplc="040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76672387"/>
    <w:multiLevelType w:val="multilevel"/>
    <w:tmpl w:val="45BA5B3C"/>
    <w:lvl w:ilvl="0">
      <w:start w:val="1"/>
      <w:numFmt w:val="bullet"/>
      <w:lvlText w:val=""/>
      <w:lvlJc w:val="left"/>
      <w:pPr>
        <w:ind w:left="644" w:hanging="360"/>
      </w:pPr>
      <w:rPr>
        <w:rFonts w:ascii="Wingdings 2" w:hAnsi="Wingdings 2" w:hint="default"/>
        <w:color w:val="215868" w:themeColor="accent5" w:themeShade="80"/>
        <w:sz w:val="16"/>
        <w:szCs w:val="16"/>
        <w:u w:color="D52B1E"/>
      </w:rPr>
    </w:lvl>
    <w:lvl w:ilvl="1">
      <w:start w:val="1"/>
      <w:numFmt w:val="bullet"/>
      <w:lvlText w:val="-"/>
      <w:lvlJc w:val="left"/>
      <w:pPr>
        <w:ind w:left="1134" w:hanging="425"/>
      </w:pPr>
      <w:rPr>
        <w:rFonts w:ascii="Times New Roman" w:hAnsi="Times New Roman" w:cs="Times New Roman" w:hint="default"/>
      </w:rPr>
    </w:lvl>
    <w:lvl w:ilvl="2">
      <w:start w:val="1"/>
      <w:numFmt w:val="bullet"/>
      <w:lvlText w:val=""/>
      <w:lvlJc w:val="left"/>
      <w:pPr>
        <w:ind w:left="1559" w:hanging="283"/>
      </w:pPr>
      <w:rPr>
        <w:rFonts w:ascii="Wingdings" w:hAnsi="Wingdings" w:hint="default"/>
      </w:rPr>
    </w:lvl>
    <w:lvl w:ilvl="3">
      <w:start w:val="1"/>
      <w:numFmt w:val="bullet"/>
      <w:lvlText w:val=""/>
      <w:lvlJc w:val="left"/>
      <w:pPr>
        <w:ind w:left="3232" w:hanging="360"/>
      </w:pPr>
      <w:rPr>
        <w:rFonts w:ascii="Symbol" w:hAnsi="Symbol" w:hint="default"/>
      </w:rPr>
    </w:lvl>
    <w:lvl w:ilvl="4">
      <w:start w:val="1"/>
      <w:numFmt w:val="bullet"/>
      <w:lvlText w:val="o"/>
      <w:lvlJc w:val="left"/>
      <w:pPr>
        <w:ind w:left="3952" w:hanging="360"/>
      </w:pPr>
      <w:rPr>
        <w:rFonts w:ascii="Courier New" w:hAnsi="Courier New" w:cs="Courier New" w:hint="default"/>
      </w:rPr>
    </w:lvl>
    <w:lvl w:ilvl="5">
      <w:start w:val="1"/>
      <w:numFmt w:val="bullet"/>
      <w:lvlText w:val=""/>
      <w:lvlJc w:val="left"/>
      <w:pPr>
        <w:ind w:left="4672" w:hanging="360"/>
      </w:pPr>
      <w:rPr>
        <w:rFonts w:ascii="Wingdings" w:hAnsi="Wingdings" w:hint="default"/>
      </w:rPr>
    </w:lvl>
    <w:lvl w:ilvl="6">
      <w:start w:val="1"/>
      <w:numFmt w:val="bullet"/>
      <w:lvlText w:val=""/>
      <w:lvlJc w:val="left"/>
      <w:pPr>
        <w:ind w:left="5392" w:hanging="360"/>
      </w:pPr>
      <w:rPr>
        <w:rFonts w:ascii="Symbol" w:hAnsi="Symbol" w:hint="default"/>
      </w:rPr>
    </w:lvl>
    <w:lvl w:ilvl="7">
      <w:start w:val="1"/>
      <w:numFmt w:val="bullet"/>
      <w:lvlText w:val="o"/>
      <w:lvlJc w:val="left"/>
      <w:pPr>
        <w:ind w:left="6112" w:hanging="360"/>
      </w:pPr>
      <w:rPr>
        <w:rFonts w:ascii="Courier New" w:hAnsi="Courier New" w:cs="Courier New" w:hint="default"/>
      </w:rPr>
    </w:lvl>
    <w:lvl w:ilvl="8">
      <w:start w:val="1"/>
      <w:numFmt w:val="bullet"/>
      <w:lvlText w:val=""/>
      <w:lvlJc w:val="left"/>
      <w:pPr>
        <w:ind w:left="6832" w:hanging="360"/>
      </w:pPr>
      <w:rPr>
        <w:rFonts w:ascii="Wingdings" w:hAnsi="Wingdings" w:hint="default"/>
      </w:rPr>
    </w:lvl>
  </w:abstractNum>
  <w:abstractNum w:abstractNumId="38" w15:restartNumberingAfterBreak="0">
    <w:nsid w:val="790A4F38"/>
    <w:multiLevelType w:val="multilevel"/>
    <w:tmpl w:val="0405001D"/>
    <w:styleLink w:val="Seznamgraf"/>
    <w:lvl w:ilvl="0">
      <w:start w:val="1"/>
      <w:numFmt w:val="decimal"/>
      <w:lvlText w:val="%1"/>
      <w:lvlJc w:val="left"/>
      <w:pPr>
        <w:ind w:left="360" w:hanging="360"/>
      </w:pPr>
      <w:rPr>
        <w:rFonts w:ascii="Times New Roman" w:hAnsi="Times New Roman" w:hint="default"/>
        <w:color w:val="auto"/>
        <w:sz w:val="2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9" w15:restartNumberingAfterBreak="0">
    <w:nsid w:val="7AC35449"/>
    <w:multiLevelType w:val="multilevel"/>
    <w:tmpl w:val="53601DDC"/>
    <w:lvl w:ilvl="0">
      <w:start w:val="4"/>
      <w:numFmt w:val="bullet"/>
      <w:lvlText w:val=""/>
      <w:lvlJc w:val="left"/>
      <w:pPr>
        <w:ind w:left="425" w:hanging="141"/>
      </w:pPr>
      <w:rPr>
        <w:rFonts w:ascii="Wingdings 2" w:hAnsi="Wingdings 2" w:hint="default"/>
        <w:color w:val="2E3192"/>
        <w:sz w:val="16"/>
      </w:rPr>
    </w:lvl>
    <w:lvl w:ilvl="1">
      <w:start w:val="1"/>
      <w:numFmt w:val="bullet"/>
      <w:lvlText w:val="-"/>
      <w:lvlJc w:val="left"/>
      <w:pPr>
        <w:ind w:left="1134" w:hanging="425"/>
      </w:pPr>
      <w:rPr>
        <w:rFonts w:ascii="Times New Roman" w:hAnsi="Times New Roman" w:cs="Times New Roman" w:hint="default"/>
      </w:rPr>
    </w:lvl>
    <w:lvl w:ilvl="2">
      <w:start w:val="1"/>
      <w:numFmt w:val="bullet"/>
      <w:lvlText w:val=""/>
      <w:lvlJc w:val="left"/>
      <w:pPr>
        <w:ind w:left="1559" w:hanging="283"/>
      </w:pPr>
      <w:rPr>
        <w:rFonts w:ascii="Wingdings" w:hAnsi="Wingdings" w:hint="default"/>
      </w:rPr>
    </w:lvl>
    <w:lvl w:ilvl="3">
      <w:start w:val="1"/>
      <w:numFmt w:val="bullet"/>
      <w:lvlText w:val=""/>
      <w:lvlJc w:val="left"/>
      <w:pPr>
        <w:ind w:left="3232" w:hanging="360"/>
      </w:pPr>
      <w:rPr>
        <w:rFonts w:ascii="Symbol" w:hAnsi="Symbol" w:hint="default"/>
      </w:rPr>
    </w:lvl>
    <w:lvl w:ilvl="4">
      <w:start w:val="1"/>
      <w:numFmt w:val="bullet"/>
      <w:lvlText w:val="o"/>
      <w:lvlJc w:val="left"/>
      <w:pPr>
        <w:ind w:left="3952" w:hanging="360"/>
      </w:pPr>
      <w:rPr>
        <w:rFonts w:ascii="Courier New" w:hAnsi="Courier New" w:cs="Courier New" w:hint="default"/>
      </w:rPr>
    </w:lvl>
    <w:lvl w:ilvl="5">
      <w:start w:val="1"/>
      <w:numFmt w:val="bullet"/>
      <w:lvlText w:val=""/>
      <w:lvlJc w:val="left"/>
      <w:pPr>
        <w:ind w:left="4672" w:hanging="360"/>
      </w:pPr>
      <w:rPr>
        <w:rFonts w:ascii="Wingdings" w:hAnsi="Wingdings" w:hint="default"/>
      </w:rPr>
    </w:lvl>
    <w:lvl w:ilvl="6">
      <w:start w:val="1"/>
      <w:numFmt w:val="bullet"/>
      <w:lvlText w:val=""/>
      <w:lvlJc w:val="left"/>
      <w:pPr>
        <w:ind w:left="5392" w:hanging="360"/>
      </w:pPr>
      <w:rPr>
        <w:rFonts w:ascii="Symbol" w:hAnsi="Symbol" w:hint="default"/>
      </w:rPr>
    </w:lvl>
    <w:lvl w:ilvl="7">
      <w:start w:val="1"/>
      <w:numFmt w:val="bullet"/>
      <w:lvlText w:val="o"/>
      <w:lvlJc w:val="left"/>
      <w:pPr>
        <w:ind w:left="6112" w:hanging="360"/>
      </w:pPr>
      <w:rPr>
        <w:rFonts w:ascii="Courier New" w:hAnsi="Courier New" w:cs="Courier New" w:hint="default"/>
      </w:rPr>
    </w:lvl>
    <w:lvl w:ilvl="8">
      <w:start w:val="1"/>
      <w:numFmt w:val="bullet"/>
      <w:lvlText w:val=""/>
      <w:lvlJc w:val="left"/>
      <w:pPr>
        <w:ind w:left="6832" w:hanging="360"/>
      </w:pPr>
      <w:rPr>
        <w:rFonts w:ascii="Wingdings" w:hAnsi="Wingdings" w:hint="default"/>
      </w:rPr>
    </w:lvl>
  </w:abstractNum>
  <w:abstractNum w:abstractNumId="40" w15:restartNumberingAfterBreak="0">
    <w:nsid w:val="7D7C5336"/>
    <w:multiLevelType w:val="hybridMultilevel"/>
    <w:tmpl w:val="F07096D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38"/>
  </w:num>
  <w:num w:numId="2">
    <w:abstractNumId w:val="2"/>
  </w:num>
  <w:num w:numId="3">
    <w:abstractNumId w:val="30"/>
  </w:num>
  <w:num w:numId="4">
    <w:abstractNumId w:val="3"/>
  </w:num>
  <w:num w:numId="5">
    <w:abstractNumId w:val="21"/>
  </w:num>
  <w:num w:numId="6">
    <w:abstractNumId w:val="33"/>
  </w:num>
  <w:num w:numId="7">
    <w:abstractNumId w:val="5"/>
  </w:num>
  <w:num w:numId="8">
    <w:abstractNumId w:val="11"/>
  </w:num>
  <w:num w:numId="9">
    <w:abstractNumId w:val="14"/>
  </w:num>
  <w:num w:numId="10">
    <w:abstractNumId w:val="1"/>
  </w:num>
  <w:num w:numId="11">
    <w:abstractNumId w:val="17"/>
  </w:num>
  <w:num w:numId="12">
    <w:abstractNumId w:val="39"/>
  </w:num>
  <w:num w:numId="13">
    <w:abstractNumId w:val="16"/>
  </w:num>
  <w:num w:numId="14">
    <w:abstractNumId w:val="19"/>
  </w:num>
  <w:num w:numId="15">
    <w:abstractNumId w:val="0"/>
  </w:num>
  <w:num w:numId="16">
    <w:abstractNumId w:val="8"/>
  </w:num>
  <w:num w:numId="17">
    <w:abstractNumId w:val="18"/>
  </w:num>
  <w:num w:numId="18">
    <w:abstractNumId w:val="26"/>
  </w:num>
  <w:num w:numId="19">
    <w:abstractNumId w:val="4"/>
  </w:num>
  <w:num w:numId="20">
    <w:abstractNumId w:val="35"/>
  </w:num>
  <w:num w:numId="21">
    <w:abstractNumId w:val="40"/>
  </w:num>
  <w:num w:numId="22">
    <w:abstractNumId w:val="9"/>
  </w:num>
  <w:num w:numId="23">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8"/>
  </w:num>
  <w:num w:numId="25">
    <w:abstractNumId w:val="33"/>
  </w:num>
  <w:num w:numId="26">
    <w:abstractNumId w:val="7"/>
  </w:num>
  <w:num w:numId="27">
    <w:abstractNumId w:val="31"/>
  </w:num>
  <w:num w:numId="28">
    <w:abstractNumId w:val="3"/>
  </w:num>
  <w:num w:numId="29">
    <w:abstractNumId w:val="14"/>
  </w:num>
  <w:num w:numId="30">
    <w:abstractNumId w:val="14"/>
  </w:num>
  <w:num w:numId="31">
    <w:abstractNumId w:val="32"/>
  </w:num>
  <w:num w:numId="32">
    <w:abstractNumId w:val="25"/>
  </w:num>
  <w:num w:numId="33">
    <w:abstractNumId w:val="10"/>
  </w:num>
  <w:num w:numId="34">
    <w:abstractNumId w:val="29"/>
  </w:num>
  <w:num w:numId="35">
    <w:abstractNumId w:val="12"/>
  </w:num>
  <w:num w:numId="36">
    <w:abstractNumId w:val="27"/>
  </w:num>
  <w:num w:numId="37">
    <w:abstractNumId w:val="22"/>
  </w:num>
  <w:num w:numId="38">
    <w:abstractNumId w:val="20"/>
  </w:num>
  <w:num w:numId="39">
    <w:abstractNumId w:val="24"/>
  </w:num>
  <w:num w:numId="40">
    <w:abstractNumId w:val="15"/>
  </w:num>
  <w:num w:numId="41">
    <w:abstractNumId w:val="34"/>
  </w:num>
  <w:num w:numId="42">
    <w:abstractNumId w:val="6"/>
  </w:num>
  <w:num w:numId="43">
    <w:abstractNumId w:val="37"/>
  </w:num>
  <w:num w:numId="44">
    <w:abstractNumId w:val="28"/>
  </w:num>
  <w:num w:numId="45">
    <w:abstractNumId w:val="6"/>
  </w:num>
  <w:num w:numId="46">
    <w:abstractNumId w:val="23"/>
  </w:num>
  <w:num w:numId="47">
    <w:abstractNumId w:val="13"/>
  </w:num>
  <w:num w:numId="48">
    <w:abstractNumId w:val="3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9"/>
  <w:autoHyphenation/>
  <w:consecutiveHyphenLimit w:val="1"/>
  <w:hyphenationZone w:val="425"/>
  <w:doNotHyphenateCaps/>
  <w:drawingGridHorizontalSpacing w:val="105"/>
  <w:displayHorizontalDrawingGridEvery w:val="2"/>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6ED9"/>
    <w:rsid w:val="00000272"/>
    <w:rsid w:val="000002D3"/>
    <w:rsid w:val="000012A2"/>
    <w:rsid w:val="00001604"/>
    <w:rsid w:val="000028F1"/>
    <w:rsid w:val="00002DBA"/>
    <w:rsid w:val="0000386C"/>
    <w:rsid w:val="000038DF"/>
    <w:rsid w:val="00003DDD"/>
    <w:rsid w:val="00005B42"/>
    <w:rsid w:val="00005E0E"/>
    <w:rsid w:val="00006CB0"/>
    <w:rsid w:val="0000725A"/>
    <w:rsid w:val="000073A5"/>
    <w:rsid w:val="000075AB"/>
    <w:rsid w:val="000111C0"/>
    <w:rsid w:val="0001130E"/>
    <w:rsid w:val="0001162A"/>
    <w:rsid w:val="000118CB"/>
    <w:rsid w:val="0001255E"/>
    <w:rsid w:val="00012C98"/>
    <w:rsid w:val="00013013"/>
    <w:rsid w:val="00013718"/>
    <w:rsid w:val="0001574D"/>
    <w:rsid w:val="00015996"/>
    <w:rsid w:val="00015C40"/>
    <w:rsid w:val="00015CB0"/>
    <w:rsid w:val="00016CA8"/>
    <w:rsid w:val="000212FC"/>
    <w:rsid w:val="000219A7"/>
    <w:rsid w:val="00021B7D"/>
    <w:rsid w:val="000220D9"/>
    <w:rsid w:val="0002221A"/>
    <w:rsid w:val="000224A2"/>
    <w:rsid w:val="000227BB"/>
    <w:rsid w:val="00022BAA"/>
    <w:rsid w:val="000234BB"/>
    <w:rsid w:val="00024D96"/>
    <w:rsid w:val="00024E3A"/>
    <w:rsid w:val="00025011"/>
    <w:rsid w:val="00025E13"/>
    <w:rsid w:val="00026106"/>
    <w:rsid w:val="00026AA5"/>
    <w:rsid w:val="00026ACB"/>
    <w:rsid w:val="00026F08"/>
    <w:rsid w:val="0002783F"/>
    <w:rsid w:val="00031044"/>
    <w:rsid w:val="00032188"/>
    <w:rsid w:val="000331B5"/>
    <w:rsid w:val="000335FE"/>
    <w:rsid w:val="00035BBC"/>
    <w:rsid w:val="0003715B"/>
    <w:rsid w:val="00037A8B"/>
    <w:rsid w:val="00037ABA"/>
    <w:rsid w:val="00041293"/>
    <w:rsid w:val="00041E26"/>
    <w:rsid w:val="000425E5"/>
    <w:rsid w:val="00043012"/>
    <w:rsid w:val="00043514"/>
    <w:rsid w:val="00044528"/>
    <w:rsid w:val="0004473A"/>
    <w:rsid w:val="000450D7"/>
    <w:rsid w:val="00046613"/>
    <w:rsid w:val="000470A0"/>
    <w:rsid w:val="00047168"/>
    <w:rsid w:val="000473E8"/>
    <w:rsid w:val="00047951"/>
    <w:rsid w:val="00050444"/>
    <w:rsid w:val="00050FED"/>
    <w:rsid w:val="00051774"/>
    <w:rsid w:val="00051967"/>
    <w:rsid w:val="00051990"/>
    <w:rsid w:val="000522EB"/>
    <w:rsid w:val="00053556"/>
    <w:rsid w:val="00054500"/>
    <w:rsid w:val="00054C2C"/>
    <w:rsid w:val="00054D78"/>
    <w:rsid w:val="00054DA4"/>
    <w:rsid w:val="00055184"/>
    <w:rsid w:val="00055B0F"/>
    <w:rsid w:val="00055E31"/>
    <w:rsid w:val="00056212"/>
    <w:rsid w:val="0005697C"/>
    <w:rsid w:val="00056B7F"/>
    <w:rsid w:val="00057E3C"/>
    <w:rsid w:val="00060069"/>
    <w:rsid w:val="00061212"/>
    <w:rsid w:val="00061473"/>
    <w:rsid w:val="00062796"/>
    <w:rsid w:val="00062888"/>
    <w:rsid w:val="00062E35"/>
    <w:rsid w:val="00063436"/>
    <w:rsid w:val="00063947"/>
    <w:rsid w:val="000639B2"/>
    <w:rsid w:val="00063FD3"/>
    <w:rsid w:val="00064180"/>
    <w:rsid w:val="00064384"/>
    <w:rsid w:val="00064628"/>
    <w:rsid w:val="00065555"/>
    <w:rsid w:val="00065818"/>
    <w:rsid w:val="00066709"/>
    <w:rsid w:val="000668DD"/>
    <w:rsid w:val="00070FBA"/>
    <w:rsid w:val="000714A9"/>
    <w:rsid w:val="0007279F"/>
    <w:rsid w:val="0007308F"/>
    <w:rsid w:val="00073125"/>
    <w:rsid w:val="00074B2B"/>
    <w:rsid w:val="000750DA"/>
    <w:rsid w:val="00076038"/>
    <w:rsid w:val="000773FF"/>
    <w:rsid w:val="0007761A"/>
    <w:rsid w:val="00077914"/>
    <w:rsid w:val="000800F7"/>
    <w:rsid w:val="00080619"/>
    <w:rsid w:val="00081AFD"/>
    <w:rsid w:val="00082042"/>
    <w:rsid w:val="00082663"/>
    <w:rsid w:val="000827CC"/>
    <w:rsid w:val="00084B34"/>
    <w:rsid w:val="000852C9"/>
    <w:rsid w:val="00085ADC"/>
    <w:rsid w:val="00085E40"/>
    <w:rsid w:val="00086EAD"/>
    <w:rsid w:val="000870D3"/>
    <w:rsid w:val="00090856"/>
    <w:rsid w:val="00090BC8"/>
    <w:rsid w:val="0009184F"/>
    <w:rsid w:val="000918D4"/>
    <w:rsid w:val="00091B88"/>
    <w:rsid w:val="00092667"/>
    <w:rsid w:val="00092BA1"/>
    <w:rsid w:val="00092CFB"/>
    <w:rsid w:val="00093100"/>
    <w:rsid w:val="0009335F"/>
    <w:rsid w:val="000934E1"/>
    <w:rsid w:val="00093A62"/>
    <w:rsid w:val="00094636"/>
    <w:rsid w:val="00094DA4"/>
    <w:rsid w:val="00095C36"/>
    <w:rsid w:val="0009605A"/>
    <w:rsid w:val="00096060"/>
    <w:rsid w:val="00097198"/>
    <w:rsid w:val="00097328"/>
    <w:rsid w:val="000A0D3C"/>
    <w:rsid w:val="000A0E39"/>
    <w:rsid w:val="000A10C2"/>
    <w:rsid w:val="000A1500"/>
    <w:rsid w:val="000A1ABF"/>
    <w:rsid w:val="000A200F"/>
    <w:rsid w:val="000A332B"/>
    <w:rsid w:val="000A36A7"/>
    <w:rsid w:val="000A374A"/>
    <w:rsid w:val="000A4B0F"/>
    <w:rsid w:val="000A688E"/>
    <w:rsid w:val="000B02A7"/>
    <w:rsid w:val="000B0F23"/>
    <w:rsid w:val="000B12D2"/>
    <w:rsid w:val="000B22C7"/>
    <w:rsid w:val="000B30AC"/>
    <w:rsid w:val="000B3466"/>
    <w:rsid w:val="000B3B94"/>
    <w:rsid w:val="000B451B"/>
    <w:rsid w:val="000B743E"/>
    <w:rsid w:val="000B7C6B"/>
    <w:rsid w:val="000B7E1F"/>
    <w:rsid w:val="000C00E9"/>
    <w:rsid w:val="000C068A"/>
    <w:rsid w:val="000C06A2"/>
    <w:rsid w:val="000C0BF4"/>
    <w:rsid w:val="000C1378"/>
    <w:rsid w:val="000C13D6"/>
    <w:rsid w:val="000C179E"/>
    <w:rsid w:val="000C1C78"/>
    <w:rsid w:val="000C3D3C"/>
    <w:rsid w:val="000C3DB2"/>
    <w:rsid w:val="000C43FB"/>
    <w:rsid w:val="000C462D"/>
    <w:rsid w:val="000C483E"/>
    <w:rsid w:val="000C48AF"/>
    <w:rsid w:val="000C4B8F"/>
    <w:rsid w:val="000C5278"/>
    <w:rsid w:val="000C554C"/>
    <w:rsid w:val="000C5A6D"/>
    <w:rsid w:val="000C64D9"/>
    <w:rsid w:val="000C6DE7"/>
    <w:rsid w:val="000D195F"/>
    <w:rsid w:val="000D25DC"/>
    <w:rsid w:val="000D2B8A"/>
    <w:rsid w:val="000D2D11"/>
    <w:rsid w:val="000D2F0C"/>
    <w:rsid w:val="000D3122"/>
    <w:rsid w:val="000D3215"/>
    <w:rsid w:val="000D35A7"/>
    <w:rsid w:val="000D3BE0"/>
    <w:rsid w:val="000D3D76"/>
    <w:rsid w:val="000D3F8C"/>
    <w:rsid w:val="000D5C99"/>
    <w:rsid w:val="000D5DE5"/>
    <w:rsid w:val="000D6BDA"/>
    <w:rsid w:val="000E032E"/>
    <w:rsid w:val="000E05AF"/>
    <w:rsid w:val="000E0B1C"/>
    <w:rsid w:val="000E0DC0"/>
    <w:rsid w:val="000E26E3"/>
    <w:rsid w:val="000E3E01"/>
    <w:rsid w:val="000E59F7"/>
    <w:rsid w:val="000E5B1C"/>
    <w:rsid w:val="000E6320"/>
    <w:rsid w:val="000E63DD"/>
    <w:rsid w:val="000E6996"/>
    <w:rsid w:val="000E7145"/>
    <w:rsid w:val="000F051B"/>
    <w:rsid w:val="000F1ACA"/>
    <w:rsid w:val="000F1C19"/>
    <w:rsid w:val="000F5562"/>
    <w:rsid w:val="000F55B2"/>
    <w:rsid w:val="000F5A4B"/>
    <w:rsid w:val="000F5A9B"/>
    <w:rsid w:val="000F665F"/>
    <w:rsid w:val="00100B64"/>
    <w:rsid w:val="0010102D"/>
    <w:rsid w:val="00101291"/>
    <w:rsid w:val="001013E2"/>
    <w:rsid w:val="00102435"/>
    <w:rsid w:val="00102541"/>
    <w:rsid w:val="00103FF7"/>
    <w:rsid w:val="00104086"/>
    <w:rsid w:val="00104CAA"/>
    <w:rsid w:val="00105478"/>
    <w:rsid w:val="00105C23"/>
    <w:rsid w:val="00107A6B"/>
    <w:rsid w:val="00110D14"/>
    <w:rsid w:val="00111052"/>
    <w:rsid w:val="00111238"/>
    <w:rsid w:val="001120A7"/>
    <w:rsid w:val="00112263"/>
    <w:rsid w:val="00112699"/>
    <w:rsid w:val="00113ABD"/>
    <w:rsid w:val="00113B21"/>
    <w:rsid w:val="00113FEF"/>
    <w:rsid w:val="00114A16"/>
    <w:rsid w:val="00114B41"/>
    <w:rsid w:val="001160FC"/>
    <w:rsid w:val="00117CDB"/>
    <w:rsid w:val="00117EF2"/>
    <w:rsid w:val="001202B2"/>
    <w:rsid w:val="0012039C"/>
    <w:rsid w:val="00121CE6"/>
    <w:rsid w:val="00121D44"/>
    <w:rsid w:val="0012215D"/>
    <w:rsid w:val="00122208"/>
    <w:rsid w:val="00122D55"/>
    <w:rsid w:val="00122E2F"/>
    <w:rsid w:val="0012430B"/>
    <w:rsid w:val="00124561"/>
    <w:rsid w:val="0012663D"/>
    <w:rsid w:val="0012773E"/>
    <w:rsid w:val="001304FB"/>
    <w:rsid w:val="001309F4"/>
    <w:rsid w:val="00130CC9"/>
    <w:rsid w:val="00130EDC"/>
    <w:rsid w:val="00131009"/>
    <w:rsid w:val="00131731"/>
    <w:rsid w:val="00131C8D"/>
    <w:rsid w:val="00132653"/>
    <w:rsid w:val="00133C89"/>
    <w:rsid w:val="00133CC9"/>
    <w:rsid w:val="001341F7"/>
    <w:rsid w:val="00135DC0"/>
    <w:rsid w:val="00136D25"/>
    <w:rsid w:val="00136E06"/>
    <w:rsid w:val="001370F4"/>
    <w:rsid w:val="0014018E"/>
    <w:rsid w:val="00140256"/>
    <w:rsid w:val="0014067D"/>
    <w:rsid w:val="001412B7"/>
    <w:rsid w:val="0014140C"/>
    <w:rsid w:val="00142237"/>
    <w:rsid w:val="0014232A"/>
    <w:rsid w:val="00142C36"/>
    <w:rsid w:val="00145043"/>
    <w:rsid w:val="00145379"/>
    <w:rsid w:val="00145CA3"/>
    <w:rsid w:val="00145ED6"/>
    <w:rsid w:val="001464B4"/>
    <w:rsid w:val="00146580"/>
    <w:rsid w:val="001466A0"/>
    <w:rsid w:val="001466D2"/>
    <w:rsid w:val="001468E8"/>
    <w:rsid w:val="00146B8D"/>
    <w:rsid w:val="00146D0F"/>
    <w:rsid w:val="00146E33"/>
    <w:rsid w:val="00147998"/>
    <w:rsid w:val="001511A9"/>
    <w:rsid w:val="00151D5F"/>
    <w:rsid w:val="00152376"/>
    <w:rsid w:val="00152853"/>
    <w:rsid w:val="00152B1C"/>
    <w:rsid w:val="00152EB2"/>
    <w:rsid w:val="0015359C"/>
    <w:rsid w:val="001538E0"/>
    <w:rsid w:val="00153EF8"/>
    <w:rsid w:val="00154A81"/>
    <w:rsid w:val="00156008"/>
    <w:rsid w:val="00156983"/>
    <w:rsid w:val="00156A34"/>
    <w:rsid w:val="001607A8"/>
    <w:rsid w:val="00160FFF"/>
    <w:rsid w:val="00161D43"/>
    <w:rsid w:val="00162531"/>
    <w:rsid w:val="001628F6"/>
    <w:rsid w:val="00162B0C"/>
    <w:rsid w:val="00163012"/>
    <w:rsid w:val="001631F5"/>
    <w:rsid w:val="001642C8"/>
    <w:rsid w:val="00164651"/>
    <w:rsid w:val="00164BA3"/>
    <w:rsid w:val="001650C2"/>
    <w:rsid w:val="00165214"/>
    <w:rsid w:val="0016590B"/>
    <w:rsid w:val="001664FE"/>
    <w:rsid w:val="00166585"/>
    <w:rsid w:val="0016749A"/>
    <w:rsid w:val="001679D2"/>
    <w:rsid w:val="00167A6F"/>
    <w:rsid w:val="00167C63"/>
    <w:rsid w:val="0017020E"/>
    <w:rsid w:val="00170B3D"/>
    <w:rsid w:val="001712FD"/>
    <w:rsid w:val="00171C3B"/>
    <w:rsid w:val="00171F3D"/>
    <w:rsid w:val="0017304B"/>
    <w:rsid w:val="001734A5"/>
    <w:rsid w:val="00173838"/>
    <w:rsid w:val="001747CE"/>
    <w:rsid w:val="00174AF0"/>
    <w:rsid w:val="00174B51"/>
    <w:rsid w:val="00175FF9"/>
    <w:rsid w:val="001761DA"/>
    <w:rsid w:val="001766C4"/>
    <w:rsid w:val="001768B6"/>
    <w:rsid w:val="00176F15"/>
    <w:rsid w:val="001773BF"/>
    <w:rsid w:val="001778E4"/>
    <w:rsid w:val="00177E16"/>
    <w:rsid w:val="00180A4D"/>
    <w:rsid w:val="00180D26"/>
    <w:rsid w:val="00180E1B"/>
    <w:rsid w:val="001810E4"/>
    <w:rsid w:val="00181906"/>
    <w:rsid w:val="001824DD"/>
    <w:rsid w:val="001826F8"/>
    <w:rsid w:val="00182780"/>
    <w:rsid w:val="00182967"/>
    <w:rsid w:val="001836F0"/>
    <w:rsid w:val="00183A77"/>
    <w:rsid w:val="001841CD"/>
    <w:rsid w:val="00184D76"/>
    <w:rsid w:val="00185338"/>
    <w:rsid w:val="00185500"/>
    <w:rsid w:val="00186DB1"/>
    <w:rsid w:val="00187692"/>
    <w:rsid w:val="00187711"/>
    <w:rsid w:val="00187A84"/>
    <w:rsid w:val="0019192F"/>
    <w:rsid w:val="00191A87"/>
    <w:rsid w:val="00192038"/>
    <w:rsid w:val="00193CCF"/>
    <w:rsid w:val="00193D74"/>
    <w:rsid w:val="00193D81"/>
    <w:rsid w:val="00194CDA"/>
    <w:rsid w:val="001952DA"/>
    <w:rsid w:val="00196194"/>
    <w:rsid w:val="001963F5"/>
    <w:rsid w:val="00196B33"/>
    <w:rsid w:val="0019734F"/>
    <w:rsid w:val="001A11BB"/>
    <w:rsid w:val="001A1B2E"/>
    <w:rsid w:val="001A26CC"/>
    <w:rsid w:val="001A2E9F"/>
    <w:rsid w:val="001A39CE"/>
    <w:rsid w:val="001A3B44"/>
    <w:rsid w:val="001A5180"/>
    <w:rsid w:val="001A5A5D"/>
    <w:rsid w:val="001A6EEE"/>
    <w:rsid w:val="001A700E"/>
    <w:rsid w:val="001A725B"/>
    <w:rsid w:val="001A7579"/>
    <w:rsid w:val="001A7AFF"/>
    <w:rsid w:val="001A7FD3"/>
    <w:rsid w:val="001B0A94"/>
    <w:rsid w:val="001B0B02"/>
    <w:rsid w:val="001B1C8F"/>
    <w:rsid w:val="001B2851"/>
    <w:rsid w:val="001B2BCE"/>
    <w:rsid w:val="001B2EC4"/>
    <w:rsid w:val="001B3E06"/>
    <w:rsid w:val="001B4D73"/>
    <w:rsid w:val="001B584F"/>
    <w:rsid w:val="001B58F3"/>
    <w:rsid w:val="001B6FAF"/>
    <w:rsid w:val="001B7172"/>
    <w:rsid w:val="001B7894"/>
    <w:rsid w:val="001B7AA3"/>
    <w:rsid w:val="001C0B65"/>
    <w:rsid w:val="001C2291"/>
    <w:rsid w:val="001C2AFC"/>
    <w:rsid w:val="001C2E51"/>
    <w:rsid w:val="001C2FC6"/>
    <w:rsid w:val="001C3685"/>
    <w:rsid w:val="001C3766"/>
    <w:rsid w:val="001C4CBB"/>
    <w:rsid w:val="001C5948"/>
    <w:rsid w:val="001C6850"/>
    <w:rsid w:val="001C7558"/>
    <w:rsid w:val="001D09F4"/>
    <w:rsid w:val="001D0D04"/>
    <w:rsid w:val="001D182B"/>
    <w:rsid w:val="001D21E5"/>
    <w:rsid w:val="001D4941"/>
    <w:rsid w:val="001D51B6"/>
    <w:rsid w:val="001D5750"/>
    <w:rsid w:val="001D583F"/>
    <w:rsid w:val="001D5DB8"/>
    <w:rsid w:val="001E07A4"/>
    <w:rsid w:val="001E08E5"/>
    <w:rsid w:val="001E0AC2"/>
    <w:rsid w:val="001E1675"/>
    <w:rsid w:val="001E1B53"/>
    <w:rsid w:val="001E1B8B"/>
    <w:rsid w:val="001E21E5"/>
    <w:rsid w:val="001E2CF8"/>
    <w:rsid w:val="001E4345"/>
    <w:rsid w:val="001E4908"/>
    <w:rsid w:val="001E4D41"/>
    <w:rsid w:val="001E51D1"/>
    <w:rsid w:val="001E58BE"/>
    <w:rsid w:val="001E5B9B"/>
    <w:rsid w:val="001E60C1"/>
    <w:rsid w:val="001E66E6"/>
    <w:rsid w:val="001E6DC3"/>
    <w:rsid w:val="001F0190"/>
    <w:rsid w:val="001F0629"/>
    <w:rsid w:val="001F11D8"/>
    <w:rsid w:val="001F2772"/>
    <w:rsid w:val="001F2A69"/>
    <w:rsid w:val="001F2F3F"/>
    <w:rsid w:val="001F3350"/>
    <w:rsid w:val="001F3610"/>
    <w:rsid w:val="001F4ED8"/>
    <w:rsid w:val="001F64E1"/>
    <w:rsid w:val="001F67F9"/>
    <w:rsid w:val="001F6AC2"/>
    <w:rsid w:val="001F7291"/>
    <w:rsid w:val="001F784C"/>
    <w:rsid w:val="001F7D07"/>
    <w:rsid w:val="0020137F"/>
    <w:rsid w:val="0020197D"/>
    <w:rsid w:val="00201E08"/>
    <w:rsid w:val="0020203F"/>
    <w:rsid w:val="002020CD"/>
    <w:rsid w:val="00202AB1"/>
    <w:rsid w:val="00202DEC"/>
    <w:rsid w:val="00203D3F"/>
    <w:rsid w:val="00204494"/>
    <w:rsid w:val="002048AA"/>
    <w:rsid w:val="00206A05"/>
    <w:rsid w:val="00206E2E"/>
    <w:rsid w:val="00210150"/>
    <w:rsid w:val="0021102C"/>
    <w:rsid w:val="00211122"/>
    <w:rsid w:val="002112E9"/>
    <w:rsid w:val="002135E0"/>
    <w:rsid w:val="00213C0C"/>
    <w:rsid w:val="00213DCC"/>
    <w:rsid w:val="0021477E"/>
    <w:rsid w:val="00214E22"/>
    <w:rsid w:val="0021597C"/>
    <w:rsid w:val="00216767"/>
    <w:rsid w:val="00216871"/>
    <w:rsid w:val="00216CE7"/>
    <w:rsid w:val="00220F2A"/>
    <w:rsid w:val="002215EF"/>
    <w:rsid w:val="0022328D"/>
    <w:rsid w:val="00223A9E"/>
    <w:rsid w:val="00223D8B"/>
    <w:rsid w:val="0022513D"/>
    <w:rsid w:val="002259E5"/>
    <w:rsid w:val="0022643B"/>
    <w:rsid w:val="0022653C"/>
    <w:rsid w:val="00226543"/>
    <w:rsid w:val="00226A9A"/>
    <w:rsid w:val="00227088"/>
    <w:rsid w:val="00227275"/>
    <w:rsid w:val="002279BF"/>
    <w:rsid w:val="00227A8D"/>
    <w:rsid w:val="00227EF1"/>
    <w:rsid w:val="002305D4"/>
    <w:rsid w:val="00230729"/>
    <w:rsid w:val="00232238"/>
    <w:rsid w:val="002330C5"/>
    <w:rsid w:val="00233427"/>
    <w:rsid w:val="00233938"/>
    <w:rsid w:val="00234552"/>
    <w:rsid w:val="0023520F"/>
    <w:rsid w:val="0023590D"/>
    <w:rsid w:val="002362B1"/>
    <w:rsid w:val="00237135"/>
    <w:rsid w:val="002371A2"/>
    <w:rsid w:val="00237796"/>
    <w:rsid w:val="00237A94"/>
    <w:rsid w:val="0024047E"/>
    <w:rsid w:val="002404AC"/>
    <w:rsid w:val="00242A6D"/>
    <w:rsid w:val="00243072"/>
    <w:rsid w:val="0024338B"/>
    <w:rsid w:val="00243A70"/>
    <w:rsid w:val="00243CBC"/>
    <w:rsid w:val="002447B4"/>
    <w:rsid w:val="002449A8"/>
    <w:rsid w:val="00245713"/>
    <w:rsid w:val="0025003C"/>
    <w:rsid w:val="00250EAD"/>
    <w:rsid w:val="00250F80"/>
    <w:rsid w:val="00251FA4"/>
    <w:rsid w:val="00252704"/>
    <w:rsid w:val="00252746"/>
    <w:rsid w:val="00252E9F"/>
    <w:rsid w:val="0025363B"/>
    <w:rsid w:val="00254BEB"/>
    <w:rsid w:val="00254C36"/>
    <w:rsid w:val="002559CA"/>
    <w:rsid w:val="00256491"/>
    <w:rsid w:val="002569BE"/>
    <w:rsid w:val="00261285"/>
    <w:rsid w:val="00261E04"/>
    <w:rsid w:val="0026263E"/>
    <w:rsid w:val="00262DAE"/>
    <w:rsid w:val="00263135"/>
    <w:rsid w:val="002640F1"/>
    <w:rsid w:val="002644E2"/>
    <w:rsid w:val="00264648"/>
    <w:rsid w:val="00264654"/>
    <w:rsid w:val="0026582F"/>
    <w:rsid w:val="002660AB"/>
    <w:rsid w:val="00266620"/>
    <w:rsid w:val="002673D8"/>
    <w:rsid w:val="00267537"/>
    <w:rsid w:val="00270DEB"/>
    <w:rsid w:val="00271A5E"/>
    <w:rsid w:val="00272259"/>
    <w:rsid w:val="00272893"/>
    <w:rsid w:val="00272AAD"/>
    <w:rsid w:val="00272C35"/>
    <w:rsid w:val="00273CF5"/>
    <w:rsid w:val="00273D92"/>
    <w:rsid w:val="002741E9"/>
    <w:rsid w:val="0027439C"/>
    <w:rsid w:val="00275392"/>
    <w:rsid w:val="002756A1"/>
    <w:rsid w:val="00275E3E"/>
    <w:rsid w:val="00276985"/>
    <w:rsid w:val="00277AA2"/>
    <w:rsid w:val="00277D96"/>
    <w:rsid w:val="00280DE7"/>
    <w:rsid w:val="002811D7"/>
    <w:rsid w:val="00281838"/>
    <w:rsid w:val="00281C3B"/>
    <w:rsid w:val="00283373"/>
    <w:rsid w:val="00283D9D"/>
    <w:rsid w:val="00284397"/>
    <w:rsid w:val="0028452C"/>
    <w:rsid w:val="0028459E"/>
    <w:rsid w:val="002850FB"/>
    <w:rsid w:val="00285170"/>
    <w:rsid w:val="00285353"/>
    <w:rsid w:val="0028594C"/>
    <w:rsid w:val="002869C3"/>
    <w:rsid w:val="00286A53"/>
    <w:rsid w:val="00287217"/>
    <w:rsid w:val="00292184"/>
    <w:rsid w:val="00293194"/>
    <w:rsid w:val="002936FB"/>
    <w:rsid w:val="00293BE3"/>
    <w:rsid w:val="00293DDC"/>
    <w:rsid w:val="00294136"/>
    <w:rsid w:val="00294EB4"/>
    <w:rsid w:val="00295973"/>
    <w:rsid w:val="002962E0"/>
    <w:rsid w:val="00296498"/>
    <w:rsid w:val="00296EB6"/>
    <w:rsid w:val="0029705E"/>
    <w:rsid w:val="00297888"/>
    <w:rsid w:val="002979BF"/>
    <w:rsid w:val="00297A5B"/>
    <w:rsid w:val="002A002F"/>
    <w:rsid w:val="002A084B"/>
    <w:rsid w:val="002A164D"/>
    <w:rsid w:val="002A1B43"/>
    <w:rsid w:val="002A1B7B"/>
    <w:rsid w:val="002A2BFC"/>
    <w:rsid w:val="002A36B9"/>
    <w:rsid w:val="002A3769"/>
    <w:rsid w:val="002A37C9"/>
    <w:rsid w:val="002A3E89"/>
    <w:rsid w:val="002A54F1"/>
    <w:rsid w:val="002A577E"/>
    <w:rsid w:val="002A59CE"/>
    <w:rsid w:val="002A60FF"/>
    <w:rsid w:val="002A7136"/>
    <w:rsid w:val="002A7764"/>
    <w:rsid w:val="002B03FC"/>
    <w:rsid w:val="002B0C7D"/>
    <w:rsid w:val="002B2E28"/>
    <w:rsid w:val="002B399B"/>
    <w:rsid w:val="002B3FB4"/>
    <w:rsid w:val="002B40DA"/>
    <w:rsid w:val="002B4189"/>
    <w:rsid w:val="002B4984"/>
    <w:rsid w:val="002B4EA4"/>
    <w:rsid w:val="002B4EE4"/>
    <w:rsid w:val="002B549D"/>
    <w:rsid w:val="002B5667"/>
    <w:rsid w:val="002B7F5F"/>
    <w:rsid w:val="002C1B0B"/>
    <w:rsid w:val="002C1B8F"/>
    <w:rsid w:val="002C1F00"/>
    <w:rsid w:val="002C26E6"/>
    <w:rsid w:val="002C2863"/>
    <w:rsid w:val="002C36D0"/>
    <w:rsid w:val="002C3A1E"/>
    <w:rsid w:val="002C458E"/>
    <w:rsid w:val="002C4A54"/>
    <w:rsid w:val="002C4AFC"/>
    <w:rsid w:val="002C5171"/>
    <w:rsid w:val="002C61DF"/>
    <w:rsid w:val="002C68A9"/>
    <w:rsid w:val="002C78B5"/>
    <w:rsid w:val="002D0283"/>
    <w:rsid w:val="002D08F8"/>
    <w:rsid w:val="002D0955"/>
    <w:rsid w:val="002D0C38"/>
    <w:rsid w:val="002D1386"/>
    <w:rsid w:val="002D353A"/>
    <w:rsid w:val="002D3593"/>
    <w:rsid w:val="002D363B"/>
    <w:rsid w:val="002D3664"/>
    <w:rsid w:val="002D36F6"/>
    <w:rsid w:val="002D38AB"/>
    <w:rsid w:val="002D3C9B"/>
    <w:rsid w:val="002D4454"/>
    <w:rsid w:val="002D4487"/>
    <w:rsid w:val="002D54C1"/>
    <w:rsid w:val="002D5B08"/>
    <w:rsid w:val="002D610E"/>
    <w:rsid w:val="002D767D"/>
    <w:rsid w:val="002D78E6"/>
    <w:rsid w:val="002E120F"/>
    <w:rsid w:val="002E2510"/>
    <w:rsid w:val="002E2FF3"/>
    <w:rsid w:val="002E372D"/>
    <w:rsid w:val="002E3A30"/>
    <w:rsid w:val="002E4A20"/>
    <w:rsid w:val="002E52EE"/>
    <w:rsid w:val="002E5CBB"/>
    <w:rsid w:val="002E5CD9"/>
    <w:rsid w:val="002E6336"/>
    <w:rsid w:val="002E6E3B"/>
    <w:rsid w:val="002E7618"/>
    <w:rsid w:val="002F00E4"/>
    <w:rsid w:val="002F06C8"/>
    <w:rsid w:val="002F18EA"/>
    <w:rsid w:val="002F34F8"/>
    <w:rsid w:val="002F3709"/>
    <w:rsid w:val="002F37ED"/>
    <w:rsid w:val="002F4772"/>
    <w:rsid w:val="002F4A00"/>
    <w:rsid w:val="002F4F34"/>
    <w:rsid w:val="002F67A4"/>
    <w:rsid w:val="002F6887"/>
    <w:rsid w:val="002F791E"/>
    <w:rsid w:val="00300A8F"/>
    <w:rsid w:val="003012A1"/>
    <w:rsid w:val="0030187D"/>
    <w:rsid w:val="0030295A"/>
    <w:rsid w:val="0030396C"/>
    <w:rsid w:val="00303B14"/>
    <w:rsid w:val="00303FF0"/>
    <w:rsid w:val="003042B4"/>
    <w:rsid w:val="00306101"/>
    <w:rsid w:val="003065AD"/>
    <w:rsid w:val="00306B97"/>
    <w:rsid w:val="0030731E"/>
    <w:rsid w:val="0030771F"/>
    <w:rsid w:val="00307A32"/>
    <w:rsid w:val="00310412"/>
    <w:rsid w:val="00311825"/>
    <w:rsid w:val="0031214B"/>
    <w:rsid w:val="00313053"/>
    <w:rsid w:val="003137C1"/>
    <w:rsid w:val="00313F51"/>
    <w:rsid w:val="00314404"/>
    <w:rsid w:val="00314A8E"/>
    <w:rsid w:val="00314EB1"/>
    <w:rsid w:val="00315777"/>
    <w:rsid w:val="00315A20"/>
    <w:rsid w:val="0031612D"/>
    <w:rsid w:val="003171E6"/>
    <w:rsid w:val="0031735E"/>
    <w:rsid w:val="0031782D"/>
    <w:rsid w:val="00320175"/>
    <w:rsid w:val="00320B53"/>
    <w:rsid w:val="00320C44"/>
    <w:rsid w:val="00321821"/>
    <w:rsid w:val="00321E93"/>
    <w:rsid w:val="00322AF1"/>
    <w:rsid w:val="00325803"/>
    <w:rsid w:val="0032580B"/>
    <w:rsid w:val="00325CA7"/>
    <w:rsid w:val="00325ED2"/>
    <w:rsid w:val="0032636D"/>
    <w:rsid w:val="003263C3"/>
    <w:rsid w:val="00326BCC"/>
    <w:rsid w:val="00326DFD"/>
    <w:rsid w:val="00327127"/>
    <w:rsid w:val="00327FF1"/>
    <w:rsid w:val="00330096"/>
    <w:rsid w:val="003300CB"/>
    <w:rsid w:val="00330946"/>
    <w:rsid w:val="00331AB1"/>
    <w:rsid w:val="003325CA"/>
    <w:rsid w:val="00332988"/>
    <w:rsid w:val="003336FB"/>
    <w:rsid w:val="003345E2"/>
    <w:rsid w:val="00334953"/>
    <w:rsid w:val="00334C1F"/>
    <w:rsid w:val="00335166"/>
    <w:rsid w:val="00335997"/>
    <w:rsid w:val="00335E20"/>
    <w:rsid w:val="0034050D"/>
    <w:rsid w:val="0034130A"/>
    <w:rsid w:val="00342698"/>
    <w:rsid w:val="003432C8"/>
    <w:rsid w:val="003451AE"/>
    <w:rsid w:val="00345EF5"/>
    <w:rsid w:val="00346904"/>
    <w:rsid w:val="00346E07"/>
    <w:rsid w:val="00347D3F"/>
    <w:rsid w:val="00347EF2"/>
    <w:rsid w:val="003503AC"/>
    <w:rsid w:val="0035113C"/>
    <w:rsid w:val="003516B5"/>
    <w:rsid w:val="00351757"/>
    <w:rsid w:val="00351B70"/>
    <w:rsid w:val="0035287A"/>
    <w:rsid w:val="0035381A"/>
    <w:rsid w:val="0035388F"/>
    <w:rsid w:val="003541A8"/>
    <w:rsid w:val="00354EEA"/>
    <w:rsid w:val="00356765"/>
    <w:rsid w:val="0035714F"/>
    <w:rsid w:val="00360416"/>
    <w:rsid w:val="00360F2F"/>
    <w:rsid w:val="003610E3"/>
    <w:rsid w:val="003615AA"/>
    <w:rsid w:val="00361B20"/>
    <w:rsid w:val="00362A5F"/>
    <w:rsid w:val="00363A9C"/>
    <w:rsid w:val="00364ABC"/>
    <w:rsid w:val="00364D6D"/>
    <w:rsid w:val="003657FF"/>
    <w:rsid w:val="00365B4E"/>
    <w:rsid w:val="00365C65"/>
    <w:rsid w:val="003661AA"/>
    <w:rsid w:val="00366A11"/>
    <w:rsid w:val="00366D95"/>
    <w:rsid w:val="00366FD7"/>
    <w:rsid w:val="00370D4F"/>
    <w:rsid w:val="00371E20"/>
    <w:rsid w:val="003726BD"/>
    <w:rsid w:val="00373493"/>
    <w:rsid w:val="00374343"/>
    <w:rsid w:val="00375C7D"/>
    <w:rsid w:val="00377DF6"/>
    <w:rsid w:val="003800A9"/>
    <w:rsid w:val="003806B1"/>
    <w:rsid w:val="003809C2"/>
    <w:rsid w:val="00380CA2"/>
    <w:rsid w:val="00380D5E"/>
    <w:rsid w:val="00380F56"/>
    <w:rsid w:val="003810B1"/>
    <w:rsid w:val="0038113D"/>
    <w:rsid w:val="0038114E"/>
    <w:rsid w:val="00381A5F"/>
    <w:rsid w:val="0038254D"/>
    <w:rsid w:val="00382A2A"/>
    <w:rsid w:val="00382F4A"/>
    <w:rsid w:val="003838A3"/>
    <w:rsid w:val="0038435A"/>
    <w:rsid w:val="00384B67"/>
    <w:rsid w:val="00384E85"/>
    <w:rsid w:val="00386357"/>
    <w:rsid w:val="00386EAC"/>
    <w:rsid w:val="0038781B"/>
    <w:rsid w:val="003935C3"/>
    <w:rsid w:val="00393CF0"/>
    <w:rsid w:val="00394582"/>
    <w:rsid w:val="003952B9"/>
    <w:rsid w:val="00395474"/>
    <w:rsid w:val="00396A76"/>
    <w:rsid w:val="003A03F9"/>
    <w:rsid w:val="003A0C48"/>
    <w:rsid w:val="003A104C"/>
    <w:rsid w:val="003A12AF"/>
    <w:rsid w:val="003A1C9A"/>
    <w:rsid w:val="003A26A9"/>
    <w:rsid w:val="003A2720"/>
    <w:rsid w:val="003A2C68"/>
    <w:rsid w:val="003A45A7"/>
    <w:rsid w:val="003A4989"/>
    <w:rsid w:val="003A5763"/>
    <w:rsid w:val="003A5C5E"/>
    <w:rsid w:val="003A62D1"/>
    <w:rsid w:val="003A6659"/>
    <w:rsid w:val="003A69F6"/>
    <w:rsid w:val="003A6B08"/>
    <w:rsid w:val="003A7FE5"/>
    <w:rsid w:val="003B0A3C"/>
    <w:rsid w:val="003B0F81"/>
    <w:rsid w:val="003B2597"/>
    <w:rsid w:val="003B284B"/>
    <w:rsid w:val="003B3980"/>
    <w:rsid w:val="003B4500"/>
    <w:rsid w:val="003B4559"/>
    <w:rsid w:val="003B4BB0"/>
    <w:rsid w:val="003B5DF4"/>
    <w:rsid w:val="003B60D4"/>
    <w:rsid w:val="003B6A32"/>
    <w:rsid w:val="003B7003"/>
    <w:rsid w:val="003B7165"/>
    <w:rsid w:val="003B7AD5"/>
    <w:rsid w:val="003B7BEF"/>
    <w:rsid w:val="003B7D7D"/>
    <w:rsid w:val="003C0139"/>
    <w:rsid w:val="003C0D40"/>
    <w:rsid w:val="003C1027"/>
    <w:rsid w:val="003C12A1"/>
    <w:rsid w:val="003C2195"/>
    <w:rsid w:val="003C2C43"/>
    <w:rsid w:val="003C341B"/>
    <w:rsid w:val="003C3E73"/>
    <w:rsid w:val="003C3F3C"/>
    <w:rsid w:val="003C62F3"/>
    <w:rsid w:val="003D0E38"/>
    <w:rsid w:val="003D12CE"/>
    <w:rsid w:val="003D1420"/>
    <w:rsid w:val="003D1D89"/>
    <w:rsid w:val="003D22E1"/>
    <w:rsid w:val="003D2538"/>
    <w:rsid w:val="003D3636"/>
    <w:rsid w:val="003D36AD"/>
    <w:rsid w:val="003D4311"/>
    <w:rsid w:val="003D4768"/>
    <w:rsid w:val="003D4BC1"/>
    <w:rsid w:val="003D4F44"/>
    <w:rsid w:val="003D7EEF"/>
    <w:rsid w:val="003E08A5"/>
    <w:rsid w:val="003E08C9"/>
    <w:rsid w:val="003E18D2"/>
    <w:rsid w:val="003E289D"/>
    <w:rsid w:val="003E2CB7"/>
    <w:rsid w:val="003E3757"/>
    <w:rsid w:val="003E3F0D"/>
    <w:rsid w:val="003E4776"/>
    <w:rsid w:val="003E5399"/>
    <w:rsid w:val="003E5CFF"/>
    <w:rsid w:val="003E5ED9"/>
    <w:rsid w:val="003E6826"/>
    <w:rsid w:val="003E6C85"/>
    <w:rsid w:val="003F00F4"/>
    <w:rsid w:val="003F03A8"/>
    <w:rsid w:val="003F041D"/>
    <w:rsid w:val="003F1559"/>
    <w:rsid w:val="003F238F"/>
    <w:rsid w:val="003F37EF"/>
    <w:rsid w:val="003F435B"/>
    <w:rsid w:val="003F4DD4"/>
    <w:rsid w:val="003F53E6"/>
    <w:rsid w:val="003F56B9"/>
    <w:rsid w:val="003F5F7D"/>
    <w:rsid w:val="003F608E"/>
    <w:rsid w:val="003F6347"/>
    <w:rsid w:val="003F67EF"/>
    <w:rsid w:val="003F6952"/>
    <w:rsid w:val="003F6CF5"/>
    <w:rsid w:val="003F6F42"/>
    <w:rsid w:val="003F74B1"/>
    <w:rsid w:val="003F74DA"/>
    <w:rsid w:val="003F7AE0"/>
    <w:rsid w:val="004001CC"/>
    <w:rsid w:val="0040224E"/>
    <w:rsid w:val="004024B7"/>
    <w:rsid w:val="0040370F"/>
    <w:rsid w:val="00406116"/>
    <w:rsid w:val="004065DA"/>
    <w:rsid w:val="004072A7"/>
    <w:rsid w:val="0040795D"/>
    <w:rsid w:val="00407B26"/>
    <w:rsid w:val="0041031E"/>
    <w:rsid w:val="0041075E"/>
    <w:rsid w:val="0041118E"/>
    <w:rsid w:val="004126FA"/>
    <w:rsid w:val="00412DCE"/>
    <w:rsid w:val="00413227"/>
    <w:rsid w:val="00413951"/>
    <w:rsid w:val="00414CC4"/>
    <w:rsid w:val="00415EC3"/>
    <w:rsid w:val="00420E89"/>
    <w:rsid w:val="00421AB7"/>
    <w:rsid w:val="00421C0A"/>
    <w:rsid w:val="004222F6"/>
    <w:rsid w:val="004226D5"/>
    <w:rsid w:val="00422C36"/>
    <w:rsid w:val="00423785"/>
    <w:rsid w:val="00426263"/>
    <w:rsid w:val="00427409"/>
    <w:rsid w:val="00430999"/>
    <w:rsid w:val="004330CB"/>
    <w:rsid w:val="00433AD1"/>
    <w:rsid w:val="00434E3E"/>
    <w:rsid w:val="00434F92"/>
    <w:rsid w:val="004352AF"/>
    <w:rsid w:val="00436B38"/>
    <w:rsid w:val="00436D43"/>
    <w:rsid w:val="00437A7A"/>
    <w:rsid w:val="00437E1B"/>
    <w:rsid w:val="00441D44"/>
    <w:rsid w:val="00442C60"/>
    <w:rsid w:val="00443377"/>
    <w:rsid w:val="00443D07"/>
    <w:rsid w:val="0044430E"/>
    <w:rsid w:val="0044545F"/>
    <w:rsid w:val="0044563E"/>
    <w:rsid w:val="00445A69"/>
    <w:rsid w:val="00446C33"/>
    <w:rsid w:val="004472A7"/>
    <w:rsid w:val="004478BB"/>
    <w:rsid w:val="00450B71"/>
    <w:rsid w:val="00451CF1"/>
    <w:rsid w:val="00452BBA"/>
    <w:rsid w:val="00452BBF"/>
    <w:rsid w:val="0045340D"/>
    <w:rsid w:val="0045488D"/>
    <w:rsid w:val="00456DD1"/>
    <w:rsid w:val="00457975"/>
    <w:rsid w:val="004600C2"/>
    <w:rsid w:val="0046059F"/>
    <w:rsid w:val="0046149B"/>
    <w:rsid w:val="0046166C"/>
    <w:rsid w:val="004616F3"/>
    <w:rsid w:val="0046179A"/>
    <w:rsid w:val="0046206D"/>
    <w:rsid w:val="00462C7C"/>
    <w:rsid w:val="00462CB4"/>
    <w:rsid w:val="00462E68"/>
    <w:rsid w:val="00462E86"/>
    <w:rsid w:val="00464459"/>
    <w:rsid w:val="004645E2"/>
    <w:rsid w:val="00464C9E"/>
    <w:rsid w:val="0046516B"/>
    <w:rsid w:val="004658C9"/>
    <w:rsid w:val="004666C5"/>
    <w:rsid w:val="00467158"/>
    <w:rsid w:val="0046738C"/>
    <w:rsid w:val="00467B6D"/>
    <w:rsid w:val="004701A3"/>
    <w:rsid w:val="0047066E"/>
    <w:rsid w:val="00470FD0"/>
    <w:rsid w:val="004723F4"/>
    <w:rsid w:val="004726ED"/>
    <w:rsid w:val="00472D86"/>
    <w:rsid w:val="004730E7"/>
    <w:rsid w:val="004734ED"/>
    <w:rsid w:val="0047394F"/>
    <w:rsid w:val="004744E7"/>
    <w:rsid w:val="00474D58"/>
    <w:rsid w:val="00475503"/>
    <w:rsid w:val="00477466"/>
    <w:rsid w:val="004775A0"/>
    <w:rsid w:val="0047768D"/>
    <w:rsid w:val="00477F85"/>
    <w:rsid w:val="004802C2"/>
    <w:rsid w:val="00480BCC"/>
    <w:rsid w:val="00481808"/>
    <w:rsid w:val="00481EBD"/>
    <w:rsid w:val="00481F9B"/>
    <w:rsid w:val="00483E44"/>
    <w:rsid w:val="0048431E"/>
    <w:rsid w:val="0048443A"/>
    <w:rsid w:val="00484446"/>
    <w:rsid w:val="00484CA5"/>
    <w:rsid w:val="00485228"/>
    <w:rsid w:val="004864A5"/>
    <w:rsid w:val="00486ED9"/>
    <w:rsid w:val="004905BD"/>
    <w:rsid w:val="00491188"/>
    <w:rsid w:val="00491A42"/>
    <w:rsid w:val="0049226D"/>
    <w:rsid w:val="00493382"/>
    <w:rsid w:val="0049384E"/>
    <w:rsid w:val="0049412C"/>
    <w:rsid w:val="0049484F"/>
    <w:rsid w:val="00495381"/>
    <w:rsid w:val="004A178B"/>
    <w:rsid w:val="004A25AC"/>
    <w:rsid w:val="004A2857"/>
    <w:rsid w:val="004A397C"/>
    <w:rsid w:val="004A4A0A"/>
    <w:rsid w:val="004A4A9E"/>
    <w:rsid w:val="004A4E5C"/>
    <w:rsid w:val="004A51F7"/>
    <w:rsid w:val="004B02FF"/>
    <w:rsid w:val="004B0858"/>
    <w:rsid w:val="004B1633"/>
    <w:rsid w:val="004B16E1"/>
    <w:rsid w:val="004B2706"/>
    <w:rsid w:val="004B2E9A"/>
    <w:rsid w:val="004B31A4"/>
    <w:rsid w:val="004B5688"/>
    <w:rsid w:val="004B764F"/>
    <w:rsid w:val="004B785A"/>
    <w:rsid w:val="004B7C66"/>
    <w:rsid w:val="004C07EB"/>
    <w:rsid w:val="004C18D2"/>
    <w:rsid w:val="004C1BE8"/>
    <w:rsid w:val="004C28B2"/>
    <w:rsid w:val="004C3591"/>
    <w:rsid w:val="004C39B4"/>
    <w:rsid w:val="004C3BF3"/>
    <w:rsid w:val="004C4A1D"/>
    <w:rsid w:val="004C50A9"/>
    <w:rsid w:val="004C5895"/>
    <w:rsid w:val="004C5E20"/>
    <w:rsid w:val="004C6D06"/>
    <w:rsid w:val="004D0795"/>
    <w:rsid w:val="004D0F12"/>
    <w:rsid w:val="004D0FAA"/>
    <w:rsid w:val="004D1E8C"/>
    <w:rsid w:val="004D36BD"/>
    <w:rsid w:val="004D379A"/>
    <w:rsid w:val="004D38D8"/>
    <w:rsid w:val="004D3BAE"/>
    <w:rsid w:val="004D3BCA"/>
    <w:rsid w:val="004D4A1A"/>
    <w:rsid w:val="004D5A4C"/>
    <w:rsid w:val="004D5E8A"/>
    <w:rsid w:val="004D6EA7"/>
    <w:rsid w:val="004D7B2C"/>
    <w:rsid w:val="004E0624"/>
    <w:rsid w:val="004E14CA"/>
    <w:rsid w:val="004E1820"/>
    <w:rsid w:val="004E314F"/>
    <w:rsid w:val="004E33FA"/>
    <w:rsid w:val="004E38A1"/>
    <w:rsid w:val="004E3EB8"/>
    <w:rsid w:val="004E42A8"/>
    <w:rsid w:val="004E434D"/>
    <w:rsid w:val="004E43BE"/>
    <w:rsid w:val="004E447D"/>
    <w:rsid w:val="004E67E6"/>
    <w:rsid w:val="004E6919"/>
    <w:rsid w:val="004E6BEE"/>
    <w:rsid w:val="004E6EB7"/>
    <w:rsid w:val="004E73EF"/>
    <w:rsid w:val="004E76CB"/>
    <w:rsid w:val="004E7AD1"/>
    <w:rsid w:val="004E7BBF"/>
    <w:rsid w:val="004F10E0"/>
    <w:rsid w:val="004F15E3"/>
    <w:rsid w:val="004F16F6"/>
    <w:rsid w:val="004F1B63"/>
    <w:rsid w:val="004F1C7A"/>
    <w:rsid w:val="004F1D60"/>
    <w:rsid w:val="004F1DC3"/>
    <w:rsid w:val="004F2105"/>
    <w:rsid w:val="004F30E4"/>
    <w:rsid w:val="004F3F67"/>
    <w:rsid w:val="004F4117"/>
    <w:rsid w:val="004F43EE"/>
    <w:rsid w:val="004F4D18"/>
    <w:rsid w:val="004F4D19"/>
    <w:rsid w:val="004F53CF"/>
    <w:rsid w:val="004F584E"/>
    <w:rsid w:val="004F5A89"/>
    <w:rsid w:val="004F74FA"/>
    <w:rsid w:val="004F7707"/>
    <w:rsid w:val="004F772F"/>
    <w:rsid w:val="004F7C32"/>
    <w:rsid w:val="005002CF"/>
    <w:rsid w:val="00500333"/>
    <w:rsid w:val="00500DAD"/>
    <w:rsid w:val="005021BD"/>
    <w:rsid w:val="00502925"/>
    <w:rsid w:val="00502D2E"/>
    <w:rsid w:val="00503978"/>
    <w:rsid w:val="00503B40"/>
    <w:rsid w:val="0050408F"/>
    <w:rsid w:val="0050442C"/>
    <w:rsid w:val="00506314"/>
    <w:rsid w:val="005065C0"/>
    <w:rsid w:val="00507356"/>
    <w:rsid w:val="0050787E"/>
    <w:rsid w:val="00507B12"/>
    <w:rsid w:val="00507D46"/>
    <w:rsid w:val="005105E8"/>
    <w:rsid w:val="00511782"/>
    <w:rsid w:val="00512443"/>
    <w:rsid w:val="005125C8"/>
    <w:rsid w:val="00512630"/>
    <w:rsid w:val="00512E90"/>
    <w:rsid w:val="00513009"/>
    <w:rsid w:val="005134D6"/>
    <w:rsid w:val="005148B6"/>
    <w:rsid w:val="00515351"/>
    <w:rsid w:val="00515CB3"/>
    <w:rsid w:val="005163E4"/>
    <w:rsid w:val="00516CF0"/>
    <w:rsid w:val="0051701E"/>
    <w:rsid w:val="005173C6"/>
    <w:rsid w:val="005204FD"/>
    <w:rsid w:val="0052087C"/>
    <w:rsid w:val="00520D25"/>
    <w:rsid w:val="00522319"/>
    <w:rsid w:val="005229FC"/>
    <w:rsid w:val="00522B05"/>
    <w:rsid w:val="00522B81"/>
    <w:rsid w:val="0052362D"/>
    <w:rsid w:val="00523DF0"/>
    <w:rsid w:val="00524421"/>
    <w:rsid w:val="0052454E"/>
    <w:rsid w:val="00524CDB"/>
    <w:rsid w:val="00524E73"/>
    <w:rsid w:val="00525B69"/>
    <w:rsid w:val="0052692C"/>
    <w:rsid w:val="0052748D"/>
    <w:rsid w:val="00527EC5"/>
    <w:rsid w:val="005301A6"/>
    <w:rsid w:val="00530824"/>
    <w:rsid w:val="00530871"/>
    <w:rsid w:val="00530D57"/>
    <w:rsid w:val="00531349"/>
    <w:rsid w:val="0053150C"/>
    <w:rsid w:val="005319BF"/>
    <w:rsid w:val="00531BA3"/>
    <w:rsid w:val="00532746"/>
    <w:rsid w:val="00532921"/>
    <w:rsid w:val="00532C1A"/>
    <w:rsid w:val="005331E3"/>
    <w:rsid w:val="005336E6"/>
    <w:rsid w:val="00533B56"/>
    <w:rsid w:val="00533BDC"/>
    <w:rsid w:val="00533C4A"/>
    <w:rsid w:val="005346F5"/>
    <w:rsid w:val="005360E4"/>
    <w:rsid w:val="00536789"/>
    <w:rsid w:val="00536B4B"/>
    <w:rsid w:val="0053739B"/>
    <w:rsid w:val="0054096E"/>
    <w:rsid w:val="00540EA9"/>
    <w:rsid w:val="00541643"/>
    <w:rsid w:val="00541DB3"/>
    <w:rsid w:val="00543D0F"/>
    <w:rsid w:val="0054429C"/>
    <w:rsid w:val="00544446"/>
    <w:rsid w:val="005446CB"/>
    <w:rsid w:val="0054579D"/>
    <w:rsid w:val="005461FC"/>
    <w:rsid w:val="00546B64"/>
    <w:rsid w:val="0054708A"/>
    <w:rsid w:val="005472B8"/>
    <w:rsid w:val="00551164"/>
    <w:rsid w:val="00552B66"/>
    <w:rsid w:val="005556AE"/>
    <w:rsid w:val="00555748"/>
    <w:rsid w:val="005568F5"/>
    <w:rsid w:val="00556A97"/>
    <w:rsid w:val="00557456"/>
    <w:rsid w:val="0055750B"/>
    <w:rsid w:val="005579D5"/>
    <w:rsid w:val="00557CE9"/>
    <w:rsid w:val="00560834"/>
    <w:rsid w:val="00560CB7"/>
    <w:rsid w:val="00561111"/>
    <w:rsid w:val="00561A48"/>
    <w:rsid w:val="00561F38"/>
    <w:rsid w:val="00562DEC"/>
    <w:rsid w:val="00562EC8"/>
    <w:rsid w:val="005644CE"/>
    <w:rsid w:val="005645AB"/>
    <w:rsid w:val="00564E09"/>
    <w:rsid w:val="00566660"/>
    <w:rsid w:val="00566878"/>
    <w:rsid w:val="00566928"/>
    <w:rsid w:val="00566DEF"/>
    <w:rsid w:val="00566FE3"/>
    <w:rsid w:val="005670E8"/>
    <w:rsid w:val="005675BF"/>
    <w:rsid w:val="00570D14"/>
    <w:rsid w:val="00571044"/>
    <w:rsid w:val="0057168F"/>
    <w:rsid w:val="00571D3B"/>
    <w:rsid w:val="00572F00"/>
    <w:rsid w:val="00572FBE"/>
    <w:rsid w:val="0057324B"/>
    <w:rsid w:val="00573439"/>
    <w:rsid w:val="00573C4A"/>
    <w:rsid w:val="00574000"/>
    <w:rsid w:val="00575C59"/>
    <w:rsid w:val="00576230"/>
    <w:rsid w:val="0057664F"/>
    <w:rsid w:val="0057670B"/>
    <w:rsid w:val="005776A4"/>
    <w:rsid w:val="00577860"/>
    <w:rsid w:val="00580AA0"/>
    <w:rsid w:val="0058139D"/>
    <w:rsid w:val="00581547"/>
    <w:rsid w:val="005815AF"/>
    <w:rsid w:val="00581B13"/>
    <w:rsid w:val="00582608"/>
    <w:rsid w:val="00582C16"/>
    <w:rsid w:val="00582FC6"/>
    <w:rsid w:val="00583F25"/>
    <w:rsid w:val="0058437C"/>
    <w:rsid w:val="0058450D"/>
    <w:rsid w:val="005846D9"/>
    <w:rsid w:val="005849A1"/>
    <w:rsid w:val="005856E3"/>
    <w:rsid w:val="00585D58"/>
    <w:rsid w:val="00585EF3"/>
    <w:rsid w:val="00587213"/>
    <w:rsid w:val="00587251"/>
    <w:rsid w:val="005877E4"/>
    <w:rsid w:val="00590B14"/>
    <w:rsid w:val="00590B1C"/>
    <w:rsid w:val="00590BF8"/>
    <w:rsid w:val="005910FE"/>
    <w:rsid w:val="005912C7"/>
    <w:rsid w:val="00591448"/>
    <w:rsid w:val="005920D1"/>
    <w:rsid w:val="00593F3A"/>
    <w:rsid w:val="00594436"/>
    <w:rsid w:val="00594E5F"/>
    <w:rsid w:val="005969B3"/>
    <w:rsid w:val="00596EF5"/>
    <w:rsid w:val="005A00BC"/>
    <w:rsid w:val="005A18E6"/>
    <w:rsid w:val="005A1DAE"/>
    <w:rsid w:val="005A2BAE"/>
    <w:rsid w:val="005A31A0"/>
    <w:rsid w:val="005A3A87"/>
    <w:rsid w:val="005A4521"/>
    <w:rsid w:val="005A4747"/>
    <w:rsid w:val="005A48A3"/>
    <w:rsid w:val="005A58FE"/>
    <w:rsid w:val="005A5E75"/>
    <w:rsid w:val="005A5FB3"/>
    <w:rsid w:val="005A6AB8"/>
    <w:rsid w:val="005A79A0"/>
    <w:rsid w:val="005A7B3E"/>
    <w:rsid w:val="005B06B9"/>
    <w:rsid w:val="005B1AE2"/>
    <w:rsid w:val="005B1D9F"/>
    <w:rsid w:val="005B3686"/>
    <w:rsid w:val="005B4235"/>
    <w:rsid w:val="005B48B9"/>
    <w:rsid w:val="005B4E80"/>
    <w:rsid w:val="005B5435"/>
    <w:rsid w:val="005B5CC7"/>
    <w:rsid w:val="005B5D32"/>
    <w:rsid w:val="005B7385"/>
    <w:rsid w:val="005B73D6"/>
    <w:rsid w:val="005B78B6"/>
    <w:rsid w:val="005B7F1F"/>
    <w:rsid w:val="005C15E2"/>
    <w:rsid w:val="005C1C9D"/>
    <w:rsid w:val="005C27B0"/>
    <w:rsid w:val="005C27F6"/>
    <w:rsid w:val="005C35CB"/>
    <w:rsid w:val="005C3F35"/>
    <w:rsid w:val="005C4376"/>
    <w:rsid w:val="005C46C2"/>
    <w:rsid w:val="005C5A32"/>
    <w:rsid w:val="005C67AD"/>
    <w:rsid w:val="005C7022"/>
    <w:rsid w:val="005C7048"/>
    <w:rsid w:val="005C7736"/>
    <w:rsid w:val="005D0528"/>
    <w:rsid w:val="005D0591"/>
    <w:rsid w:val="005D10E1"/>
    <w:rsid w:val="005D11A9"/>
    <w:rsid w:val="005D1D54"/>
    <w:rsid w:val="005D2C65"/>
    <w:rsid w:val="005D30F9"/>
    <w:rsid w:val="005D4E49"/>
    <w:rsid w:val="005D4F94"/>
    <w:rsid w:val="005D57FC"/>
    <w:rsid w:val="005D6AA0"/>
    <w:rsid w:val="005D7625"/>
    <w:rsid w:val="005E210B"/>
    <w:rsid w:val="005E35D8"/>
    <w:rsid w:val="005E468D"/>
    <w:rsid w:val="005E4817"/>
    <w:rsid w:val="005E5313"/>
    <w:rsid w:val="005E5C40"/>
    <w:rsid w:val="005E5FD6"/>
    <w:rsid w:val="005E7208"/>
    <w:rsid w:val="005F036D"/>
    <w:rsid w:val="005F05BE"/>
    <w:rsid w:val="005F09B9"/>
    <w:rsid w:val="005F0A8F"/>
    <w:rsid w:val="005F1095"/>
    <w:rsid w:val="005F150B"/>
    <w:rsid w:val="005F1C01"/>
    <w:rsid w:val="005F1E61"/>
    <w:rsid w:val="005F20AA"/>
    <w:rsid w:val="005F277B"/>
    <w:rsid w:val="005F2805"/>
    <w:rsid w:val="005F2E00"/>
    <w:rsid w:val="005F3646"/>
    <w:rsid w:val="005F39A8"/>
    <w:rsid w:val="005F39C0"/>
    <w:rsid w:val="005F4018"/>
    <w:rsid w:val="005F4657"/>
    <w:rsid w:val="005F4C96"/>
    <w:rsid w:val="005F4EFF"/>
    <w:rsid w:val="005F52F5"/>
    <w:rsid w:val="005F5AD4"/>
    <w:rsid w:val="005F5D6F"/>
    <w:rsid w:val="005F7AA5"/>
    <w:rsid w:val="005F7B9F"/>
    <w:rsid w:val="005F7BE6"/>
    <w:rsid w:val="0060111F"/>
    <w:rsid w:val="00601254"/>
    <w:rsid w:val="00602306"/>
    <w:rsid w:val="00602404"/>
    <w:rsid w:val="00602C56"/>
    <w:rsid w:val="00603272"/>
    <w:rsid w:val="006044C6"/>
    <w:rsid w:val="00604556"/>
    <w:rsid w:val="0060459F"/>
    <w:rsid w:val="00606500"/>
    <w:rsid w:val="00606A5A"/>
    <w:rsid w:val="00606E92"/>
    <w:rsid w:val="006070FF"/>
    <w:rsid w:val="00607873"/>
    <w:rsid w:val="00610F4B"/>
    <w:rsid w:val="00610F52"/>
    <w:rsid w:val="00611E76"/>
    <w:rsid w:val="0061270A"/>
    <w:rsid w:val="00613B6D"/>
    <w:rsid w:val="00615249"/>
    <w:rsid w:val="006158A6"/>
    <w:rsid w:val="00615F90"/>
    <w:rsid w:val="00616312"/>
    <w:rsid w:val="00616488"/>
    <w:rsid w:val="00620CAA"/>
    <w:rsid w:val="00620F16"/>
    <w:rsid w:val="00621A02"/>
    <w:rsid w:val="00623403"/>
    <w:rsid w:val="00627933"/>
    <w:rsid w:val="00627D71"/>
    <w:rsid w:val="006306EE"/>
    <w:rsid w:val="00630A5D"/>
    <w:rsid w:val="0063107A"/>
    <w:rsid w:val="00631182"/>
    <w:rsid w:val="006316B4"/>
    <w:rsid w:val="00632B79"/>
    <w:rsid w:val="00634890"/>
    <w:rsid w:val="00635A26"/>
    <w:rsid w:val="00635CEF"/>
    <w:rsid w:val="0063655E"/>
    <w:rsid w:val="006368A3"/>
    <w:rsid w:val="00636CBE"/>
    <w:rsid w:val="00636E72"/>
    <w:rsid w:val="006379D7"/>
    <w:rsid w:val="006403C7"/>
    <w:rsid w:val="00640A48"/>
    <w:rsid w:val="006417FA"/>
    <w:rsid w:val="0064196A"/>
    <w:rsid w:val="006422DC"/>
    <w:rsid w:val="00642BD5"/>
    <w:rsid w:val="00642F56"/>
    <w:rsid w:val="006431D1"/>
    <w:rsid w:val="006440C7"/>
    <w:rsid w:val="0064430B"/>
    <w:rsid w:val="006451A9"/>
    <w:rsid w:val="00645210"/>
    <w:rsid w:val="00645E84"/>
    <w:rsid w:val="00646150"/>
    <w:rsid w:val="006470FA"/>
    <w:rsid w:val="00647118"/>
    <w:rsid w:val="00647905"/>
    <w:rsid w:val="0065284B"/>
    <w:rsid w:val="00653645"/>
    <w:rsid w:val="0065376E"/>
    <w:rsid w:val="00653F6C"/>
    <w:rsid w:val="006559F6"/>
    <w:rsid w:val="00655DDB"/>
    <w:rsid w:val="00656A27"/>
    <w:rsid w:val="00656B8B"/>
    <w:rsid w:val="006604E6"/>
    <w:rsid w:val="00660FF6"/>
    <w:rsid w:val="00661259"/>
    <w:rsid w:val="0066231A"/>
    <w:rsid w:val="00662FF2"/>
    <w:rsid w:val="00663760"/>
    <w:rsid w:val="00663BA5"/>
    <w:rsid w:val="00664085"/>
    <w:rsid w:val="00664596"/>
    <w:rsid w:val="0066573E"/>
    <w:rsid w:val="0066685B"/>
    <w:rsid w:val="00666ACE"/>
    <w:rsid w:val="00666B31"/>
    <w:rsid w:val="006672A8"/>
    <w:rsid w:val="0066760D"/>
    <w:rsid w:val="00667666"/>
    <w:rsid w:val="00667E56"/>
    <w:rsid w:val="00670BA3"/>
    <w:rsid w:val="006711DB"/>
    <w:rsid w:val="00671CDE"/>
    <w:rsid w:val="00672229"/>
    <w:rsid w:val="00672280"/>
    <w:rsid w:val="00672361"/>
    <w:rsid w:val="00673991"/>
    <w:rsid w:val="00674435"/>
    <w:rsid w:val="00676915"/>
    <w:rsid w:val="00677910"/>
    <w:rsid w:val="00677915"/>
    <w:rsid w:val="00677A34"/>
    <w:rsid w:val="006800C7"/>
    <w:rsid w:val="00680285"/>
    <w:rsid w:val="00680CCC"/>
    <w:rsid w:val="0068153E"/>
    <w:rsid w:val="006817B1"/>
    <w:rsid w:val="00681F1E"/>
    <w:rsid w:val="0068274B"/>
    <w:rsid w:val="00682ED6"/>
    <w:rsid w:val="006834F0"/>
    <w:rsid w:val="00683C41"/>
    <w:rsid w:val="00683C63"/>
    <w:rsid w:val="006846B2"/>
    <w:rsid w:val="00684D49"/>
    <w:rsid w:val="00684DBB"/>
    <w:rsid w:val="00685A6E"/>
    <w:rsid w:val="00686FBD"/>
    <w:rsid w:val="00687174"/>
    <w:rsid w:val="006871C0"/>
    <w:rsid w:val="006871CE"/>
    <w:rsid w:val="006874A7"/>
    <w:rsid w:val="00690594"/>
    <w:rsid w:val="00690DA9"/>
    <w:rsid w:val="0069225D"/>
    <w:rsid w:val="006929A3"/>
    <w:rsid w:val="00692CC8"/>
    <w:rsid w:val="0069310A"/>
    <w:rsid w:val="00693574"/>
    <w:rsid w:val="00694091"/>
    <w:rsid w:val="006942C7"/>
    <w:rsid w:val="00694513"/>
    <w:rsid w:val="00695114"/>
    <w:rsid w:val="0069581A"/>
    <w:rsid w:val="00697087"/>
    <w:rsid w:val="006974E7"/>
    <w:rsid w:val="006A0170"/>
    <w:rsid w:val="006A03A9"/>
    <w:rsid w:val="006A06FE"/>
    <w:rsid w:val="006A0724"/>
    <w:rsid w:val="006A07D6"/>
    <w:rsid w:val="006A13D7"/>
    <w:rsid w:val="006A1709"/>
    <w:rsid w:val="006A23F6"/>
    <w:rsid w:val="006A27B8"/>
    <w:rsid w:val="006A31CA"/>
    <w:rsid w:val="006A4060"/>
    <w:rsid w:val="006A53D8"/>
    <w:rsid w:val="006A56C2"/>
    <w:rsid w:val="006A5FA0"/>
    <w:rsid w:val="006A69AF"/>
    <w:rsid w:val="006A6A76"/>
    <w:rsid w:val="006A74F8"/>
    <w:rsid w:val="006A762D"/>
    <w:rsid w:val="006A76E3"/>
    <w:rsid w:val="006B026D"/>
    <w:rsid w:val="006B03D8"/>
    <w:rsid w:val="006B0B7A"/>
    <w:rsid w:val="006B1A4F"/>
    <w:rsid w:val="006B22B3"/>
    <w:rsid w:val="006B2EEE"/>
    <w:rsid w:val="006B32B6"/>
    <w:rsid w:val="006B3F5A"/>
    <w:rsid w:val="006B4F13"/>
    <w:rsid w:val="006B5470"/>
    <w:rsid w:val="006B58C0"/>
    <w:rsid w:val="006B5B45"/>
    <w:rsid w:val="006B672D"/>
    <w:rsid w:val="006B768D"/>
    <w:rsid w:val="006B7DB8"/>
    <w:rsid w:val="006C0355"/>
    <w:rsid w:val="006C2303"/>
    <w:rsid w:val="006C31AA"/>
    <w:rsid w:val="006C3413"/>
    <w:rsid w:val="006C369B"/>
    <w:rsid w:val="006C3AF8"/>
    <w:rsid w:val="006C3F95"/>
    <w:rsid w:val="006C49F0"/>
    <w:rsid w:val="006C4BEA"/>
    <w:rsid w:val="006C4C8C"/>
    <w:rsid w:val="006C4D46"/>
    <w:rsid w:val="006C5970"/>
    <w:rsid w:val="006C6B88"/>
    <w:rsid w:val="006C6FA1"/>
    <w:rsid w:val="006C7515"/>
    <w:rsid w:val="006D17C5"/>
    <w:rsid w:val="006D1CA0"/>
    <w:rsid w:val="006D3A62"/>
    <w:rsid w:val="006D4B88"/>
    <w:rsid w:val="006D4E99"/>
    <w:rsid w:val="006D5C5E"/>
    <w:rsid w:val="006D6206"/>
    <w:rsid w:val="006D77E2"/>
    <w:rsid w:val="006D7EE5"/>
    <w:rsid w:val="006E1C35"/>
    <w:rsid w:val="006E306E"/>
    <w:rsid w:val="006E30BF"/>
    <w:rsid w:val="006E3BD2"/>
    <w:rsid w:val="006E3D7B"/>
    <w:rsid w:val="006E4916"/>
    <w:rsid w:val="006E73EF"/>
    <w:rsid w:val="006E7538"/>
    <w:rsid w:val="006E768D"/>
    <w:rsid w:val="006E7AA0"/>
    <w:rsid w:val="006F06A3"/>
    <w:rsid w:val="006F10B6"/>
    <w:rsid w:val="006F1EBE"/>
    <w:rsid w:val="006F331B"/>
    <w:rsid w:val="006F33CA"/>
    <w:rsid w:val="006F3E81"/>
    <w:rsid w:val="006F5D77"/>
    <w:rsid w:val="006F5FD7"/>
    <w:rsid w:val="006F6B3B"/>
    <w:rsid w:val="006F7232"/>
    <w:rsid w:val="006F74F9"/>
    <w:rsid w:val="006F7526"/>
    <w:rsid w:val="006F7AC2"/>
    <w:rsid w:val="00700532"/>
    <w:rsid w:val="0070061F"/>
    <w:rsid w:val="00701261"/>
    <w:rsid w:val="00704828"/>
    <w:rsid w:val="00704CBB"/>
    <w:rsid w:val="007051CB"/>
    <w:rsid w:val="007053BA"/>
    <w:rsid w:val="007066D8"/>
    <w:rsid w:val="007068AB"/>
    <w:rsid w:val="00706E37"/>
    <w:rsid w:val="00707657"/>
    <w:rsid w:val="007106B0"/>
    <w:rsid w:val="00711010"/>
    <w:rsid w:val="007115F2"/>
    <w:rsid w:val="00711C86"/>
    <w:rsid w:val="00714EF8"/>
    <w:rsid w:val="00715450"/>
    <w:rsid w:val="00715F0B"/>
    <w:rsid w:val="00716A38"/>
    <w:rsid w:val="00717372"/>
    <w:rsid w:val="007174CE"/>
    <w:rsid w:val="0072062C"/>
    <w:rsid w:val="00721089"/>
    <w:rsid w:val="007213FD"/>
    <w:rsid w:val="00721426"/>
    <w:rsid w:val="00721F05"/>
    <w:rsid w:val="00722137"/>
    <w:rsid w:val="0072325E"/>
    <w:rsid w:val="00723498"/>
    <w:rsid w:val="0072387E"/>
    <w:rsid w:val="00724EBF"/>
    <w:rsid w:val="007250D7"/>
    <w:rsid w:val="007254FF"/>
    <w:rsid w:val="00726E44"/>
    <w:rsid w:val="0072723C"/>
    <w:rsid w:val="0072737A"/>
    <w:rsid w:val="007275A5"/>
    <w:rsid w:val="00727B25"/>
    <w:rsid w:val="00727C51"/>
    <w:rsid w:val="00727DDC"/>
    <w:rsid w:val="00727FDC"/>
    <w:rsid w:val="00730367"/>
    <w:rsid w:val="007306E0"/>
    <w:rsid w:val="00730995"/>
    <w:rsid w:val="00730FE8"/>
    <w:rsid w:val="00731605"/>
    <w:rsid w:val="00731F2B"/>
    <w:rsid w:val="007323A6"/>
    <w:rsid w:val="00732EF4"/>
    <w:rsid w:val="0073335C"/>
    <w:rsid w:val="00733506"/>
    <w:rsid w:val="00734684"/>
    <w:rsid w:val="00734861"/>
    <w:rsid w:val="0073489A"/>
    <w:rsid w:val="00734D4B"/>
    <w:rsid w:val="00734F0A"/>
    <w:rsid w:val="00736962"/>
    <w:rsid w:val="00737034"/>
    <w:rsid w:val="0073754C"/>
    <w:rsid w:val="00737963"/>
    <w:rsid w:val="0074015B"/>
    <w:rsid w:val="007401A8"/>
    <w:rsid w:val="007402C8"/>
    <w:rsid w:val="007405FE"/>
    <w:rsid w:val="007410E6"/>
    <w:rsid w:val="0074149E"/>
    <w:rsid w:val="00741CB5"/>
    <w:rsid w:val="00741F50"/>
    <w:rsid w:val="0074240F"/>
    <w:rsid w:val="00742F18"/>
    <w:rsid w:val="00743974"/>
    <w:rsid w:val="00743B62"/>
    <w:rsid w:val="007448F5"/>
    <w:rsid w:val="00744EE1"/>
    <w:rsid w:val="007450E9"/>
    <w:rsid w:val="00745AA3"/>
    <w:rsid w:val="00746179"/>
    <w:rsid w:val="00746243"/>
    <w:rsid w:val="007467D3"/>
    <w:rsid w:val="007470A2"/>
    <w:rsid w:val="00747341"/>
    <w:rsid w:val="00747F68"/>
    <w:rsid w:val="00750677"/>
    <w:rsid w:val="00751C3D"/>
    <w:rsid w:val="007520EF"/>
    <w:rsid w:val="00752188"/>
    <w:rsid w:val="00752488"/>
    <w:rsid w:val="007532C2"/>
    <w:rsid w:val="007539A5"/>
    <w:rsid w:val="00754187"/>
    <w:rsid w:val="007542F9"/>
    <w:rsid w:val="007557A7"/>
    <w:rsid w:val="0075747B"/>
    <w:rsid w:val="00757B2D"/>
    <w:rsid w:val="00760251"/>
    <w:rsid w:val="007604F7"/>
    <w:rsid w:val="00761C54"/>
    <w:rsid w:val="00762B46"/>
    <w:rsid w:val="00762E49"/>
    <w:rsid w:val="00763129"/>
    <w:rsid w:val="0076315B"/>
    <w:rsid w:val="007631EA"/>
    <w:rsid w:val="00763574"/>
    <w:rsid w:val="0076376A"/>
    <w:rsid w:val="00764369"/>
    <w:rsid w:val="00764921"/>
    <w:rsid w:val="00765050"/>
    <w:rsid w:val="00765309"/>
    <w:rsid w:val="00765C7F"/>
    <w:rsid w:val="00765C93"/>
    <w:rsid w:val="00765F88"/>
    <w:rsid w:val="00766408"/>
    <w:rsid w:val="00766A52"/>
    <w:rsid w:val="0076741F"/>
    <w:rsid w:val="00771557"/>
    <w:rsid w:val="00772334"/>
    <w:rsid w:val="007729F7"/>
    <w:rsid w:val="007737BD"/>
    <w:rsid w:val="00774648"/>
    <w:rsid w:val="00774F3C"/>
    <w:rsid w:val="0077548D"/>
    <w:rsid w:val="0078053E"/>
    <w:rsid w:val="00781083"/>
    <w:rsid w:val="00781490"/>
    <w:rsid w:val="00781B90"/>
    <w:rsid w:val="00781C9D"/>
    <w:rsid w:val="0078308C"/>
    <w:rsid w:val="007849FD"/>
    <w:rsid w:val="007859D0"/>
    <w:rsid w:val="00785A77"/>
    <w:rsid w:val="007862D2"/>
    <w:rsid w:val="0078684D"/>
    <w:rsid w:val="0078696C"/>
    <w:rsid w:val="00786A6C"/>
    <w:rsid w:val="00786C92"/>
    <w:rsid w:val="007876F3"/>
    <w:rsid w:val="007878B3"/>
    <w:rsid w:val="00790244"/>
    <w:rsid w:val="0079069B"/>
    <w:rsid w:val="0079110D"/>
    <w:rsid w:val="00792FC6"/>
    <w:rsid w:val="00793D98"/>
    <w:rsid w:val="00793DEC"/>
    <w:rsid w:val="00794941"/>
    <w:rsid w:val="00795379"/>
    <w:rsid w:val="0079578E"/>
    <w:rsid w:val="0079581C"/>
    <w:rsid w:val="00795D7D"/>
    <w:rsid w:val="007966FA"/>
    <w:rsid w:val="00796840"/>
    <w:rsid w:val="00796CD6"/>
    <w:rsid w:val="00796EE1"/>
    <w:rsid w:val="00796EFD"/>
    <w:rsid w:val="00797850"/>
    <w:rsid w:val="007A0057"/>
    <w:rsid w:val="007A0C97"/>
    <w:rsid w:val="007A116F"/>
    <w:rsid w:val="007A170A"/>
    <w:rsid w:val="007A17B4"/>
    <w:rsid w:val="007A219F"/>
    <w:rsid w:val="007A22DF"/>
    <w:rsid w:val="007A2CAB"/>
    <w:rsid w:val="007A3106"/>
    <w:rsid w:val="007A3222"/>
    <w:rsid w:val="007A434C"/>
    <w:rsid w:val="007A4BD8"/>
    <w:rsid w:val="007A50C0"/>
    <w:rsid w:val="007A5E69"/>
    <w:rsid w:val="007A5F8C"/>
    <w:rsid w:val="007A6BB1"/>
    <w:rsid w:val="007A6DC0"/>
    <w:rsid w:val="007A73AD"/>
    <w:rsid w:val="007A77D0"/>
    <w:rsid w:val="007A7912"/>
    <w:rsid w:val="007B08F0"/>
    <w:rsid w:val="007B0B60"/>
    <w:rsid w:val="007B0C22"/>
    <w:rsid w:val="007B2F7C"/>
    <w:rsid w:val="007B364A"/>
    <w:rsid w:val="007B3E84"/>
    <w:rsid w:val="007B445A"/>
    <w:rsid w:val="007B4819"/>
    <w:rsid w:val="007B6030"/>
    <w:rsid w:val="007B7014"/>
    <w:rsid w:val="007B7313"/>
    <w:rsid w:val="007B77BC"/>
    <w:rsid w:val="007B7BC0"/>
    <w:rsid w:val="007C0868"/>
    <w:rsid w:val="007C0FC1"/>
    <w:rsid w:val="007C1AF1"/>
    <w:rsid w:val="007C1FC1"/>
    <w:rsid w:val="007C3069"/>
    <w:rsid w:val="007C3FCC"/>
    <w:rsid w:val="007C4FE8"/>
    <w:rsid w:val="007C79E7"/>
    <w:rsid w:val="007D24FE"/>
    <w:rsid w:val="007D2CA7"/>
    <w:rsid w:val="007D3888"/>
    <w:rsid w:val="007D3B85"/>
    <w:rsid w:val="007D60B0"/>
    <w:rsid w:val="007D6730"/>
    <w:rsid w:val="007D674D"/>
    <w:rsid w:val="007D6D0E"/>
    <w:rsid w:val="007D7186"/>
    <w:rsid w:val="007D7574"/>
    <w:rsid w:val="007D7959"/>
    <w:rsid w:val="007E0826"/>
    <w:rsid w:val="007E0929"/>
    <w:rsid w:val="007E0E1C"/>
    <w:rsid w:val="007E2182"/>
    <w:rsid w:val="007E21C0"/>
    <w:rsid w:val="007E238E"/>
    <w:rsid w:val="007E26A1"/>
    <w:rsid w:val="007E2A09"/>
    <w:rsid w:val="007E2D14"/>
    <w:rsid w:val="007E310F"/>
    <w:rsid w:val="007E3279"/>
    <w:rsid w:val="007E4B4B"/>
    <w:rsid w:val="007E4DB7"/>
    <w:rsid w:val="007E51BC"/>
    <w:rsid w:val="007E5B44"/>
    <w:rsid w:val="007E6A40"/>
    <w:rsid w:val="007E7842"/>
    <w:rsid w:val="007E7B30"/>
    <w:rsid w:val="007F07EA"/>
    <w:rsid w:val="007F0E14"/>
    <w:rsid w:val="007F230E"/>
    <w:rsid w:val="007F2E51"/>
    <w:rsid w:val="007F3DD8"/>
    <w:rsid w:val="007F5442"/>
    <w:rsid w:val="007F5DAA"/>
    <w:rsid w:val="007F609C"/>
    <w:rsid w:val="007F6209"/>
    <w:rsid w:val="007F7EE4"/>
    <w:rsid w:val="00800104"/>
    <w:rsid w:val="0080074F"/>
    <w:rsid w:val="00800D3E"/>
    <w:rsid w:val="00800FB0"/>
    <w:rsid w:val="0080129A"/>
    <w:rsid w:val="00801616"/>
    <w:rsid w:val="00803120"/>
    <w:rsid w:val="0080352F"/>
    <w:rsid w:val="0080397A"/>
    <w:rsid w:val="0080573D"/>
    <w:rsid w:val="0080693D"/>
    <w:rsid w:val="0080726F"/>
    <w:rsid w:val="00807F34"/>
    <w:rsid w:val="0081069F"/>
    <w:rsid w:val="00810B14"/>
    <w:rsid w:val="00811D8C"/>
    <w:rsid w:val="0081271A"/>
    <w:rsid w:val="0081339A"/>
    <w:rsid w:val="0081362D"/>
    <w:rsid w:val="00813F98"/>
    <w:rsid w:val="00814903"/>
    <w:rsid w:val="00814915"/>
    <w:rsid w:val="008150D4"/>
    <w:rsid w:val="00815323"/>
    <w:rsid w:val="00815B47"/>
    <w:rsid w:val="00816EB5"/>
    <w:rsid w:val="00817423"/>
    <w:rsid w:val="008174A6"/>
    <w:rsid w:val="00817AD0"/>
    <w:rsid w:val="00817F8A"/>
    <w:rsid w:val="00820EAC"/>
    <w:rsid w:val="008226A7"/>
    <w:rsid w:val="00823476"/>
    <w:rsid w:val="008235B1"/>
    <w:rsid w:val="008241B2"/>
    <w:rsid w:val="008246FA"/>
    <w:rsid w:val="008248A2"/>
    <w:rsid w:val="00824C88"/>
    <w:rsid w:val="008257AE"/>
    <w:rsid w:val="00826BFA"/>
    <w:rsid w:val="00827380"/>
    <w:rsid w:val="00827BAB"/>
    <w:rsid w:val="00827F61"/>
    <w:rsid w:val="00827FBB"/>
    <w:rsid w:val="00830206"/>
    <w:rsid w:val="0083031F"/>
    <w:rsid w:val="0083055A"/>
    <w:rsid w:val="0083236C"/>
    <w:rsid w:val="008328A1"/>
    <w:rsid w:val="00832C87"/>
    <w:rsid w:val="00833032"/>
    <w:rsid w:val="00833589"/>
    <w:rsid w:val="0083383E"/>
    <w:rsid w:val="00833BC7"/>
    <w:rsid w:val="00834291"/>
    <w:rsid w:val="0083447F"/>
    <w:rsid w:val="008344FB"/>
    <w:rsid w:val="0083522E"/>
    <w:rsid w:val="008358EC"/>
    <w:rsid w:val="008368E0"/>
    <w:rsid w:val="00836BC8"/>
    <w:rsid w:val="00836FC3"/>
    <w:rsid w:val="00837E47"/>
    <w:rsid w:val="00837F24"/>
    <w:rsid w:val="0084068E"/>
    <w:rsid w:val="008421E2"/>
    <w:rsid w:val="0084242A"/>
    <w:rsid w:val="008429BE"/>
    <w:rsid w:val="00844268"/>
    <w:rsid w:val="008445B3"/>
    <w:rsid w:val="0084535F"/>
    <w:rsid w:val="00845E43"/>
    <w:rsid w:val="00846A3A"/>
    <w:rsid w:val="00846D3C"/>
    <w:rsid w:val="00847890"/>
    <w:rsid w:val="00851069"/>
    <w:rsid w:val="0085107A"/>
    <w:rsid w:val="00851882"/>
    <w:rsid w:val="0085201E"/>
    <w:rsid w:val="008527A8"/>
    <w:rsid w:val="00852B80"/>
    <w:rsid w:val="008534E6"/>
    <w:rsid w:val="00853B3F"/>
    <w:rsid w:val="00853F28"/>
    <w:rsid w:val="00855C6C"/>
    <w:rsid w:val="00855F8C"/>
    <w:rsid w:val="008562DC"/>
    <w:rsid w:val="00856682"/>
    <w:rsid w:val="00856734"/>
    <w:rsid w:val="00856B5B"/>
    <w:rsid w:val="00857201"/>
    <w:rsid w:val="00857444"/>
    <w:rsid w:val="008601B5"/>
    <w:rsid w:val="008605E6"/>
    <w:rsid w:val="008612B3"/>
    <w:rsid w:val="0086282E"/>
    <w:rsid w:val="008633D0"/>
    <w:rsid w:val="00864307"/>
    <w:rsid w:val="00864A64"/>
    <w:rsid w:val="00864B21"/>
    <w:rsid w:val="00864DCD"/>
    <w:rsid w:val="00865658"/>
    <w:rsid w:val="008657D8"/>
    <w:rsid w:val="00865A1A"/>
    <w:rsid w:val="00866097"/>
    <w:rsid w:val="00866874"/>
    <w:rsid w:val="00867D2C"/>
    <w:rsid w:val="00870942"/>
    <w:rsid w:val="0087113F"/>
    <w:rsid w:val="00871150"/>
    <w:rsid w:val="0087377C"/>
    <w:rsid w:val="00874263"/>
    <w:rsid w:val="00874446"/>
    <w:rsid w:val="0087534F"/>
    <w:rsid w:val="00877352"/>
    <w:rsid w:val="00877CC1"/>
    <w:rsid w:val="00880796"/>
    <w:rsid w:val="00880888"/>
    <w:rsid w:val="008816E0"/>
    <w:rsid w:val="00881996"/>
    <w:rsid w:val="00882121"/>
    <w:rsid w:val="0088212C"/>
    <w:rsid w:val="00883E56"/>
    <w:rsid w:val="008848A1"/>
    <w:rsid w:val="00884943"/>
    <w:rsid w:val="008852C0"/>
    <w:rsid w:val="00885B67"/>
    <w:rsid w:val="00885E5F"/>
    <w:rsid w:val="00886710"/>
    <w:rsid w:val="00887C0C"/>
    <w:rsid w:val="00887D2D"/>
    <w:rsid w:val="00887F54"/>
    <w:rsid w:val="00890153"/>
    <w:rsid w:val="008904DB"/>
    <w:rsid w:val="0089181E"/>
    <w:rsid w:val="00891C4A"/>
    <w:rsid w:val="00891CEC"/>
    <w:rsid w:val="008923AE"/>
    <w:rsid w:val="0089263B"/>
    <w:rsid w:val="00892A78"/>
    <w:rsid w:val="0089381E"/>
    <w:rsid w:val="00893F48"/>
    <w:rsid w:val="008942B9"/>
    <w:rsid w:val="00895453"/>
    <w:rsid w:val="00896B1D"/>
    <w:rsid w:val="0089724E"/>
    <w:rsid w:val="0089783D"/>
    <w:rsid w:val="00897F72"/>
    <w:rsid w:val="008A02B9"/>
    <w:rsid w:val="008A093F"/>
    <w:rsid w:val="008A0C99"/>
    <w:rsid w:val="008A0F04"/>
    <w:rsid w:val="008A113A"/>
    <w:rsid w:val="008A1384"/>
    <w:rsid w:val="008A141A"/>
    <w:rsid w:val="008A15C1"/>
    <w:rsid w:val="008A1E30"/>
    <w:rsid w:val="008A35EE"/>
    <w:rsid w:val="008A3A54"/>
    <w:rsid w:val="008A3B11"/>
    <w:rsid w:val="008A3B96"/>
    <w:rsid w:val="008A406E"/>
    <w:rsid w:val="008A451D"/>
    <w:rsid w:val="008A4F0A"/>
    <w:rsid w:val="008A5B46"/>
    <w:rsid w:val="008A73A3"/>
    <w:rsid w:val="008B0441"/>
    <w:rsid w:val="008B0600"/>
    <w:rsid w:val="008B06D1"/>
    <w:rsid w:val="008B0BED"/>
    <w:rsid w:val="008B0D77"/>
    <w:rsid w:val="008B14FF"/>
    <w:rsid w:val="008B2F27"/>
    <w:rsid w:val="008B389B"/>
    <w:rsid w:val="008B3C52"/>
    <w:rsid w:val="008B49E5"/>
    <w:rsid w:val="008B4C9E"/>
    <w:rsid w:val="008B5064"/>
    <w:rsid w:val="008B5698"/>
    <w:rsid w:val="008B6ED5"/>
    <w:rsid w:val="008B76CB"/>
    <w:rsid w:val="008B79D8"/>
    <w:rsid w:val="008C0A57"/>
    <w:rsid w:val="008C0C95"/>
    <w:rsid w:val="008C0D2D"/>
    <w:rsid w:val="008C1B3E"/>
    <w:rsid w:val="008C269A"/>
    <w:rsid w:val="008C27FC"/>
    <w:rsid w:val="008C3094"/>
    <w:rsid w:val="008C3461"/>
    <w:rsid w:val="008C3A02"/>
    <w:rsid w:val="008C3C3E"/>
    <w:rsid w:val="008C3DB0"/>
    <w:rsid w:val="008C43DF"/>
    <w:rsid w:val="008C4D93"/>
    <w:rsid w:val="008C5397"/>
    <w:rsid w:val="008C53F5"/>
    <w:rsid w:val="008C5C5B"/>
    <w:rsid w:val="008C7B58"/>
    <w:rsid w:val="008D0541"/>
    <w:rsid w:val="008D1881"/>
    <w:rsid w:val="008D188E"/>
    <w:rsid w:val="008D1CFB"/>
    <w:rsid w:val="008D1E20"/>
    <w:rsid w:val="008D2D25"/>
    <w:rsid w:val="008D3690"/>
    <w:rsid w:val="008D3726"/>
    <w:rsid w:val="008D3F58"/>
    <w:rsid w:val="008D4254"/>
    <w:rsid w:val="008D45D1"/>
    <w:rsid w:val="008D49D4"/>
    <w:rsid w:val="008D54E5"/>
    <w:rsid w:val="008D5782"/>
    <w:rsid w:val="008D5E74"/>
    <w:rsid w:val="008D60E5"/>
    <w:rsid w:val="008D6209"/>
    <w:rsid w:val="008D665E"/>
    <w:rsid w:val="008D732D"/>
    <w:rsid w:val="008D743B"/>
    <w:rsid w:val="008D7D4B"/>
    <w:rsid w:val="008E08A0"/>
    <w:rsid w:val="008E11D1"/>
    <w:rsid w:val="008E1F3E"/>
    <w:rsid w:val="008E1F58"/>
    <w:rsid w:val="008E27D6"/>
    <w:rsid w:val="008E29AC"/>
    <w:rsid w:val="008E37DC"/>
    <w:rsid w:val="008E43CB"/>
    <w:rsid w:val="008E4E53"/>
    <w:rsid w:val="008E6239"/>
    <w:rsid w:val="008E66E6"/>
    <w:rsid w:val="008E6FAF"/>
    <w:rsid w:val="008E7B16"/>
    <w:rsid w:val="008F135F"/>
    <w:rsid w:val="008F1502"/>
    <w:rsid w:val="008F1B3B"/>
    <w:rsid w:val="008F1F28"/>
    <w:rsid w:val="008F20DB"/>
    <w:rsid w:val="008F2422"/>
    <w:rsid w:val="008F2554"/>
    <w:rsid w:val="008F29A6"/>
    <w:rsid w:val="008F4C44"/>
    <w:rsid w:val="008F5C70"/>
    <w:rsid w:val="008F69AC"/>
    <w:rsid w:val="008F6FDF"/>
    <w:rsid w:val="008F73C1"/>
    <w:rsid w:val="008F790D"/>
    <w:rsid w:val="008F7D32"/>
    <w:rsid w:val="008F7ED1"/>
    <w:rsid w:val="00900484"/>
    <w:rsid w:val="00900533"/>
    <w:rsid w:val="00901D19"/>
    <w:rsid w:val="00901F45"/>
    <w:rsid w:val="009024C7"/>
    <w:rsid w:val="00902BB7"/>
    <w:rsid w:val="009039C8"/>
    <w:rsid w:val="009040FA"/>
    <w:rsid w:val="0090496A"/>
    <w:rsid w:val="0090521A"/>
    <w:rsid w:val="00905253"/>
    <w:rsid w:val="009053B0"/>
    <w:rsid w:val="009058F6"/>
    <w:rsid w:val="00910F45"/>
    <w:rsid w:val="0091108D"/>
    <w:rsid w:val="00911164"/>
    <w:rsid w:val="00911CF4"/>
    <w:rsid w:val="00911FE2"/>
    <w:rsid w:val="009125A2"/>
    <w:rsid w:val="00913081"/>
    <w:rsid w:val="00914771"/>
    <w:rsid w:val="009151D7"/>
    <w:rsid w:val="00915B88"/>
    <w:rsid w:val="0091622F"/>
    <w:rsid w:val="00916AF6"/>
    <w:rsid w:val="00917274"/>
    <w:rsid w:val="009209DD"/>
    <w:rsid w:val="00921C83"/>
    <w:rsid w:val="00922162"/>
    <w:rsid w:val="00922ADB"/>
    <w:rsid w:val="00922C66"/>
    <w:rsid w:val="009237B5"/>
    <w:rsid w:val="00923D4E"/>
    <w:rsid w:val="00924600"/>
    <w:rsid w:val="009252C0"/>
    <w:rsid w:val="00925A68"/>
    <w:rsid w:val="00925C48"/>
    <w:rsid w:val="00925E9C"/>
    <w:rsid w:val="00926240"/>
    <w:rsid w:val="009264E5"/>
    <w:rsid w:val="009270E9"/>
    <w:rsid w:val="009306C6"/>
    <w:rsid w:val="00930BF7"/>
    <w:rsid w:val="00930D02"/>
    <w:rsid w:val="009310F9"/>
    <w:rsid w:val="009318B4"/>
    <w:rsid w:val="00931AA5"/>
    <w:rsid w:val="00931CDA"/>
    <w:rsid w:val="00932293"/>
    <w:rsid w:val="00933FBB"/>
    <w:rsid w:val="0093407E"/>
    <w:rsid w:val="0093420B"/>
    <w:rsid w:val="009343E7"/>
    <w:rsid w:val="00934765"/>
    <w:rsid w:val="00934F52"/>
    <w:rsid w:val="00935EFA"/>
    <w:rsid w:val="00936825"/>
    <w:rsid w:val="00937829"/>
    <w:rsid w:val="00937CCA"/>
    <w:rsid w:val="00940473"/>
    <w:rsid w:val="00940FDF"/>
    <w:rsid w:val="00941674"/>
    <w:rsid w:val="009425AF"/>
    <w:rsid w:val="00942739"/>
    <w:rsid w:val="00942761"/>
    <w:rsid w:val="00945749"/>
    <w:rsid w:val="009465B4"/>
    <w:rsid w:val="00947AE7"/>
    <w:rsid w:val="00950934"/>
    <w:rsid w:val="00950E3C"/>
    <w:rsid w:val="00953304"/>
    <w:rsid w:val="0095407B"/>
    <w:rsid w:val="00954CFB"/>
    <w:rsid w:val="00955EE0"/>
    <w:rsid w:val="00956666"/>
    <w:rsid w:val="0095695F"/>
    <w:rsid w:val="00956FB4"/>
    <w:rsid w:val="00957091"/>
    <w:rsid w:val="009574A1"/>
    <w:rsid w:val="00957A6E"/>
    <w:rsid w:val="00960803"/>
    <w:rsid w:val="00960A82"/>
    <w:rsid w:val="009612B8"/>
    <w:rsid w:val="00961B71"/>
    <w:rsid w:val="00962521"/>
    <w:rsid w:val="009626EA"/>
    <w:rsid w:val="0096273D"/>
    <w:rsid w:val="00962AA3"/>
    <w:rsid w:val="00963497"/>
    <w:rsid w:val="009637FA"/>
    <w:rsid w:val="00963DC7"/>
    <w:rsid w:val="00965273"/>
    <w:rsid w:val="009654B4"/>
    <w:rsid w:val="009656BD"/>
    <w:rsid w:val="009658CA"/>
    <w:rsid w:val="0096596F"/>
    <w:rsid w:val="009665CE"/>
    <w:rsid w:val="00966CA9"/>
    <w:rsid w:val="00967C5A"/>
    <w:rsid w:val="00967EC9"/>
    <w:rsid w:val="009700B5"/>
    <w:rsid w:val="00970A70"/>
    <w:rsid w:val="00970C58"/>
    <w:rsid w:val="0097150B"/>
    <w:rsid w:val="00971ABE"/>
    <w:rsid w:val="00971D79"/>
    <w:rsid w:val="00972987"/>
    <w:rsid w:val="00973A21"/>
    <w:rsid w:val="00973CDA"/>
    <w:rsid w:val="00977471"/>
    <w:rsid w:val="009777A2"/>
    <w:rsid w:val="00977D3C"/>
    <w:rsid w:val="00977E0F"/>
    <w:rsid w:val="009807EA"/>
    <w:rsid w:val="009814CF"/>
    <w:rsid w:val="00981635"/>
    <w:rsid w:val="00981B46"/>
    <w:rsid w:val="00981D75"/>
    <w:rsid w:val="009820C4"/>
    <w:rsid w:val="0098249E"/>
    <w:rsid w:val="00983BBB"/>
    <w:rsid w:val="00983CD4"/>
    <w:rsid w:val="00983F8E"/>
    <w:rsid w:val="00984C21"/>
    <w:rsid w:val="0098528D"/>
    <w:rsid w:val="00985DBF"/>
    <w:rsid w:val="0098688D"/>
    <w:rsid w:val="00986EB8"/>
    <w:rsid w:val="00986FF7"/>
    <w:rsid w:val="00987B57"/>
    <w:rsid w:val="00990497"/>
    <w:rsid w:val="009914E7"/>
    <w:rsid w:val="009915F5"/>
    <w:rsid w:val="00991AB3"/>
    <w:rsid w:val="00991ACE"/>
    <w:rsid w:val="0099296C"/>
    <w:rsid w:val="00993387"/>
    <w:rsid w:val="009933F8"/>
    <w:rsid w:val="00993408"/>
    <w:rsid w:val="009935FB"/>
    <w:rsid w:val="00993922"/>
    <w:rsid w:val="00994608"/>
    <w:rsid w:val="00995809"/>
    <w:rsid w:val="00995C0C"/>
    <w:rsid w:val="00995CDF"/>
    <w:rsid w:val="00995E22"/>
    <w:rsid w:val="00996018"/>
    <w:rsid w:val="009962E1"/>
    <w:rsid w:val="00996311"/>
    <w:rsid w:val="009A041E"/>
    <w:rsid w:val="009A0707"/>
    <w:rsid w:val="009A0E1A"/>
    <w:rsid w:val="009A0EB6"/>
    <w:rsid w:val="009A1324"/>
    <w:rsid w:val="009A160F"/>
    <w:rsid w:val="009A1CF1"/>
    <w:rsid w:val="009A292D"/>
    <w:rsid w:val="009A2D83"/>
    <w:rsid w:val="009A46FB"/>
    <w:rsid w:val="009A4778"/>
    <w:rsid w:val="009A4A34"/>
    <w:rsid w:val="009A4DFE"/>
    <w:rsid w:val="009A5035"/>
    <w:rsid w:val="009A7059"/>
    <w:rsid w:val="009A757C"/>
    <w:rsid w:val="009A7584"/>
    <w:rsid w:val="009A770A"/>
    <w:rsid w:val="009A7D97"/>
    <w:rsid w:val="009B01F8"/>
    <w:rsid w:val="009B042F"/>
    <w:rsid w:val="009B0AE5"/>
    <w:rsid w:val="009B0D22"/>
    <w:rsid w:val="009B1266"/>
    <w:rsid w:val="009B2800"/>
    <w:rsid w:val="009B362D"/>
    <w:rsid w:val="009B3A29"/>
    <w:rsid w:val="009B3C5E"/>
    <w:rsid w:val="009B3DBD"/>
    <w:rsid w:val="009B4046"/>
    <w:rsid w:val="009B4507"/>
    <w:rsid w:val="009B4A6A"/>
    <w:rsid w:val="009B4E4A"/>
    <w:rsid w:val="009B6738"/>
    <w:rsid w:val="009B70B6"/>
    <w:rsid w:val="009B76F1"/>
    <w:rsid w:val="009B7A06"/>
    <w:rsid w:val="009B7F5D"/>
    <w:rsid w:val="009C0C04"/>
    <w:rsid w:val="009C22D6"/>
    <w:rsid w:val="009C3420"/>
    <w:rsid w:val="009C3C31"/>
    <w:rsid w:val="009C3FD9"/>
    <w:rsid w:val="009C4AD5"/>
    <w:rsid w:val="009C4B38"/>
    <w:rsid w:val="009C5BDB"/>
    <w:rsid w:val="009C5D73"/>
    <w:rsid w:val="009C6BDE"/>
    <w:rsid w:val="009C6D98"/>
    <w:rsid w:val="009C6F28"/>
    <w:rsid w:val="009C7005"/>
    <w:rsid w:val="009C7213"/>
    <w:rsid w:val="009C797F"/>
    <w:rsid w:val="009C7E1F"/>
    <w:rsid w:val="009D0A05"/>
    <w:rsid w:val="009D0E96"/>
    <w:rsid w:val="009D11B2"/>
    <w:rsid w:val="009D15DF"/>
    <w:rsid w:val="009D1AC7"/>
    <w:rsid w:val="009D1F89"/>
    <w:rsid w:val="009D20EA"/>
    <w:rsid w:val="009D23A1"/>
    <w:rsid w:val="009D6EA4"/>
    <w:rsid w:val="009D7064"/>
    <w:rsid w:val="009D7160"/>
    <w:rsid w:val="009D7695"/>
    <w:rsid w:val="009E13B7"/>
    <w:rsid w:val="009E2467"/>
    <w:rsid w:val="009E25AF"/>
    <w:rsid w:val="009E3214"/>
    <w:rsid w:val="009E3793"/>
    <w:rsid w:val="009E3FBB"/>
    <w:rsid w:val="009E4467"/>
    <w:rsid w:val="009E4473"/>
    <w:rsid w:val="009E4E2B"/>
    <w:rsid w:val="009E4F36"/>
    <w:rsid w:val="009E50B2"/>
    <w:rsid w:val="009E7602"/>
    <w:rsid w:val="009F16A2"/>
    <w:rsid w:val="009F1E77"/>
    <w:rsid w:val="009F2247"/>
    <w:rsid w:val="009F4C5F"/>
    <w:rsid w:val="009F5137"/>
    <w:rsid w:val="009F5CA4"/>
    <w:rsid w:val="009F709C"/>
    <w:rsid w:val="00A00518"/>
    <w:rsid w:val="00A00665"/>
    <w:rsid w:val="00A019C7"/>
    <w:rsid w:val="00A0274B"/>
    <w:rsid w:val="00A02833"/>
    <w:rsid w:val="00A03345"/>
    <w:rsid w:val="00A03410"/>
    <w:rsid w:val="00A039E2"/>
    <w:rsid w:val="00A03C9E"/>
    <w:rsid w:val="00A04AE0"/>
    <w:rsid w:val="00A05414"/>
    <w:rsid w:val="00A0542A"/>
    <w:rsid w:val="00A055CE"/>
    <w:rsid w:val="00A067A3"/>
    <w:rsid w:val="00A06DA6"/>
    <w:rsid w:val="00A0708D"/>
    <w:rsid w:val="00A079F8"/>
    <w:rsid w:val="00A10393"/>
    <w:rsid w:val="00A10397"/>
    <w:rsid w:val="00A10437"/>
    <w:rsid w:val="00A1063C"/>
    <w:rsid w:val="00A1183E"/>
    <w:rsid w:val="00A11B99"/>
    <w:rsid w:val="00A122EF"/>
    <w:rsid w:val="00A12534"/>
    <w:rsid w:val="00A12784"/>
    <w:rsid w:val="00A13706"/>
    <w:rsid w:val="00A139C6"/>
    <w:rsid w:val="00A156EF"/>
    <w:rsid w:val="00A204A8"/>
    <w:rsid w:val="00A2099F"/>
    <w:rsid w:val="00A20E5A"/>
    <w:rsid w:val="00A21376"/>
    <w:rsid w:val="00A21A08"/>
    <w:rsid w:val="00A21AFF"/>
    <w:rsid w:val="00A21D54"/>
    <w:rsid w:val="00A2270D"/>
    <w:rsid w:val="00A23742"/>
    <w:rsid w:val="00A23BAF"/>
    <w:rsid w:val="00A24E3A"/>
    <w:rsid w:val="00A24F1F"/>
    <w:rsid w:val="00A25057"/>
    <w:rsid w:val="00A25065"/>
    <w:rsid w:val="00A25D03"/>
    <w:rsid w:val="00A26581"/>
    <w:rsid w:val="00A2664B"/>
    <w:rsid w:val="00A2717D"/>
    <w:rsid w:val="00A275CA"/>
    <w:rsid w:val="00A27DAB"/>
    <w:rsid w:val="00A30080"/>
    <w:rsid w:val="00A300FB"/>
    <w:rsid w:val="00A30BA1"/>
    <w:rsid w:val="00A31289"/>
    <w:rsid w:val="00A3267A"/>
    <w:rsid w:val="00A32B19"/>
    <w:rsid w:val="00A33A50"/>
    <w:rsid w:val="00A33BBE"/>
    <w:rsid w:val="00A3436B"/>
    <w:rsid w:val="00A348F5"/>
    <w:rsid w:val="00A34F08"/>
    <w:rsid w:val="00A36034"/>
    <w:rsid w:val="00A3618E"/>
    <w:rsid w:val="00A362E0"/>
    <w:rsid w:val="00A364B5"/>
    <w:rsid w:val="00A3662B"/>
    <w:rsid w:val="00A36CFD"/>
    <w:rsid w:val="00A37692"/>
    <w:rsid w:val="00A37D24"/>
    <w:rsid w:val="00A40470"/>
    <w:rsid w:val="00A405B7"/>
    <w:rsid w:val="00A412A7"/>
    <w:rsid w:val="00A42D4D"/>
    <w:rsid w:val="00A42FF2"/>
    <w:rsid w:val="00A43B6D"/>
    <w:rsid w:val="00A44268"/>
    <w:rsid w:val="00A443EB"/>
    <w:rsid w:val="00A44421"/>
    <w:rsid w:val="00A4461E"/>
    <w:rsid w:val="00A45FB1"/>
    <w:rsid w:val="00A46361"/>
    <w:rsid w:val="00A46FCA"/>
    <w:rsid w:val="00A4717D"/>
    <w:rsid w:val="00A47270"/>
    <w:rsid w:val="00A47B09"/>
    <w:rsid w:val="00A522F9"/>
    <w:rsid w:val="00A528F3"/>
    <w:rsid w:val="00A5399B"/>
    <w:rsid w:val="00A54728"/>
    <w:rsid w:val="00A55B0C"/>
    <w:rsid w:val="00A57057"/>
    <w:rsid w:val="00A5798D"/>
    <w:rsid w:val="00A57C5A"/>
    <w:rsid w:val="00A608C1"/>
    <w:rsid w:val="00A6104D"/>
    <w:rsid w:val="00A6205C"/>
    <w:rsid w:val="00A6217E"/>
    <w:rsid w:val="00A62F7B"/>
    <w:rsid w:val="00A63525"/>
    <w:rsid w:val="00A63D70"/>
    <w:rsid w:val="00A642E0"/>
    <w:rsid w:val="00A6508D"/>
    <w:rsid w:val="00A65FEC"/>
    <w:rsid w:val="00A67405"/>
    <w:rsid w:val="00A677BC"/>
    <w:rsid w:val="00A67941"/>
    <w:rsid w:val="00A67ADA"/>
    <w:rsid w:val="00A71699"/>
    <w:rsid w:val="00A71EEB"/>
    <w:rsid w:val="00A7330E"/>
    <w:rsid w:val="00A73929"/>
    <w:rsid w:val="00A744F3"/>
    <w:rsid w:val="00A74BD5"/>
    <w:rsid w:val="00A7523B"/>
    <w:rsid w:val="00A75330"/>
    <w:rsid w:val="00A7611A"/>
    <w:rsid w:val="00A76A99"/>
    <w:rsid w:val="00A7783C"/>
    <w:rsid w:val="00A77BDF"/>
    <w:rsid w:val="00A77C30"/>
    <w:rsid w:val="00A81B03"/>
    <w:rsid w:val="00A82197"/>
    <w:rsid w:val="00A823F9"/>
    <w:rsid w:val="00A82481"/>
    <w:rsid w:val="00A8257C"/>
    <w:rsid w:val="00A82FBF"/>
    <w:rsid w:val="00A83A8E"/>
    <w:rsid w:val="00A83AFA"/>
    <w:rsid w:val="00A83CBE"/>
    <w:rsid w:val="00A83E2C"/>
    <w:rsid w:val="00A847BF"/>
    <w:rsid w:val="00A84B54"/>
    <w:rsid w:val="00A84EBA"/>
    <w:rsid w:val="00A86283"/>
    <w:rsid w:val="00A90B2E"/>
    <w:rsid w:val="00A90C42"/>
    <w:rsid w:val="00A915E9"/>
    <w:rsid w:val="00A9240C"/>
    <w:rsid w:val="00A92909"/>
    <w:rsid w:val="00A92D93"/>
    <w:rsid w:val="00A93BB4"/>
    <w:rsid w:val="00A9423A"/>
    <w:rsid w:val="00A9485D"/>
    <w:rsid w:val="00A94EC5"/>
    <w:rsid w:val="00A95DC7"/>
    <w:rsid w:val="00A96AB3"/>
    <w:rsid w:val="00A973E9"/>
    <w:rsid w:val="00A97451"/>
    <w:rsid w:val="00AA0238"/>
    <w:rsid w:val="00AA064A"/>
    <w:rsid w:val="00AA2030"/>
    <w:rsid w:val="00AA2301"/>
    <w:rsid w:val="00AA37F7"/>
    <w:rsid w:val="00AA3910"/>
    <w:rsid w:val="00AA40CD"/>
    <w:rsid w:val="00AA44BA"/>
    <w:rsid w:val="00AA49D1"/>
    <w:rsid w:val="00AA4EDA"/>
    <w:rsid w:val="00AA65F8"/>
    <w:rsid w:val="00AA6E4E"/>
    <w:rsid w:val="00AA7780"/>
    <w:rsid w:val="00AA79F4"/>
    <w:rsid w:val="00AB049D"/>
    <w:rsid w:val="00AB0BE1"/>
    <w:rsid w:val="00AB1235"/>
    <w:rsid w:val="00AB1393"/>
    <w:rsid w:val="00AB1EC9"/>
    <w:rsid w:val="00AB2B71"/>
    <w:rsid w:val="00AB396C"/>
    <w:rsid w:val="00AB4320"/>
    <w:rsid w:val="00AB4A3F"/>
    <w:rsid w:val="00AB4F72"/>
    <w:rsid w:val="00AB5156"/>
    <w:rsid w:val="00AB5B28"/>
    <w:rsid w:val="00AB6A90"/>
    <w:rsid w:val="00AB6D18"/>
    <w:rsid w:val="00AC0403"/>
    <w:rsid w:val="00AC0606"/>
    <w:rsid w:val="00AC1533"/>
    <w:rsid w:val="00AC19B8"/>
    <w:rsid w:val="00AC2166"/>
    <w:rsid w:val="00AC28B3"/>
    <w:rsid w:val="00AC3350"/>
    <w:rsid w:val="00AC48ED"/>
    <w:rsid w:val="00AC5026"/>
    <w:rsid w:val="00AC53E7"/>
    <w:rsid w:val="00AC6E27"/>
    <w:rsid w:val="00AC706B"/>
    <w:rsid w:val="00AC73DA"/>
    <w:rsid w:val="00AD0796"/>
    <w:rsid w:val="00AD0B76"/>
    <w:rsid w:val="00AD1CC1"/>
    <w:rsid w:val="00AD33E4"/>
    <w:rsid w:val="00AD4106"/>
    <w:rsid w:val="00AD52EE"/>
    <w:rsid w:val="00AD6069"/>
    <w:rsid w:val="00AD6926"/>
    <w:rsid w:val="00AD6D24"/>
    <w:rsid w:val="00AD6F0D"/>
    <w:rsid w:val="00AD77E8"/>
    <w:rsid w:val="00AD7ACB"/>
    <w:rsid w:val="00AE032A"/>
    <w:rsid w:val="00AE034C"/>
    <w:rsid w:val="00AE1661"/>
    <w:rsid w:val="00AE1710"/>
    <w:rsid w:val="00AE1BDA"/>
    <w:rsid w:val="00AE2E42"/>
    <w:rsid w:val="00AE399B"/>
    <w:rsid w:val="00AE3F13"/>
    <w:rsid w:val="00AE43AB"/>
    <w:rsid w:val="00AE4BE1"/>
    <w:rsid w:val="00AE4F70"/>
    <w:rsid w:val="00AE54AF"/>
    <w:rsid w:val="00AE5B4D"/>
    <w:rsid w:val="00AE75D0"/>
    <w:rsid w:val="00AF020D"/>
    <w:rsid w:val="00AF06D1"/>
    <w:rsid w:val="00AF1825"/>
    <w:rsid w:val="00AF1A5C"/>
    <w:rsid w:val="00AF24D7"/>
    <w:rsid w:val="00AF314A"/>
    <w:rsid w:val="00AF3516"/>
    <w:rsid w:val="00AF37E4"/>
    <w:rsid w:val="00AF39E1"/>
    <w:rsid w:val="00AF42C4"/>
    <w:rsid w:val="00AF4C61"/>
    <w:rsid w:val="00AF4CB5"/>
    <w:rsid w:val="00AF5756"/>
    <w:rsid w:val="00AF625B"/>
    <w:rsid w:val="00AF7ADE"/>
    <w:rsid w:val="00B001AB"/>
    <w:rsid w:val="00B00BA5"/>
    <w:rsid w:val="00B00DE2"/>
    <w:rsid w:val="00B01126"/>
    <w:rsid w:val="00B01233"/>
    <w:rsid w:val="00B0140C"/>
    <w:rsid w:val="00B01D94"/>
    <w:rsid w:val="00B01FF6"/>
    <w:rsid w:val="00B02148"/>
    <w:rsid w:val="00B02427"/>
    <w:rsid w:val="00B040B1"/>
    <w:rsid w:val="00B04590"/>
    <w:rsid w:val="00B04EE8"/>
    <w:rsid w:val="00B04FC5"/>
    <w:rsid w:val="00B05380"/>
    <w:rsid w:val="00B062DA"/>
    <w:rsid w:val="00B07094"/>
    <w:rsid w:val="00B07311"/>
    <w:rsid w:val="00B0747B"/>
    <w:rsid w:val="00B11DF9"/>
    <w:rsid w:val="00B1255E"/>
    <w:rsid w:val="00B12CEA"/>
    <w:rsid w:val="00B12F7B"/>
    <w:rsid w:val="00B13203"/>
    <w:rsid w:val="00B13895"/>
    <w:rsid w:val="00B15A6F"/>
    <w:rsid w:val="00B15BB2"/>
    <w:rsid w:val="00B163AA"/>
    <w:rsid w:val="00B163F4"/>
    <w:rsid w:val="00B16A16"/>
    <w:rsid w:val="00B171D0"/>
    <w:rsid w:val="00B2003C"/>
    <w:rsid w:val="00B200B0"/>
    <w:rsid w:val="00B21BC2"/>
    <w:rsid w:val="00B21D70"/>
    <w:rsid w:val="00B2247C"/>
    <w:rsid w:val="00B23A25"/>
    <w:rsid w:val="00B24632"/>
    <w:rsid w:val="00B24ABC"/>
    <w:rsid w:val="00B25C3A"/>
    <w:rsid w:val="00B26151"/>
    <w:rsid w:val="00B2628A"/>
    <w:rsid w:val="00B26C7C"/>
    <w:rsid w:val="00B27BE1"/>
    <w:rsid w:val="00B301CA"/>
    <w:rsid w:val="00B30BDD"/>
    <w:rsid w:val="00B31EEA"/>
    <w:rsid w:val="00B324AA"/>
    <w:rsid w:val="00B32E12"/>
    <w:rsid w:val="00B34584"/>
    <w:rsid w:val="00B34B54"/>
    <w:rsid w:val="00B35FBE"/>
    <w:rsid w:val="00B36A9F"/>
    <w:rsid w:val="00B3757F"/>
    <w:rsid w:val="00B41FE3"/>
    <w:rsid w:val="00B4232A"/>
    <w:rsid w:val="00B44439"/>
    <w:rsid w:val="00B44E53"/>
    <w:rsid w:val="00B451EA"/>
    <w:rsid w:val="00B4578B"/>
    <w:rsid w:val="00B459DD"/>
    <w:rsid w:val="00B46780"/>
    <w:rsid w:val="00B46B17"/>
    <w:rsid w:val="00B4779D"/>
    <w:rsid w:val="00B50C7C"/>
    <w:rsid w:val="00B51330"/>
    <w:rsid w:val="00B51BC5"/>
    <w:rsid w:val="00B51E38"/>
    <w:rsid w:val="00B53630"/>
    <w:rsid w:val="00B54483"/>
    <w:rsid w:val="00B54CD1"/>
    <w:rsid w:val="00B54E97"/>
    <w:rsid w:val="00B5588B"/>
    <w:rsid w:val="00B5599F"/>
    <w:rsid w:val="00B55A38"/>
    <w:rsid w:val="00B55FC4"/>
    <w:rsid w:val="00B5613A"/>
    <w:rsid w:val="00B619C7"/>
    <w:rsid w:val="00B619F8"/>
    <w:rsid w:val="00B61AE1"/>
    <w:rsid w:val="00B6216F"/>
    <w:rsid w:val="00B62B2E"/>
    <w:rsid w:val="00B63228"/>
    <w:rsid w:val="00B63FCC"/>
    <w:rsid w:val="00B642E0"/>
    <w:rsid w:val="00B644CF"/>
    <w:rsid w:val="00B65113"/>
    <w:rsid w:val="00B6573B"/>
    <w:rsid w:val="00B65F54"/>
    <w:rsid w:val="00B70470"/>
    <w:rsid w:val="00B71BA2"/>
    <w:rsid w:val="00B71BBD"/>
    <w:rsid w:val="00B724AC"/>
    <w:rsid w:val="00B72792"/>
    <w:rsid w:val="00B72F5C"/>
    <w:rsid w:val="00B7376B"/>
    <w:rsid w:val="00B73C80"/>
    <w:rsid w:val="00B74072"/>
    <w:rsid w:val="00B7538F"/>
    <w:rsid w:val="00B76696"/>
    <w:rsid w:val="00B77196"/>
    <w:rsid w:val="00B777AE"/>
    <w:rsid w:val="00B77FCF"/>
    <w:rsid w:val="00B80083"/>
    <w:rsid w:val="00B818BF"/>
    <w:rsid w:val="00B81A16"/>
    <w:rsid w:val="00B81F26"/>
    <w:rsid w:val="00B824CA"/>
    <w:rsid w:val="00B828FC"/>
    <w:rsid w:val="00B83772"/>
    <w:rsid w:val="00B83CF8"/>
    <w:rsid w:val="00B84F41"/>
    <w:rsid w:val="00B8507F"/>
    <w:rsid w:val="00B85669"/>
    <w:rsid w:val="00B86A95"/>
    <w:rsid w:val="00B86B9D"/>
    <w:rsid w:val="00B8705F"/>
    <w:rsid w:val="00B8791F"/>
    <w:rsid w:val="00B90631"/>
    <w:rsid w:val="00B90D2F"/>
    <w:rsid w:val="00B90EFD"/>
    <w:rsid w:val="00B91AD6"/>
    <w:rsid w:val="00B91EA1"/>
    <w:rsid w:val="00B9228C"/>
    <w:rsid w:val="00B923EB"/>
    <w:rsid w:val="00B92DBB"/>
    <w:rsid w:val="00B92F9C"/>
    <w:rsid w:val="00B943B7"/>
    <w:rsid w:val="00B95C01"/>
    <w:rsid w:val="00B95D29"/>
    <w:rsid w:val="00B96361"/>
    <w:rsid w:val="00B9683C"/>
    <w:rsid w:val="00B96DCB"/>
    <w:rsid w:val="00B97929"/>
    <w:rsid w:val="00BA030A"/>
    <w:rsid w:val="00BA1316"/>
    <w:rsid w:val="00BA14DA"/>
    <w:rsid w:val="00BA1A39"/>
    <w:rsid w:val="00BA310E"/>
    <w:rsid w:val="00BA3B90"/>
    <w:rsid w:val="00BA3D8E"/>
    <w:rsid w:val="00BA4239"/>
    <w:rsid w:val="00BA4249"/>
    <w:rsid w:val="00BA6AC8"/>
    <w:rsid w:val="00BA6BC5"/>
    <w:rsid w:val="00BA7B0A"/>
    <w:rsid w:val="00BB1143"/>
    <w:rsid w:val="00BB122F"/>
    <w:rsid w:val="00BB21C7"/>
    <w:rsid w:val="00BB2990"/>
    <w:rsid w:val="00BB2BAE"/>
    <w:rsid w:val="00BB3056"/>
    <w:rsid w:val="00BB3F4A"/>
    <w:rsid w:val="00BB3FF0"/>
    <w:rsid w:val="00BB4C86"/>
    <w:rsid w:val="00BB5191"/>
    <w:rsid w:val="00BB5B17"/>
    <w:rsid w:val="00BB5B52"/>
    <w:rsid w:val="00BB7335"/>
    <w:rsid w:val="00BB7BA7"/>
    <w:rsid w:val="00BC0429"/>
    <w:rsid w:val="00BC0607"/>
    <w:rsid w:val="00BC0AD4"/>
    <w:rsid w:val="00BC0CAA"/>
    <w:rsid w:val="00BC0D33"/>
    <w:rsid w:val="00BC162A"/>
    <w:rsid w:val="00BC1949"/>
    <w:rsid w:val="00BC2E0A"/>
    <w:rsid w:val="00BC3F31"/>
    <w:rsid w:val="00BC42F8"/>
    <w:rsid w:val="00BC4365"/>
    <w:rsid w:val="00BC4BBF"/>
    <w:rsid w:val="00BC4F2D"/>
    <w:rsid w:val="00BC5BAF"/>
    <w:rsid w:val="00BC5E2B"/>
    <w:rsid w:val="00BC64BE"/>
    <w:rsid w:val="00BC66F7"/>
    <w:rsid w:val="00BC7535"/>
    <w:rsid w:val="00BC7665"/>
    <w:rsid w:val="00BD13B2"/>
    <w:rsid w:val="00BD173D"/>
    <w:rsid w:val="00BD1CCF"/>
    <w:rsid w:val="00BD2126"/>
    <w:rsid w:val="00BD220A"/>
    <w:rsid w:val="00BD263D"/>
    <w:rsid w:val="00BD3031"/>
    <w:rsid w:val="00BD3CE2"/>
    <w:rsid w:val="00BD50C3"/>
    <w:rsid w:val="00BD50CF"/>
    <w:rsid w:val="00BD567C"/>
    <w:rsid w:val="00BD6885"/>
    <w:rsid w:val="00BD6DA2"/>
    <w:rsid w:val="00BD742D"/>
    <w:rsid w:val="00BE0F73"/>
    <w:rsid w:val="00BE1A33"/>
    <w:rsid w:val="00BE319E"/>
    <w:rsid w:val="00BE367B"/>
    <w:rsid w:val="00BE3D1A"/>
    <w:rsid w:val="00BE3D42"/>
    <w:rsid w:val="00BE4481"/>
    <w:rsid w:val="00BE5ECF"/>
    <w:rsid w:val="00BE7C0C"/>
    <w:rsid w:val="00BF0600"/>
    <w:rsid w:val="00BF1B0D"/>
    <w:rsid w:val="00BF2436"/>
    <w:rsid w:val="00BF2540"/>
    <w:rsid w:val="00BF2726"/>
    <w:rsid w:val="00BF4DFD"/>
    <w:rsid w:val="00BF4E74"/>
    <w:rsid w:val="00BF516A"/>
    <w:rsid w:val="00BF5242"/>
    <w:rsid w:val="00BF5425"/>
    <w:rsid w:val="00BF559B"/>
    <w:rsid w:val="00BF6C50"/>
    <w:rsid w:val="00C00A35"/>
    <w:rsid w:val="00C020AF"/>
    <w:rsid w:val="00C022FB"/>
    <w:rsid w:val="00C02956"/>
    <w:rsid w:val="00C03455"/>
    <w:rsid w:val="00C040F3"/>
    <w:rsid w:val="00C06D80"/>
    <w:rsid w:val="00C06F99"/>
    <w:rsid w:val="00C071D2"/>
    <w:rsid w:val="00C07709"/>
    <w:rsid w:val="00C1000B"/>
    <w:rsid w:val="00C10A6A"/>
    <w:rsid w:val="00C10D8A"/>
    <w:rsid w:val="00C11015"/>
    <w:rsid w:val="00C1359B"/>
    <w:rsid w:val="00C14A07"/>
    <w:rsid w:val="00C15619"/>
    <w:rsid w:val="00C1588C"/>
    <w:rsid w:val="00C16F72"/>
    <w:rsid w:val="00C17382"/>
    <w:rsid w:val="00C2048B"/>
    <w:rsid w:val="00C212F0"/>
    <w:rsid w:val="00C21BB5"/>
    <w:rsid w:val="00C224BA"/>
    <w:rsid w:val="00C23670"/>
    <w:rsid w:val="00C23C4B"/>
    <w:rsid w:val="00C2486C"/>
    <w:rsid w:val="00C2524E"/>
    <w:rsid w:val="00C257FE"/>
    <w:rsid w:val="00C259FF"/>
    <w:rsid w:val="00C26E30"/>
    <w:rsid w:val="00C30A29"/>
    <w:rsid w:val="00C313CF"/>
    <w:rsid w:val="00C3176D"/>
    <w:rsid w:val="00C31C48"/>
    <w:rsid w:val="00C326F4"/>
    <w:rsid w:val="00C32C6C"/>
    <w:rsid w:val="00C33820"/>
    <w:rsid w:val="00C33AA5"/>
    <w:rsid w:val="00C33CC2"/>
    <w:rsid w:val="00C33E98"/>
    <w:rsid w:val="00C340F8"/>
    <w:rsid w:val="00C34322"/>
    <w:rsid w:val="00C3478A"/>
    <w:rsid w:val="00C348BD"/>
    <w:rsid w:val="00C34924"/>
    <w:rsid w:val="00C34954"/>
    <w:rsid w:val="00C34D07"/>
    <w:rsid w:val="00C35808"/>
    <w:rsid w:val="00C359CB"/>
    <w:rsid w:val="00C363ED"/>
    <w:rsid w:val="00C3728C"/>
    <w:rsid w:val="00C379AC"/>
    <w:rsid w:val="00C400E4"/>
    <w:rsid w:val="00C4061D"/>
    <w:rsid w:val="00C40687"/>
    <w:rsid w:val="00C40C50"/>
    <w:rsid w:val="00C41246"/>
    <w:rsid w:val="00C41FF6"/>
    <w:rsid w:val="00C42425"/>
    <w:rsid w:val="00C42CD0"/>
    <w:rsid w:val="00C434E2"/>
    <w:rsid w:val="00C43572"/>
    <w:rsid w:val="00C4437D"/>
    <w:rsid w:val="00C444D4"/>
    <w:rsid w:val="00C4462A"/>
    <w:rsid w:val="00C453CC"/>
    <w:rsid w:val="00C46953"/>
    <w:rsid w:val="00C47E6D"/>
    <w:rsid w:val="00C53953"/>
    <w:rsid w:val="00C5458B"/>
    <w:rsid w:val="00C550C6"/>
    <w:rsid w:val="00C554AC"/>
    <w:rsid w:val="00C562AE"/>
    <w:rsid w:val="00C5648D"/>
    <w:rsid w:val="00C56736"/>
    <w:rsid w:val="00C56822"/>
    <w:rsid w:val="00C572F0"/>
    <w:rsid w:val="00C57765"/>
    <w:rsid w:val="00C57FC7"/>
    <w:rsid w:val="00C60FBE"/>
    <w:rsid w:val="00C618BA"/>
    <w:rsid w:val="00C61FE2"/>
    <w:rsid w:val="00C62746"/>
    <w:rsid w:val="00C63614"/>
    <w:rsid w:val="00C63D5C"/>
    <w:rsid w:val="00C642D3"/>
    <w:rsid w:val="00C64C1E"/>
    <w:rsid w:val="00C64C30"/>
    <w:rsid w:val="00C65977"/>
    <w:rsid w:val="00C659E4"/>
    <w:rsid w:val="00C665BA"/>
    <w:rsid w:val="00C665EA"/>
    <w:rsid w:val="00C6691D"/>
    <w:rsid w:val="00C66935"/>
    <w:rsid w:val="00C67260"/>
    <w:rsid w:val="00C67305"/>
    <w:rsid w:val="00C67456"/>
    <w:rsid w:val="00C679B5"/>
    <w:rsid w:val="00C704F6"/>
    <w:rsid w:val="00C71718"/>
    <w:rsid w:val="00C71826"/>
    <w:rsid w:val="00C71E28"/>
    <w:rsid w:val="00C722F1"/>
    <w:rsid w:val="00C73401"/>
    <w:rsid w:val="00C73801"/>
    <w:rsid w:val="00C75078"/>
    <w:rsid w:val="00C750C6"/>
    <w:rsid w:val="00C758A7"/>
    <w:rsid w:val="00C77048"/>
    <w:rsid w:val="00C77B17"/>
    <w:rsid w:val="00C77C65"/>
    <w:rsid w:val="00C803BC"/>
    <w:rsid w:val="00C804A3"/>
    <w:rsid w:val="00C80521"/>
    <w:rsid w:val="00C81116"/>
    <w:rsid w:val="00C814F0"/>
    <w:rsid w:val="00C82D9F"/>
    <w:rsid w:val="00C8313B"/>
    <w:rsid w:val="00C83432"/>
    <w:rsid w:val="00C83825"/>
    <w:rsid w:val="00C843C9"/>
    <w:rsid w:val="00C84546"/>
    <w:rsid w:val="00C84EE9"/>
    <w:rsid w:val="00C85777"/>
    <w:rsid w:val="00C85A38"/>
    <w:rsid w:val="00C86433"/>
    <w:rsid w:val="00C866F1"/>
    <w:rsid w:val="00C868B6"/>
    <w:rsid w:val="00C876B9"/>
    <w:rsid w:val="00C90A15"/>
    <w:rsid w:val="00C90A8C"/>
    <w:rsid w:val="00C90BA8"/>
    <w:rsid w:val="00C91D60"/>
    <w:rsid w:val="00C926E0"/>
    <w:rsid w:val="00C93665"/>
    <w:rsid w:val="00C939D0"/>
    <w:rsid w:val="00C93C92"/>
    <w:rsid w:val="00C95F8E"/>
    <w:rsid w:val="00C9710E"/>
    <w:rsid w:val="00C97377"/>
    <w:rsid w:val="00CA0DE4"/>
    <w:rsid w:val="00CA27FB"/>
    <w:rsid w:val="00CA2BEA"/>
    <w:rsid w:val="00CA32EF"/>
    <w:rsid w:val="00CA3C90"/>
    <w:rsid w:val="00CA40F1"/>
    <w:rsid w:val="00CA4206"/>
    <w:rsid w:val="00CA53D4"/>
    <w:rsid w:val="00CA5CA3"/>
    <w:rsid w:val="00CA7906"/>
    <w:rsid w:val="00CA7D61"/>
    <w:rsid w:val="00CB05AB"/>
    <w:rsid w:val="00CB2E70"/>
    <w:rsid w:val="00CB2EDC"/>
    <w:rsid w:val="00CB3193"/>
    <w:rsid w:val="00CB37E0"/>
    <w:rsid w:val="00CB38A5"/>
    <w:rsid w:val="00CB4777"/>
    <w:rsid w:val="00CB544C"/>
    <w:rsid w:val="00CB54E5"/>
    <w:rsid w:val="00CB5AB8"/>
    <w:rsid w:val="00CB6ADF"/>
    <w:rsid w:val="00CB6EE3"/>
    <w:rsid w:val="00CB6F8B"/>
    <w:rsid w:val="00CB7BEE"/>
    <w:rsid w:val="00CB7F9A"/>
    <w:rsid w:val="00CC09A6"/>
    <w:rsid w:val="00CC0A8F"/>
    <w:rsid w:val="00CC260B"/>
    <w:rsid w:val="00CC28B6"/>
    <w:rsid w:val="00CC38CC"/>
    <w:rsid w:val="00CC39C0"/>
    <w:rsid w:val="00CC4241"/>
    <w:rsid w:val="00CC5EA4"/>
    <w:rsid w:val="00CC63CD"/>
    <w:rsid w:val="00CC7627"/>
    <w:rsid w:val="00CC7940"/>
    <w:rsid w:val="00CC7CDC"/>
    <w:rsid w:val="00CD1239"/>
    <w:rsid w:val="00CD15BB"/>
    <w:rsid w:val="00CD20CB"/>
    <w:rsid w:val="00CD3EFF"/>
    <w:rsid w:val="00CD43CD"/>
    <w:rsid w:val="00CD4942"/>
    <w:rsid w:val="00CD501E"/>
    <w:rsid w:val="00CD5228"/>
    <w:rsid w:val="00CD5D89"/>
    <w:rsid w:val="00CD6613"/>
    <w:rsid w:val="00CD693E"/>
    <w:rsid w:val="00CD7203"/>
    <w:rsid w:val="00CD7D9D"/>
    <w:rsid w:val="00CE0141"/>
    <w:rsid w:val="00CE2E28"/>
    <w:rsid w:val="00CE3087"/>
    <w:rsid w:val="00CE35FF"/>
    <w:rsid w:val="00CE3674"/>
    <w:rsid w:val="00CE434B"/>
    <w:rsid w:val="00CE44FC"/>
    <w:rsid w:val="00CE45A5"/>
    <w:rsid w:val="00CE4FF6"/>
    <w:rsid w:val="00CE5B12"/>
    <w:rsid w:val="00CE633F"/>
    <w:rsid w:val="00CE6D1C"/>
    <w:rsid w:val="00CE70E3"/>
    <w:rsid w:val="00CE72F3"/>
    <w:rsid w:val="00CF0261"/>
    <w:rsid w:val="00CF06A4"/>
    <w:rsid w:val="00CF0F5F"/>
    <w:rsid w:val="00CF14D3"/>
    <w:rsid w:val="00CF1747"/>
    <w:rsid w:val="00CF1E7C"/>
    <w:rsid w:val="00CF23FD"/>
    <w:rsid w:val="00CF317D"/>
    <w:rsid w:val="00CF5BE0"/>
    <w:rsid w:val="00CF62B4"/>
    <w:rsid w:val="00CF6442"/>
    <w:rsid w:val="00CF64BA"/>
    <w:rsid w:val="00D00869"/>
    <w:rsid w:val="00D009A5"/>
    <w:rsid w:val="00D00FF8"/>
    <w:rsid w:val="00D013EA"/>
    <w:rsid w:val="00D014DD"/>
    <w:rsid w:val="00D01576"/>
    <w:rsid w:val="00D02C4B"/>
    <w:rsid w:val="00D03439"/>
    <w:rsid w:val="00D03EA8"/>
    <w:rsid w:val="00D044BA"/>
    <w:rsid w:val="00D04C06"/>
    <w:rsid w:val="00D04C36"/>
    <w:rsid w:val="00D04EA5"/>
    <w:rsid w:val="00D0560A"/>
    <w:rsid w:val="00D05B4F"/>
    <w:rsid w:val="00D0683F"/>
    <w:rsid w:val="00D06F32"/>
    <w:rsid w:val="00D07CE6"/>
    <w:rsid w:val="00D10ED3"/>
    <w:rsid w:val="00D11285"/>
    <w:rsid w:val="00D117CD"/>
    <w:rsid w:val="00D11ACB"/>
    <w:rsid w:val="00D12CB1"/>
    <w:rsid w:val="00D14C29"/>
    <w:rsid w:val="00D14CB8"/>
    <w:rsid w:val="00D152FD"/>
    <w:rsid w:val="00D15F5F"/>
    <w:rsid w:val="00D160BA"/>
    <w:rsid w:val="00D16F9F"/>
    <w:rsid w:val="00D173A9"/>
    <w:rsid w:val="00D17D6F"/>
    <w:rsid w:val="00D20167"/>
    <w:rsid w:val="00D2019B"/>
    <w:rsid w:val="00D20BB6"/>
    <w:rsid w:val="00D22519"/>
    <w:rsid w:val="00D22A50"/>
    <w:rsid w:val="00D22D62"/>
    <w:rsid w:val="00D24342"/>
    <w:rsid w:val="00D244C4"/>
    <w:rsid w:val="00D24538"/>
    <w:rsid w:val="00D24709"/>
    <w:rsid w:val="00D249F9"/>
    <w:rsid w:val="00D2543B"/>
    <w:rsid w:val="00D25959"/>
    <w:rsid w:val="00D2608F"/>
    <w:rsid w:val="00D26773"/>
    <w:rsid w:val="00D31D03"/>
    <w:rsid w:val="00D32A4D"/>
    <w:rsid w:val="00D331B9"/>
    <w:rsid w:val="00D3552E"/>
    <w:rsid w:val="00D355C2"/>
    <w:rsid w:val="00D36EC7"/>
    <w:rsid w:val="00D3704C"/>
    <w:rsid w:val="00D37855"/>
    <w:rsid w:val="00D4049A"/>
    <w:rsid w:val="00D423DA"/>
    <w:rsid w:val="00D42D1B"/>
    <w:rsid w:val="00D43A01"/>
    <w:rsid w:val="00D44106"/>
    <w:rsid w:val="00D44424"/>
    <w:rsid w:val="00D45A44"/>
    <w:rsid w:val="00D45D27"/>
    <w:rsid w:val="00D465E4"/>
    <w:rsid w:val="00D4686F"/>
    <w:rsid w:val="00D46DC7"/>
    <w:rsid w:val="00D471DC"/>
    <w:rsid w:val="00D473C0"/>
    <w:rsid w:val="00D474CC"/>
    <w:rsid w:val="00D47679"/>
    <w:rsid w:val="00D47D5E"/>
    <w:rsid w:val="00D505AA"/>
    <w:rsid w:val="00D518C8"/>
    <w:rsid w:val="00D5219C"/>
    <w:rsid w:val="00D52725"/>
    <w:rsid w:val="00D528D6"/>
    <w:rsid w:val="00D52A89"/>
    <w:rsid w:val="00D52B26"/>
    <w:rsid w:val="00D53616"/>
    <w:rsid w:val="00D539EA"/>
    <w:rsid w:val="00D53E85"/>
    <w:rsid w:val="00D53FBF"/>
    <w:rsid w:val="00D55515"/>
    <w:rsid w:val="00D55860"/>
    <w:rsid w:val="00D560D7"/>
    <w:rsid w:val="00D56795"/>
    <w:rsid w:val="00D57C18"/>
    <w:rsid w:val="00D60A08"/>
    <w:rsid w:val="00D61273"/>
    <w:rsid w:val="00D61F4C"/>
    <w:rsid w:val="00D62080"/>
    <w:rsid w:val="00D6302A"/>
    <w:rsid w:val="00D638EA"/>
    <w:rsid w:val="00D64CD4"/>
    <w:rsid w:val="00D65763"/>
    <w:rsid w:val="00D66D68"/>
    <w:rsid w:val="00D674ED"/>
    <w:rsid w:val="00D67FAD"/>
    <w:rsid w:val="00D70772"/>
    <w:rsid w:val="00D70E2B"/>
    <w:rsid w:val="00D71202"/>
    <w:rsid w:val="00D7139A"/>
    <w:rsid w:val="00D72017"/>
    <w:rsid w:val="00D7300C"/>
    <w:rsid w:val="00D7374C"/>
    <w:rsid w:val="00D73A52"/>
    <w:rsid w:val="00D74AB2"/>
    <w:rsid w:val="00D757F6"/>
    <w:rsid w:val="00D765F4"/>
    <w:rsid w:val="00D7732A"/>
    <w:rsid w:val="00D77373"/>
    <w:rsid w:val="00D803B0"/>
    <w:rsid w:val="00D8090D"/>
    <w:rsid w:val="00D81062"/>
    <w:rsid w:val="00D824F6"/>
    <w:rsid w:val="00D825FD"/>
    <w:rsid w:val="00D82B94"/>
    <w:rsid w:val="00D83127"/>
    <w:rsid w:val="00D8349B"/>
    <w:rsid w:val="00D83606"/>
    <w:rsid w:val="00D837F8"/>
    <w:rsid w:val="00D84417"/>
    <w:rsid w:val="00D84A13"/>
    <w:rsid w:val="00D85430"/>
    <w:rsid w:val="00D85444"/>
    <w:rsid w:val="00D85B44"/>
    <w:rsid w:val="00D85DEF"/>
    <w:rsid w:val="00D85DFD"/>
    <w:rsid w:val="00D87570"/>
    <w:rsid w:val="00D87C05"/>
    <w:rsid w:val="00D91300"/>
    <w:rsid w:val="00D9228F"/>
    <w:rsid w:val="00D922CF"/>
    <w:rsid w:val="00D94243"/>
    <w:rsid w:val="00D94CF5"/>
    <w:rsid w:val="00D953D5"/>
    <w:rsid w:val="00D95CD4"/>
    <w:rsid w:val="00D96ED2"/>
    <w:rsid w:val="00D97796"/>
    <w:rsid w:val="00DA0BF9"/>
    <w:rsid w:val="00DA1105"/>
    <w:rsid w:val="00DA15B6"/>
    <w:rsid w:val="00DA1AE2"/>
    <w:rsid w:val="00DA1FD9"/>
    <w:rsid w:val="00DA24E2"/>
    <w:rsid w:val="00DA25C4"/>
    <w:rsid w:val="00DA3019"/>
    <w:rsid w:val="00DA31D6"/>
    <w:rsid w:val="00DA4059"/>
    <w:rsid w:val="00DA501C"/>
    <w:rsid w:val="00DA57DE"/>
    <w:rsid w:val="00DA6164"/>
    <w:rsid w:val="00DA6450"/>
    <w:rsid w:val="00DA6FDD"/>
    <w:rsid w:val="00DA74D8"/>
    <w:rsid w:val="00DA774C"/>
    <w:rsid w:val="00DA7CF3"/>
    <w:rsid w:val="00DB0412"/>
    <w:rsid w:val="00DB0947"/>
    <w:rsid w:val="00DB09BB"/>
    <w:rsid w:val="00DB0BFD"/>
    <w:rsid w:val="00DB136E"/>
    <w:rsid w:val="00DB1D68"/>
    <w:rsid w:val="00DB2478"/>
    <w:rsid w:val="00DB3FA3"/>
    <w:rsid w:val="00DB44B4"/>
    <w:rsid w:val="00DB568D"/>
    <w:rsid w:val="00DB59E7"/>
    <w:rsid w:val="00DB5A00"/>
    <w:rsid w:val="00DB64AA"/>
    <w:rsid w:val="00DB64C2"/>
    <w:rsid w:val="00DB7112"/>
    <w:rsid w:val="00DB7CA6"/>
    <w:rsid w:val="00DC0918"/>
    <w:rsid w:val="00DC1DD7"/>
    <w:rsid w:val="00DC2176"/>
    <w:rsid w:val="00DC2831"/>
    <w:rsid w:val="00DC31AB"/>
    <w:rsid w:val="00DC3613"/>
    <w:rsid w:val="00DC3955"/>
    <w:rsid w:val="00DC3EFA"/>
    <w:rsid w:val="00DC4902"/>
    <w:rsid w:val="00DC4AED"/>
    <w:rsid w:val="00DC4D20"/>
    <w:rsid w:val="00DC644E"/>
    <w:rsid w:val="00DC70FB"/>
    <w:rsid w:val="00DC7B17"/>
    <w:rsid w:val="00DD003A"/>
    <w:rsid w:val="00DD1755"/>
    <w:rsid w:val="00DD2988"/>
    <w:rsid w:val="00DD2D2F"/>
    <w:rsid w:val="00DD3034"/>
    <w:rsid w:val="00DD348C"/>
    <w:rsid w:val="00DD3AA3"/>
    <w:rsid w:val="00DD4058"/>
    <w:rsid w:val="00DD5C79"/>
    <w:rsid w:val="00DD612D"/>
    <w:rsid w:val="00DD6A5A"/>
    <w:rsid w:val="00DD7063"/>
    <w:rsid w:val="00DD770D"/>
    <w:rsid w:val="00DD7953"/>
    <w:rsid w:val="00DD7AEF"/>
    <w:rsid w:val="00DD7AFD"/>
    <w:rsid w:val="00DD7F0B"/>
    <w:rsid w:val="00DE03D1"/>
    <w:rsid w:val="00DE06E3"/>
    <w:rsid w:val="00DE1B94"/>
    <w:rsid w:val="00DE1D9A"/>
    <w:rsid w:val="00DE354D"/>
    <w:rsid w:val="00DE46AA"/>
    <w:rsid w:val="00DE4BDD"/>
    <w:rsid w:val="00DE5242"/>
    <w:rsid w:val="00DE587D"/>
    <w:rsid w:val="00DE7941"/>
    <w:rsid w:val="00DF156C"/>
    <w:rsid w:val="00DF1C4A"/>
    <w:rsid w:val="00DF1F4D"/>
    <w:rsid w:val="00DF231A"/>
    <w:rsid w:val="00DF324A"/>
    <w:rsid w:val="00DF374B"/>
    <w:rsid w:val="00DF567D"/>
    <w:rsid w:val="00DF57E7"/>
    <w:rsid w:val="00DF5B0F"/>
    <w:rsid w:val="00DF6A49"/>
    <w:rsid w:val="00DF76A1"/>
    <w:rsid w:val="00E00BB7"/>
    <w:rsid w:val="00E01345"/>
    <w:rsid w:val="00E02675"/>
    <w:rsid w:val="00E02976"/>
    <w:rsid w:val="00E02E36"/>
    <w:rsid w:val="00E03088"/>
    <w:rsid w:val="00E035D3"/>
    <w:rsid w:val="00E0423C"/>
    <w:rsid w:val="00E05A58"/>
    <w:rsid w:val="00E06212"/>
    <w:rsid w:val="00E063EB"/>
    <w:rsid w:val="00E06D9D"/>
    <w:rsid w:val="00E0703E"/>
    <w:rsid w:val="00E10160"/>
    <w:rsid w:val="00E101A6"/>
    <w:rsid w:val="00E10D4B"/>
    <w:rsid w:val="00E110EA"/>
    <w:rsid w:val="00E11439"/>
    <w:rsid w:val="00E11D36"/>
    <w:rsid w:val="00E121BC"/>
    <w:rsid w:val="00E124D1"/>
    <w:rsid w:val="00E13835"/>
    <w:rsid w:val="00E13D66"/>
    <w:rsid w:val="00E146D8"/>
    <w:rsid w:val="00E148AA"/>
    <w:rsid w:val="00E14B73"/>
    <w:rsid w:val="00E15237"/>
    <w:rsid w:val="00E16671"/>
    <w:rsid w:val="00E16D4B"/>
    <w:rsid w:val="00E172BD"/>
    <w:rsid w:val="00E17412"/>
    <w:rsid w:val="00E175DF"/>
    <w:rsid w:val="00E17623"/>
    <w:rsid w:val="00E17B30"/>
    <w:rsid w:val="00E17CEF"/>
    <w:rsid w:val="00E17D9A"/>
    <w:rsid w:val="00E20CE8"/>
    <w:rsid w:val="00E21320"/>
    <w:rsid w:val="00E21B52"/>
    <w:rsid w:val="00E21F11"/>
    <w:rsid w:val="00E224C4"/>
    <w:rsid w:val="00E226D3"/>
    <w:rsid w:val="00E22E4F"/>
    <w:rsid w:val="00E22EFB"/>
    <w:rsid w:val="00E23F74"/>
    <w:rsid w:val="00E26167"/>
    <w:rsid w:val="00E263AE"/>
    <w:rsid w:val="00E27C07"/>
    <w:rsid w:val="00E30C61"/>
    <w:rsid w:val="00E312BF"/>
    <w:rsid w:val="00E328F8"/>
    <w:rsid w:val="00E3300A"/>
    <w:rsid w:val="00E3521F"/>
    <w:rsid w:val="00E36A1F"/>
    <w:rsid w:val="00E36B5A"/>
    <w:rsid w:val="00E376F9"/>
    <w:rsid w:val="00E37FA0"/>
    <w:rsid w:val="00E41079"/>
    <w:rsid w:val="00E4132E"/>
    <w:rsid w:val="00E413C2"/>
    <w:rsid w:val="00E417B5"/>
    <w:rsid w:val="00E41F2B"/>
    <w:rsid w:val="00E42484"/>
    <w:rsid w:val="00E433A5"/>
    <w:rsid w:val="00E43448"/>
    <w:rsid w:val="00E434FF"/>
    <w:rsid w:val="00E447AB"/>
    <w:rsid w:val="00E45167"/>
    <w:rsid w:val="00E4567E"/>
    <w:rsid w:val="00E45FC6"/>
    <w:rsid w:val="00E46A33"/>
    <w:rsid w:val="00E513AC"/>
    <w:rsid w:val="00E516D7"/>
    <w:rsid w:val="00E518DC"/>
    <w:rsid w:val="00E51C09"/>
    <w:rsid w:val="00E534FE"/>
    <w:rsid w:val="00E54408"/>
    <w:rsid w:val="00E54851"/>
    <w:rsid w:val="00E54BDF"/>
    <w:rsid w:val="00E54CA4"/>
    <w:rsid w:val="00E552D8"/>
    <w:rsid w:val="00E55419"/>
    <w:rsid w:val="00E55508"/>
    <w:rsid w:val="00E56307"/>
    <w:rsid w:val="00E5641F"/>
    <w:rsid w:val="00E5642B"/>
    <w:rsid w:val="00E56556"/>
    <w:rsid w:val="00E568C7"/>
    <w:rsid w:val="00E56F09"/>
    <w:rsid w:val="00E604BE"/>
    <w:rsid w:val="00E60EE2"/>
    <w:rsid w:val="00E6157B"/>
    <w:rsid w:val="00E61FF4"/>
    <w:rsid w:val="00E62212"/>
    <w:rsid w:val="00E63402"/>
    <w:rsid w:val="00E636CE"/>
    <w:rsid w:val="00E63E98"/>
    <w:rsid w:val="00E6424A"/>
    <w:rsid w:val="00E64A5A"/>
    <w:rsid w:val="00E64F16"/>
    <w:rsid w:val="00E655F1"/>
    <w:rsid w:val="00E66757"/>
    <w:rsid w:val="00E66F75"/>
    <w:rsid w:val="00E6723E"/>
    <w:rsid w:val="00E700AE"/>
    <w:rsid w:val="00E70E0A"/>
    <w:rsid w:val="00E71E02"/>
    <w:rsid w:val="00E730C3"/>
    <w:rsid w:val="00E73D22"/>
    <w:rsid w:val="00E74491"/>
    <w:rsid w:val="00E74956"/>
    <w:rsid w:val="00E760B1"/>
    <w:rsid w:val="00E771BD"/>
    <w:rsid w:val="00E77FC3"/>
    <w:rsid w:val="00E8013D"/>
    <w:rsid w:val="00E803C1"/>
    <w:rsid w:val="00E80756"/>
    <w:rsid w:val="00E80C01"/>
    <w:rsid w:val="00E81423"/>
    <w:rsid w:val="00E82696"/>
    <w:rsid w:val="00E82CDD"/>
    <w:rsid w:val="00E83528"/>
    <w:rsid w:val="00E83537"/>
    <w:rsid w:val="00E84FF6"/>
    <w:rsid w:val="00E851AF"/>
    <w:rsid w:val="00E864CE"/>
    <w:rsid w:val="00E864D6"/>
    <w:rsid w:val="00E86CC3"/>
    <w:rsid w:val="00E877F5"/>
    <w:rsid w:val="00E87CD9"/>
    <w:rsid w:val="00E909C4"/>
    <w:rsid w:val="00E90DFF"/>
    <w:rsid w:val="00E90ED2"/>
    <w:rsid w:val="00E940A8"/>
    <w:rsid w:val="00E94153"/>
    <w:rsid w:val="00E94550"/>
    <w:rsid w:val="00E945E6"/>
    <w:rsid w:val="00E9475D"/>
    <w:rsid w:val="00E9572F"/>
    <w:rsid w:val="00E957E1"/>
    <w:rsid w:val="00E95F81"/>
    <w:rsid w:val="00E96015"/>
    <w:rsid w:val="00E9609E"/>
    <w:rsid w:val="00E97B33"/>
    <w:rsid w:val="00EA1526"/>
    <w:rsid w:val="00EA1EFE"/>
    <w:rsid w:val="00EA3997"/>
    <w:rsid w:val="00EA3CA5"/>
    <w:rsid w:val="00EA4E01"/>
    <w:rsid w:val="00EA547C"/>
    <w:rsid w:val="00EA5A97"/>
    <w:rsid w:val="00EA60CE"/>
    <w:rsid w:val="00EA6AD1"/>
    <w:rsid w:val="00EA7BB8"/>
    <w:rsid w:val="00EA7BCE"/>
    <w:rsid w:val="00EA7EE0"/>
    <w:rsid w:val="00EB14D5"/>
    <w:rsid w:val="00EB1DBE"/>
    <w:rsid w:val="00EB1F50"/>
    <w:rsid w:val="00EB275B"/>
    <w:rsid w:val="00EB342D"/>
    <w:rsid w:val="00EB4E45"/>
    <w:rsid w:val="00EB4E6D"/>
    <w:rsid w:val="00EB55B2"/>
    <w:rsid w:val="00EB5CED"/>
    <w:rsid w:val="00EB6263"/>
    <w:rsid w:val="00EC0F9D"/>
    <w:rsid w:val="00EC1666"/>
    <w:rsid w:val="00EC19E5"/>
    <w:rsid w:val="00EC1E87"/>
    <w:rsid w:val="00EC2B7A"/>
    <w:rsid w:val="00EC2D0B"/>
    <w:rsid w:val="00EC2FAD"/>
    <w:rsid w:val="00EC32C0"/>
    <w:rsid w:val="00EC434C"/>
    <w:rsid w:val="00EC517C"/>
    <w:rsid w:val="00EC64D0"/>
    <w:rsid w:val="00EC64ED"/>
    <w:rsid w:val="00EC6D2B"/>
    <w:rsid w:val="00EC7B00"/>
    <w:rsid w:val="00EC7BD7"/>
    <w:rsid w:val="00ED12A8"/>
    <w:rsid w:val="00ED182B"/>
    <w:rsid w:val="00ED305C"/>
    <w:rsid w:val="00ED3C5D"/>
    <w:rsid w:val="00ED4771"/>
    <w:rsid w:val="00ED5777"/>
    <w:rsid w:val="00ED5A6B"/>
    <w:rsid w:val="00ED670E"/>
    <w:rsid w:val="00ED751C"/>
    <w:rsid w:val="00EE0279"/>
    <w:rsid w:val="00EE0CFA"/>
    <w:rsid w:val="00EE0EBF"/>
    <w:rsid w:val="00EE0FDE"/>
    <w:rsid w:val="00EE2385"/>
    <w:rsid w:val="00EE3208"/>
    <w:rsid w:val="00EE38C9"/>
    <w:rsid w:val="00EE3CAF"/>
    <w:rsid w:val="00EE43FE"/>
    <w:rsid w:val="00EE497A"/>
    <w:rsid w:val="00EE4F1A"/>
    <w:rsid w:val="00EE5593"/>
    <w:rsid w:val="00EE65BD"/>
    <w:rsid w:val="00EE6CA2"/>
    <w:rsid w:val="00EE7CC7"/>
    <w:rsid w:val="00EF008E"/>
    <w:rsid w:val="00EF0BA5"/>
    <w:rsid w:val="00EF170B"/>
    <w:rsid w:val="00EF1BB0"/>
    <w:rsid w:val="00EF238F"/>
    <w:rsid w:val="00EF2C10"/>
    <w:rsid w:val="00EF2EA5"/>
    <w:rsid w:val="00EF3D74"/>
    <w:rsid w:val="00EF408D"/>
    <w:rsid w:val="00EF4E84"/>
    <w:rsid w:val="00EF4F23"/>
    <w:rsid w:val="00EF4F99"/>
    <w:rsid w:val="00EF5C9F"/>
    <w:rsid w:val="00EF7D93"/>
    <w:rsid w:val="00F005FB"/>
    <w:rsid w:val="00F00A55"/>
    <w:rsid w:val="00F01504"/>
    <w:rsid w:val="00F01AB3"/>
    <w:rsid w:val="00F0228B"/>
    <w:rsid w:val="00F02B56"/>
    <w:rsid w:val="00F03800"/>
    <w:rsid w:val="00F03C3A"/>
    <w:rsid w:val="00F044ED"/>
    <w:rsid w:val="00F04766"/>
    <w:rsid w:val="00F048C0"/>
    <w:rsid w:val="00F04AAB"/>
    <w:rsid w:val="00F05A32"/>
    <w:rsid w:val="00F05EA2"/>
    <w:rsid w:val="00F05F43"/>
    <w:rsid w:val="00F0615B"/>
    <w:rsid w:val="00F07294"/>
    <w:rsid w:val="00F1147B"/>
    <w:rsid w:val="00F116FD"/>
    <w:rsid w:val="00F11983"/>
    <w:rsid w:val="00F12C72"/>
    <w:rsid w:val="00F14164"/>
    <w:rsid w:val="00F141DD"/>
    <w:rsid w:val="00F14ABD"/>
    <w:rsid w:val="00F159F6"/>
    <w:rsid w:val="00F15ADB"/>
    <w:rsid w:val="00F1677E"/>
    <w:rsid w:val="00F173D7"/>
    <w:rsid w:val="00F17407"/>
    <w:rsid w:val="00F2009C"/>
    <w:rsid w:val="00F201B6"/>
    <w:rsid w:val="00F2049C"/>
    <w:rsid w:val="00F208EE"/>
    <w:rsid w:val="00F20F88"/>
    <w:rsid w:val="00F2102D"/>
    <w:rsid w:val="00F21381"/>
    <w:rsid w:val="00F213B4"/>
    <w:rsid w:val="00F22EB6"/>
    <w:rsid w:val="00F2308A"/>
    <w:rsid w:val="00F23107"/>
    <w:rsid w:val="00F2324D"/>
    <w:rsid w:val="00F23D6F"/>
    <w:rsid w:val="00F24979"/>
    <w:rsid w:val="00F259F2"/>
    <w:rsid w:val="00F25A64"/>
    <w:rsid w:val="00F2719A"/>
    <w:rsid w:val="00F274C2"/>
    <w:rsid w:val="00F27F98"/>
    <w:rsid w:val="00F302B1"/>
    <w:rsid w:val="00F30ECE"/>
    <w:rsid w:val="00F327A2"/>
    <w:rsid w:val="00F3293F"/>
    <w:rsid w:val="00F3300F"/>
    <w:rsid w:val="00F33998"/>
    <w:rsid w:val="00F34715"/>
    <w:rsid w:val="00F36077"/>
    <w:rsid w:val="00F37130"/>
    <w:rsid w:val="00F3785D"/>
    <w:rsid w:val="00F37FC5"/>
    <w:rsid w:val="00F40A98"/>
    <w:rsid w:val="00F40DF6"/>
    <w:rsid w:val="00F40EF1"/>
    <w:rsid w:val="00F42285"/>
    <w:rsid w:val="00F43F70"/>
    <w:rsid w:val="00F4493E"/>
    <w:rsid w:val="00F4496F"/>
    <w:rsid w:val="00F44FC4"/>
    <w:rsid w:val="00F4605E"/>
    <w:rsid w:val="00F465A7"/>
    <w:rsid w:val="00F46A6D"/>
    <w:rsid w:val="00F46CE3"/>
    <w:rsid w:val="00F47323"/>
    <w:rsid w:val="00F4794B"/>
    <w:rsid w:val="00F50E70"/>
    <w:rsid w:val="00F513FB"/>
    <w:rsid w:val="00F5195C"/>
    <w:rsid w:val="00F51FC4"/>
    <w:rsid w:val="00F52056"/>
    <w:rsid w:val="00F54502"/>
    <w:rsid w:val="00F549D9"/>
    <w:rsid w:val="00F54BFE"/>
    <w:rsid w:val="00F553E4"/>
    <w:rsid w:val="00F55A43"/>
    <w:rsid w:val="00F57504"/>
    <w:rsid w:val="00F578CE"/>
    <w:rsid w:val="00F62F91"/>
    <w:rsid w:val="00F63074"/>
    <w:rsid w:val="00F63AF6"/>
    <w:rsid w:val="00F64793"/>
    <w:rsid w:val="00F657C3"/>
    <w:rsid w:val="00F66EB4"/>
    <w:rsid w:val="00F6752B"/>
    <w:rsid w:val="00F67F30"/>
    <w:rsid w:val="00F70523"/>
    <w:rsid w:val="00F719E7"/>
    <w:rsid w:val="00F71EF0"/>
    <w:rsid w:val="00F7239D"/>
    <w:rsid w:val="00F7336A"/>
    <w:rsid w:val="00F743B9"/>
    <w:rsid w:val="00F74917"/>
    <w:rsid w:val="00F75D45"/>
    <w:rsid w:val="00F76C80"/>
    <w:rsid w:val="00F77875"/>
    <w:rsid w:val="00F77F15"/>
    <w:rsid w:val="00F801F4"/>
    <w:rsid w:val="00F8023C"/>
    <w:rsid w:val="00F80477"/>
    <w:rsid w:val="00F8143E"/>
    <w:rsid w:val="00F8152D"/>
    <w:rsid w:val="00F817D2"/>
    <w:rsid w:val="00F825B9"/>
    <w:rsid w:val="00F832F2"/>
    <w:rsid w:val="00F83727"/>
    <w:rsid w:val="00F83D50"/>
    <w:rsid w:val="00F84646"/>
    <w:rsid w:val="00F86610"/>
    <w:rsid w:val="00F876D9"/>
    <w:rsid w:val="00F90558"/>
    <w:rsid w:val="00F90A6E"/>
    <w:rsid w:val="00F91680"/>
    <w:rsid w:val="00F92388"/>
    <w:rsid w:val="00F92E2A"/>
    <w:rsid w:val="00F93B31"/>
    <w:rsid w:val="00F945D3"/>
    <w:rsid w:val="00F94819"/>
    <w:rsid w:val="00F95A02"/>
    <w:rsid w:val="00F95A50"/>
    <w:rsid w:val="00F96C62"/>
    <w:rsid w:val="00F97177"/>
    <w:rsid w:val="00F972C9"/>
    <w:rsid w:val="00F978D3"/>
    <w:rsid w:val="00F97B36"/>
    <w:rsid w:val="00F97C9D"/>
    <w:rsid w:val="00F97F65"/>
    <w:rsid w:val="00FA0E82"/>
    <w:rsid w:val="00FA212D"/>
    <w:rsid w:val="00FA2A9D"/>
    <w:rsid w:val="00FA2DAD"/>
    <w:rsid w:val="00FA31E5"/>
    <w:rsid w:val="00FA39EC"/>
    <w:rsid w:val="00FA722E"/>
    <w:rsid w:val="00FA729D"/>
    <w:rsid w:val="00FA7C76"/>
    <w:rsid w:val="00FB1474"/>
    <w:rsid w:val="00FB26C6"/>
    <w:rsid w:val="00FB2972"/>
    <w:rsid w:val="00FB2CAE"/>
    <w:rsid w:val="00FB2F69"/>
    <w:rsid w:val="00FB314E"/>
    <w:rsid w:val="00FB3305"/>
    <w:rsid w:val="00FB4228"/>
    <w:rsid w:val="00FB44AD"/>
    <w:rsid w:val="00FB4E51"/>
    <w:rsid w:val="00FB5A90"/>
    <w:rsid w:val="00FB5B82"/>
    <w:rsid w:val="00FB77AA"/>
    <w:rsid w:val="00FB799E"/>
    <w:rsid w:val="00FB7A08"/>
    <w:rsid w:val="00FC07EE"/>
    <w:rsid w:val="00FC216C"/>
    <w:rsid w:val="00FC297A"/>
    <w:rsid w:val="00FC2C3B"/>
    <w:rsid w:val="00FC331F"/>
    <w:rsid w:val="00FC4969"/>
    <w:rsid w:val="00FC4D6D"/>
    <w:rsid w:val="00FC5233"/>
    <w:rsid w:val="00FC598A"/>
    <w:rsid w:val="00FC5B0C"/>
    <w:rsid w:val="00FC6253"/>
    <w:rsid w:val="00FC64DC"/>
    <w:rsid w:val="00FC691F"/>
    <w:rsid w:val="00FC7002"/>
    <w:rsid w:val="00FC7E66"/>
    <w:rsid w:val="00FC7F8B"/>
    <w:rsid w:val="00FD0201"/>
    <w:rsid w:val="00FD1058"/>
    <w:rsid w:val="00FD11BE"/>
    <w:rsid w:val="00FD1EEC"/>
    <w:rsid w:val="00FD2884"/>
    <w:rsid w:val="00FD2A56"/>
    <w:rsid w:val="00FD2E16"/>
    <w:rsid w:val="00FD2FC0"/>
    <w:rsid w:val="00FD52E0"/>
    <w:rsid w:val="00FD57FE"/>
    <w:rsid w:val="00FD5B75"/>
    <w:rsid w:val="00FD5DBF"/>
    <w:rsid w:val="00FD627E"/>
    <w:rsid w:val="00FD6F62"/>
    <w:rsid w:val="00FD7295"/>
    <w:rsid w:val="00FD74B7"/>
    <w:rsid w:val="00FD7C51"/>
    <w:rsid w:val="00FE0CBB"/>
    <w:rsid w:val="00FE0E31"/>
    <w:rsid w:val="00FE14D3"/>
    <w:rsid w:val="00FE2108"/>
    <w:rsid w:val="00FE4538"/>
    <w:rsid w:val="00FE55E9"/>
    <w:rsid w:val="00FE6A83"/>
    <w:rsid w:val="00FE6B7F"/>
    <w:rsid w:val="00FE6EB6"/>
    <w:rsid w:val="00FE70F0"/>
    <w:rsid w:val="00FF07DE"/>
    <w:rsid w:val="00FF07ED"/>
    <w:rsid w:val="00FF0B75"/>
    <w:rsid w:val="00FF1168"/>
    <w:rsid w:val="00FF11E1"/>
    <w:rsid w:val="00FF1256"/>
    <w:rsid w:val="00FF1283"/>
    <w:rsid w:val="00FF1CC7"/>
    <w:rsid w:val="00FF1ECC"/>
    <w:rsid w:val="00FF288B"/>
    <w:rsid w:val="00FF31C4"/>
    <w:rsid w:val="00FF3363"/>
    <w:rsid w:val="00FF43E0"/>
    <w:rsid w:val="00FF495C"/>
    <w:rsid w:val="00FF4E02"/>
    <w:rsid w:val="00FF528E"/>
    <w:rsid w:val="00FF52EC"/>
    <w:rsid w:val="00FF600B"/>
    <w:rsid w:val="00FF6CD8"/>
    <w:rsid w:val="00FF6D1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1E4F8D3D"/>
  <w15:docId w15:val="{53BDEB26-C9FE-49F3-9EF5-F2564C5CB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rsid w:val="00E110EA"/>
    <w:pPr>
      <w:spacing w:before="120" w:after="120"/>
      <w:jc w:val="both"/>
    </w:pPr>
    <w:rPr>
      <w:szCs w:val="19"/>
      <w:lang w:val="cs-CZ"/>
    </w:rPr>
  </w:style>
  <w:style w:type="paragraph" w:styleId="Nadpis1">
    <w:name w:val="heading 1"/>
    <w:basedOn w:val="Normln"/>
    <w:next w:val="Normln"/>
    <w:link w:val="Nadpis1Char"/>
    <w:uiPriority w:val="9"/>
    <w:qFormat/>
    <w:rsid w:val="00E110EA"/>
    <w:pPr>
      <w:keepNext/>
      <w:keepLines/>
      <w:pageBreakBefore/>
      <w:numPr>
        <w:numId w:val="4"/>
      </w:numPr>
      <w:spacing w:after="360"/>
      <w:ind w:left="431" w:hanging="431"/>
      <w:outlineLvl w:val="0"/>
    </w:pPr>
    <w:rPr>
      <w:rFonts w:eastAsiaTheme="majorEastAsia" w:cstheme="majorBidi"/>
      <w:b/>
      <w:bCs/>
      <w:color w:val="2E3192"/>
      <w:sz w:val="28"/>
      <w:szCs w:val="28"/>
    </w:rPr>
  </w:style>
  <w:style w:type="paragraph" w:styleId="Nadpis2">
    <w:name w:val="heading 2"/>
    <w:basedOn w:val="Normln"/>
    <w:next w:val="Normln"/>
    <w:link w:val="Nadpis2Char"/>
    <w:uiPriority w:val="99"/>
    <w:unhideWhenUsed/>
    <w:qFormat/>
    <w:rsid w:val="00E110EA"/>
    <w:pPr>
      <w:keepNext/>
      <w:keepLines/>
      <w:numPr>
        <w:ilvl w:val="1"/>
        <w:numId w:val="4"/>
      </w:numPr>
      <w:spacing w:before="240"/>
      <w:outlineLvl w:val="1"/>
    </w:pPr>
    <w:rPr>
      <w:rFonts w:eastAsiaTheme="majorEastAsia" w:cstheme="majorBidi"/>
      <w:b/>
      <w:bCs/>
      <w:caps/>
      <w:sz w:val="24"/>
      <w:szCs w:val="26"/>
    </w:rPr>
  </w:style>
  <w:style w:type="paragraph" w:styleId="Nadpis3">
    <w:name w:val="heading 3"/>
    <w:basedOn w:val="Normln"/>
    <w:next w:val="Normln"/>
    <w:link w:val="Nadpis3Char"/>
    <w:uiPriority w:val="99"/>
    <w:unhideWhenUsed/>
    <w:qFormat/>
    <w:rsid w:val="004D0FAA"/>
    <w:pPr>
      <w:keepNext/>
      <w:keepLines/>
      <w:numPr>
        <w:ilvl w:val="2"/>
        <w:numId w:val="4"/>
      </w:numPr>
      <w:ind w:left="720"/>
      <w:outlineLvl w:val="2"/>
    </w:pPr>
    <w:rPr>
      <w:rFonts w:ascii="Calibri" w:eastAsiaTheme="majorEastAsia" w:hAnsi="Calibri" w:cstheme="majorBidi"/>
      <w:b/>
      <w:bCs/>
      <w:noProof/>
      <w:lang w:eastAsia="cs-CZ"/>
    </w:rPr>
  </w:style>
  <w:style w:type="paragraph" w:styleId="Nadpis4">
    <w:name w:val="heading 4"/>
    <w:basedOn w:val="Normln"/>
    <w:next w:val="Normln"/>
    <w:link w:val="Nadpis4Char"/>
    <w:uiPriority w:val="99"/>
    <w:unhideWhenUsed/>
    <w:qFormat/>
    <w:rsid w:val="00285353"/>
    <w:pPr>
      <w:keepNext/>
      <w:keepLines/>
      <w:numPr>
        <w:ilvl w:val="3"/>
        <w:numId w:val="4"/>
      </w:numPr>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nhideWhenUsed/>
    <w:qFormat/>
    <w:rsid w:val="00285353"/>
    <w:pPr>
      <w:keepNext/>
      <w:keepLines/>
      <w:numPr>
        <w:ilvl w:val="4"/>
        <w:numId w:val="4"/>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semiHidden/>
    <w:unhideWhenUsed/>
    <w:qFormat/>
    <w:rsid w:val="00285353"/>
    <w:pPr>
      <w:keepNext/>
      <w:keepLines/>
      <w:numPr>
        <w:ilvl w:val="5"/>
        <w:numId w:val="4"/>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nhideWhenUsed/>
    <w:qFormat/>
    <w:rsid w:val="00285353"/>
    <w:pPr>
      <w:keepNext/>
      <w:keepLines/>
      <w:numPr>
        <w:ilvl w:val="6"/>
        <w:numId w:val="4"/>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nhideWhenUsed/>
    <w:qFormat/>
    <w:rsid w:val="00285353"/>
    <w:pPr>
      <w:keepNext/>
      <w:keepLines/>
      <w:numPr>
        <w:ilvl w:val="7"/>
        <w:numId w:val="4"/>
      </w:numPr>
      <w:spacing w:before="200" w:after="0"/>
      <w:outlineLvl w:val="7"/>
    </w:pPr>
    <w:rPr>
      <w:rFonts w:asciiTheme="majorHAnsi" w:eastAsiaTheme="majorEastAsia" w:hAnsiTheme="majorHAnsi" w:cstheme="majorBidi"/>
      <w:color w:val="4F81BD" w:themeColor="accent1"/>
      <w:sz w:val="20"/>
      <w:szCs w:val="20"/>
    </w:rPr>
  </w:style>
  <w:style w:type="paragraph" w:styleId="Nadpis9">
    <w:name w:val="heading 9"/>
    <w:basedOn w:val="Graf0"/>
    <w:next w:val="Normln"/>
    <w:link w:val="Nadpis9Char"/>
    <w:unhideWhenUsed/>
    <w:qFormat/>
    <w:rsid w:val="00551164"/>
    <w:pPr>
      <w:outlineLvl w:val="8"/>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486ED9"/>
    <w:pPr>
      <w:tabs>
        <w:tab w:val="center" w:pos="4536"/>
        <w:tab w:val="right" w:pos="9072"/>
      </w:tabs>
      <w:spacing w:line="240" w:lineRule="auto"/>
    </w:pPr>
  </w:style>
  <w:style w:type="character" w:customStyle="1" w:styleId="ZhlavChar">
    <w:name w:val="Záhlaví Char"/>
    <w:basedOn w:val="Standardnpsmoodstavce"/>
    <w:link w:val="Zhlav"/>
    <w:uiPriority w:val="99"/>
    <w:rsid w:val="00486ED9"/>
  </w:style>
  <w:style w:type="paragraph" w:styleId="Zpat">
    <w:name w:val="footer"/>
    <w:basedOn w:val="Normln"/>
    <w:link w:val="ZpatChar"/>
    <w:uiPriority w:val="99"/>
    <w:unhideWhenUsed/>
    <w:rsid w:val="00AE43AB"/>
    <w:pPr>
      <w:tabs>
        <w:tab w:val="center" w:pos="4536"/>
        <w:tab w:val="right" w:pos="9072"/>
      </w:tabs>
      <w:spacing w:line="240" w:lineRule="auto"/>
    </w:pPr>
  </w:style>
  <w:style w:type="character" w:customStyle="1" w:styleId="ZpatChar">
    <w:name w:val="Zápatí Char"/>
    <w:basedOn w:val="Standardnpsmoodstavce"/>
    <w:link w:val="Zpat"/>
    <w:uiPriority w:val="99"/>
    <w:rsid w:val="00AE43AB"/>
    <w:rPr>
      <w:rFonts w:asciiTheme="majorHAnsi" w:hAnsiTheme="majorHAnsi"/>
      <w:sz w:val="20"/>
    </w:rPr>
  </w:style>
  <w:style w:type="table" w:styleId="Mkatabulky">
    <w:name w:val="Table Grid"/>
    <w:basedOn w:val="Normlntabulka"/>
    <w:uiPriority w:val="59"/>
    <w:rsid w:val="00486ED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odkaz">
    <w:name w:val="Hyperlink"/>
    <w:basedOn w:val="Standardnpsmoodstavce"/>
    <w:uiPriority w:val="99"/>
    <w:unhideWhenUsed/>
    <w:rsid w:val="009B042F"/>
    <w:rPr>
      <w:b w:val="0"/>
      <w:color w:val="auto"/>
      <w:u w:val="single"/>
    </w:rPr>
  </w:style>
  <w:style w:type="character" w:customStyle="1" w:styleId="Nadpis1Char">
    <w:name w:val="Nadpis 1 Char"/>
    <w:basedOn w:val="Standardnpsmoodstavce"/>
    <w:link w:val="Nadpis1"/>
    <w:uiPriority w:val="9"/>
    <w:rsid w:val="00E110EA"/>
    <w:rPr>
      <w:rFonts w:eastAsiaTheme="majorEastAsia" w:cstheme="majorBidi"/>
      <w:b/>
      <w:bCs/>
      <w:color w:val="2E3192"/>
      <w:sz w:val="28"/>
      <w:szCs w:val="28"/>
      <w:lang w:val="cs-CZ"/>
    </w:rPr>
  </w:style>
  <w:style w:type="character" w:customStyle="1" w:styleId="Nadpis2Char">
    <w:name w:val="Nadpis 2 Char"/>
    <w:basedOn w:val="Standardnpsmoodstavce"/>
    <w:link w:val="Nadpis2"/>
    <w:uiPriority w:val="99"/>
    <w:rsid w:val="00E110EA"/>
    <w:rPr>
      <w:rFonts w:eastAsiaTheme="majorEastAsia" w:cstheme="majorBidi"/>
      <w:b/>
      <w:bCs/>
      <w:caps/>
      <w:sz w:val="24"/>
      <w:szCs w:val="26"/>
      <w:lang w:val="cs-CZ"/>
    </w:rPr>
  </w:style>
  <w:style w:type="character" w:customStyle="1" w:styleId="Nadpis3Char">
    <w:name w:val="Nadpis 3 Char"/>
    <w:basedOn w:val="Standardnpsmoodstavce"/>
    <w:link w:val="Nadpis3"/>
    <w:uiPriority w:val="99"/>
    <w:rsid w:val="004D0FAA"/>
    <w:rPr>
      <w:rFonts w:ascii="Calibri" w:eastAsiaTheme="majorEastAsia" w:hAnsi="Calibri" w:cstheme="majorBidi"/>
      <w:b/>
      <w:bCs/>
      <w:noProof/>
      <w:szCs w:val="19"/>
      <w:lang w:val="cs-CZ" w:eastAsia="cs-CZ"/>
    </w:rPr>
  </w:style>
  <w:style w:type="character" w:styleId="Siln">
    <w:name w:val="Strong"/>
    <w:basedOn w:val="Standardnpsmoodstavce"/>
    <w:uiPriority w:val="22"/>
    <w:rsid w:val="00285353"/>
    <w:rPr>
      <w:b/>
      <w:bCs/>
    </w:rPr>
  </w:style>
  <w:style w:type="paragraph" w:customStyle="1" w:styleId="Kaskda0">
    <w:name w:val="Kaskáda ●"/>
    <w:basedOn w:val="Normln"/>
    <w:link w:val="KaskdaChar"/>
    <w:qFormat/>
    <w:rsid w:val="00747F68"/>
    <w:pPr>
      <w:numPr>
        <w:numId w:val="24"/>
      </w:numPr>
      <w:spacing w:before="0" w:after="0"/>
      <w:ind w:left="641" w:hanging="357"/>
    </w:pPr>
  </w:style>
  <w:style w:type="character" w:styleId="Zdraznn">
    <w:name w:val="Emphasis"/>
    <w:basedOn w:val="Standardnpsmoodstavce"/>
    <w:uiPriority w:val="20"/>
    <w:rsid w:val="00285353"/>
    <w:rPr>
      <w:i/>
      <w:iCs/>
    </w:rPr>
  </w:style>
  <w:style w:type="character" w:styleId="Zdraznnintenzivn">
    <w:name w:val="Intense Emphasis"/>
    <w:basedOn w:val="Standardnpsmoodstavce"/>
    <w:uiPriority w:val="21"/>
    <w:rsid w:val="00285353"/>
    <w:rPr>
      <w:b/>
      <w:bCs/>
      <w:i/>
      <w:iCs/>
      <w:color w:val="4F81BD" w:themeColor="accent1"/>
    </w:rPr>
  </w:style>
  <w:style w:type="character" w:customStyle="1" w:styleId="Nadpis4Char">
    <w:name w:val="Nadpis 4 Char"/>
    <w:basedOn w:val="Standardnpsmoodstavce"/>
    <w:link w:val="Nadpis4"/>
    <w:uiPriority w:val="99"/>
    <w:rsid w:val="00285353"/>
    <w:rPr>
      <w:rFonts w:asciiTheme="majorHAnsi" w:eastAsiaTheme="majorEastAsia" w:hAnsiTheme="majorHAnsi" w:cstheme="majorBidi"/>
      <w:b/>
      <w:bCs/>
      <w:i/>
      <w:iCs/>
      <w:color w:val="4F81BD" w:themeColor="accent1"/>
      <w:sz w:val="19"/>
      <w:lang w:val="cs-CZ"/>
    </w:rPr>
  </w:style>
  <w:style w:type="paragraph" w:styleId="Textpoznpodarou">
    <w:name w:val="footnote text"/>
    <w:aliases w:val="Footnote,Text poznámky pod čiarou 007,Text pozn. pod čarou Char2,Text pozn. pod čarou Char Char,Text pozn. pod čarou Char1 Char,Schriftart: 8 pt Char,Text pozn. pod čarou Char1,Schriftart: 8 pt,Geneva 9,f,Schriftart: 9 pt,Boston 10"/>
    <w:basedOn w:val="Normln"/>
    <w:link w:val="TextpoznpodarouChar"/>
    <w:uiPriority w:val="99"/>
    <w:unhideWhenUsed/>
    <w:rsid w:val="00880888"/>
    <w:pPr>
      <w:spacing w:line="240" w:lineRule="auto"/>
    </w:pPr>
    <w:rPr>
      <w:sz w:val="18"/>
      <w:szCs w:val="20"/>
    </w:rPr>
  </w:style>
  <w:style w:type="character" w:customStyle="1" w:styleId="TextpoznpodarouChar">
    <w:name w:val="Text pozn. pod čarou Char"/>
    <w:aliases w:val="Footnote Char,Text poznámky pod čiarou 007 Char,Text pozn. pod čarou Char2 Char,Text pozn. pod čarou Char Char Char,Text pozn. pod čarou Char1 Char Char,Schriftart: 8 pt Char Char,Text pozn. pod čarou Char1 Char1,Geneva 9 Char"/>
    <w:basedOn w:val="Standardnpsmoodstavce"/>
    <w:link w:val="Textpoznpodarou"/>
    <w:uiPriority w:val="99"/>
    <w:rsid w:val="00880888"/>
    <w:rPr>
      <w:rFonts w:asciiTheme="majorHAnsi" w:hAnsiTheme="majorHAnsi"/>
      <w:sz w:val="18"/>
      <w:szCs w:val="20"/>
    </w:rPr>
  </w:style>
  <w:style w:type="character" w:styleId="Znakapoznpodarou">
    <w:name w:val="footnote reference"/>
    <w:aliases w:val="PGI Fußnote Ziffer + Times New Roman,12 b.,Zúžené o ...,PGI Fußnote Ziffer"/>
    <w:basedOn w:val="Standardnpsmoodstavce"/>
    <w:uiPriority w:val="99"/>
    <w:unhideWhenUsed/>
    <w:rsid w:val="00880888"/>
    <w:rPr>
      <w:vertAlign w:val="superscript"/>
    </w:rPr>
  </w:style>
  <w:style w:type="paragraph" w:customStyle="1" w:styleId="Tabulkovtext">
    <w:name w:val="Tabulkový text"/>
    <w:basedOn w:val="Normln"/>
    <w:rsid w:val="00491A42"/>
    <w:pPr>
      <w:suppressAutoHyphens/>
      <w:spacing w:line="240" w:lineRule="auto"/>
    </w:pPr>
  </w:style>
  <w:style w:type="character" w:customStyle="1" w:styleId="Nadpis5Char">
    <w:name w:val="Nadpis 5 Char"/>
    <w:basedOn w:val="Standardnpsmoodstavce"/>
    <w:link w:val="Nadpis5"/>
    <w:rsid w:val="00285353"/>
    <w:rPr>
      <w:rFonts w:asciiTheme="majorHAnsi" w:eastAsiaTheme="majorEastAsia" w:hAnsiTheme="majorHAnsi" w:cstheme="majorBidi"/>
      <w:color w:val="243F60" w:themeColor="accent1" w:themeShade="7F"/>
      <w:sz w:val="19"/>
      <w:lang w:val="cs-CZ"/>
    </w:rPr>
  </w:style>
  <w:style w:type="paragraph" w:styleId="Obsah2">
    <w:name w:val="toc 2"/>
    <w:basedOn w:val="Normln"/>
    <w:next w:val="Normln"/>
    <w:autoRedefine/>
    <w:uiPriority w:val="39"/>
    <w:unhideWhenUsed/>
    <w:rsid w:val="00DA3019"/>
    <w:pPr>
      <w:tabs>
        <w:tab w:val="left" w:pos="454"/>
        <w:tab w:val="right" w:leader="dot" w:pos="10206"/>
      </w:tabs>
      <w:spacing w:after="100"/>
      <w:ind w:left="284"/>
    </w:pPr>
    <w:rPr>
      <w:color w:val="2E3192"/>
    </w:rPr>
  </w:style>
  <w:style w:type="paragraph" w:styleId="Obsah1">
    <w:name w:val="toc 1"/>
    <w:basedOn w:val="Normln"/>
    <w:next w:val="Normln"/>
    <w:autoRedefine/>
    <w:uiPriority w:val="39"/>
    <w:unhideWhenUsed/>
    <w:rsid w:val="00572F00"/>
    <w:pPr>
      <w:tabs>
        <w:tab w:val="left" w:pos="312"/>
        <w:tab w:val="right" w:leader="dot" w:pos="10206"/>
      </w:tabs>
      <w:spacing w:after="100"/>
    </w:pPr>
    <w:rPr>
      <w:noProof/>
      <w:color w:val="2E3192"/>
      <w:szCs w:val="28"/>
    </w:rPr>
  </w:style>
  <w:style w:type="paragraph" w:styleId="Obsah3">
    <w:name w:val="toc 3"/>
    <w:basedOn w:val="Normln"/>
    <w:next w:val="Normln"/>
    <w:autoRedefine/>
    <w:uiPriority w:val="39"/>
    <w:unhideWhenUsed/>
    <w:rsid w:val="00BF516A"/>
    <w:pPr>
      <w:spacing w:after="100"/>
      <w:ind w:left="400"/>
    </w:pPr>
  </w:style>
  <w:style w:type="paragraph" w:customStyle="1" w:styleId="Kaskda">
    <w:name w:val="Kaskáda #"/>
    <w:basedOn w:val="Normln"/>
    <w:link w:val="KaskdaChar0"/>
    <w:qFormat/>
    <w:rsid w:val="000C0BF4"/>
    <w:pPr>
      <w:numPr>
        <w:numId w:val="2"/>
      </w:numPr>
    </w:pPr>
    <w:rPr>
      <w:noProof/>
    </w:rPr>
  </w:style>
  <w:style w:type="numbering" w:customStyle="1" w:styleId="Grafy">
    <w:name w:val="Grafy"/>
    <w:uiPriority w:val="99"/>
    <w:rsid w:val="005644CE"/>
    <w:pPr>
      <w:numPr>
        <w:numId w:val="7"/>
      </w:numPr>
    </w:pPr>
  </w:style>
  <w:style w:type="paragraph" w:styleId="Seznamobrzk">
    <w:name w:val="table of figures"/>
    <w:basedOn w:val="Normln"/>
    <w:next w:val="Normln"/>
    <w:link w:val="SeznamobrzkChar"/>
    <w:uiPriority w:val="99"/>
    <w:unhideWhenUsed/>
    <w:rsid w:val="00572F00"/>
    <w:pPr>
      <w:tabs>
        <w:tab w:val="left" w:pos="1418"/>
        <w:tab w:val="right" w:leader="dot" w:pos="10206"/>
      </w:tabs>
      <w:spacing w:before="0" w:after="0"/>
    </w:pPr>
  </w:style>
  <w:style w:type="paragraph" w:styleId="Textbubliny">
    <w:name w:val="Balloon Text"/>
    <w:basedOn w:val="Normln"/>
    <w:link w:val="TextbublinyChar"/>
    <w:uiPriority w:val="99"/>
    <w:semiHidden/>
    <w:unhideWhenUsed/>
    <w:rsid w:val="00D03439"/>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D03439"/>
    <w:rPr>
      <w:rFonts w:ascii="Tahoma" w:hAnsi="Tahoma" w:cs="Tahoma"/>
      <w:sz w:val="16"/>
      <w:szCs w:val="16"/>
    </w:rPr>
  </w:style>
  <w:style w:type="character" w:customStyle="1" w:styleId="Poznmkapodarou">
    <w:name w:val="Poznámka pod čarou_"/>
    <w:basedOn w:val="Standardnpsmoodstavce"/>
    <w:link w:val="Poznmkapodarou0"/>
    <w:rsid w:val="00D03439"/>
    <w:rPr>
      <w:rFonts w:ascii="Arial" w:eastAsia="Arial" w:hAnsi="Arial" w:cs="Arial"/>
      <w:sz w:val="20"/>
      <w:szCs w:val="20"/>
      <w:shd w:val="clear" w:color="auto" w:fill="FFFFFF"/>
    </w:rPr>
  </w:style>
  <w:style w:type="character" w:customStyle="1" w:styleId="ZkladntextVerdana95ptTun">
    <w:name w:val="Základní text + Verdana;9;5 pt;Tučné"/>
    <w:basedOn w:val="Standardnpsmoodstavce"/>
    <w:rsid w:val="00D03439"/>
    <w:rPr>
      <w:rFonts w:ascii="Verdana" w:eastAsia="Verdana" w:hAnsi="Verdana" w:cs="Verdana"/>
      <w:b/>
      <w:bCs/>
      <w:i w:val="0"/>
      <w:iCs w:val="0"/>
      <w:smallCaps w:val="0"/>
      <w:strike w:val="0"/>
      <w:spacing w:val="0"/>
      <w:sz w:val="19"/>
      <w:szCs w:val="19"/>
    </w:rPr>
  </w:style>
  <w:style w:type="paragraph" w:customStyle="1" w:styleId="Poznmkapodarou0">
    <w:name w:val="Poznámka pod čarou"/>
    <w:basedOn w:val="Normln"/>
    <w:link w:val="Poznmkapodarou"/>
    <w:rsid w:val="00D03439"/>
    <w:pPr>
      <w:shd w:val="clear" w:color="auto" w:fill="FFFFFF"/>
      <w:spacing w:line="0" w:lineRule="atLeast"/>
      <w:ind w:hanging="360"/>
    </w:pPr>
    <w:rPr>
      <w:rFonts w:ascii="Arial" w:eastAsia="Arial" w:hAnsi="Arial" w:cs="Arial"/>
      <w:szCs w:val="20"/>
    </w:rPr>
  </w:style>
  <w:style w:type="character" w:customStyle="1" w:styleId="Nadpis7Char">
    <w:name w:val="Nadpis 7 Char"/>
    <w:basedOn w:val="Standardnpsmoodstavce"/>
    <w:link w:val="Nadpis7"/>
    <w:uiPriority w:val="99"/>
    <w:rsid w:val="00285353"/>
    <w:rPr>
      <w:rFonts w:asciiTheme="majorHAnsi" w:eastAsiaTheme="majorEastAsia" w:hAnsiTheme="majorHAnsi" w:cstheme="majorBidi"/>
      <w:i/>
      <w:iCs/>
      <w:color w:val="404040" w:themeColor="text1" w:themeTint="BF"/>
      <w:sz w:val="19"/>
      <w:lang w:val="cs-CZ"/>
    </w:rPr>
  </w:style>
  <w:style w:type="character" w:customStyle="1" w:styleId="Nadpis8Char">
    <w:name w:val="Nadpis 8 Char"/>
    <w:basedOn w:val="Standardnpsmoodstavce"/>
    <w:link w:val="Nadpis8"/>
    <w:uiPriority w:val="99"/>
    <w:rsid w:val="00285353"/>
    <w:rPr>
      <w:rFonts w:asciiTheme="majorHAnsi" w:eastAsiaTheme="majorEastAsia" w:hAnsiTheme="majorHAnsi" w:cstheme="majorBidi"/>
      <w:color w:val="4F81BD" w:themeColor="accent1"/>
      <w:sz w:val="20"/>
      <w:szCs w:val="20"/>
      <w:lang w:val="cs-CZ"/>
    </w:rPr>
  </w:style>
  <w:style w:type="character" w:customStyle="1" w:styleId="Nadpis9Char">
    <w:name w:val="Nadpis 9 Char"/>
    <w:basedOn w:val="Standardnpsmoodstavce"/>
    <w:link w:val="Nadpis9"/>
    <w:rsid w:val="00551164"/>
    <w:rPr>
      <w:rFonts w:eastAsiaTheme="minorHAnsi"/>
      <w:b/>
      <w:szCs w:val="19"/>
      <w:lang w:val="cs-CZ"/>
    </w:rPr>
  </w:style>
  <w:style w:type="paragraph" w:styleId="Nzev">
    <w:name w:val="Title"/>
    <w:basedOn w:val="Normln"/>
    <w:next w:val="Normln"/>
    <w:link w:val="NzevChar"/>
    <w:uiPriority w:val="10"/>
    <w:qFormat/>
    <w:rsid w:val="00285353"/>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285353"/>
    <w:rPr>
      <w:rFonts w:asciiTheme="majorHAnsi" w:eastAsiaTheme="majorEastAsia" w:hAnsiTheme="majorHAnsi" w:cstheme="majorBidi"/>
      <w:color w:val="17365D" w:themeColor="text2" w:themeShade="BF"/>
      <w:spacing w:val="5"/>
      <w:kern w:val="28"/>
      <w:sz w:val="52"/>
      <w:szCs w:val="52"/>
    </w:rPr>
  </w:style>
  <w:style w:type="paragraph" w:styleId="Nadpisobsahu">
    <w:name w:val="TOC Heading"/>
    <w:basedOn w:val="Nadpis1"/>
    <w:next w:val="Normln"/>
    <w:uiPriority w:val="39"/>
    <w:semiHidden/>
    <w:unhideWhenUsed/>
    <w:qFormat/>
    <w:rsid w:val="00285353"/>
    <w:pPr>
      <w:outlineLvl w:val="9"/>
    </w:pPr>
  </w:style>
  <w:style w:type="paragraph" w:customStyle="1" w:styleId="AQE1">
    <w:name w:val="AQE 1"/>
    <w:basedOn w:val="Nadpis1"/>
    <w:link w:val="AQE1Char"/>
    <w:rsid w:val="008E29AC"/>
    <w:pPr>
      <w:numPr>
        <w:numId w:val="0"/>
      </w:numPr>
    </w:pPr>
    <w:rPr>
      <w:rFonts w:eastAsia="Times New Roman"/>
    </w:rPr>
  </w:style>
  <w:style w:type="character" w:customStyle="1" w:styleId="AQE1Char">
    <w:name w:val="AQE 1 Char"/>
    <w:link w:val="AQE1"/>
    <w:rsid w:val="008E29AC"/>
    <w:rPr>
      <w:rFonts w:ascii="Cambria" w:eastAsia="Times New Roman" w:hAnsi="Cambria" w:cs="Arial"/>
      <w:b/>
      <w:bCs/>
      <w:kern w:val="32"/>
      <w:sz w:val="36"/>
      <w:szCs w:val="32"/>
      <w:lang w:eastAsia="cs-CZ"/>
    </w:rPr>
  </w:style>
  <w:style w:type="paragraph" w:customStyle="1" w:styleId="AQE11">
    <w:name w:val="AQE 1.1"/>
    <w:basedOn w:val="Nadpis2"/>
    <w:link w:val="AQE11Char"/>
    <w:rsid w:val="00CB2EDC"/>
    <w:pPr>
      <w:numPr>
        <w:ilvl w:val="0"/>
        <w:numId w:val="0"/>
      </w:numPr>
    </w:pPr>
    <w:rPr>
      <w:rFonts w:ascii="Verdana Pro" w:eastAsia="Times New Roman" w:hAnsi="Verdana Pro"/>
      <w:b w:val="0"/>
    </w:rPr>
  </w:style>
  <w:style w:type="character" w:customStyle="1" w:styleId="AQE11Char">
    <w:name w:val="AQE 1.1 Char"/>
    <w:link w:val="AQE11"/>
    <w:rsid w:val="00CB2EDC"/>
    <w:rPr>
      <w:rFonts w:ascii="Verdana Pro" w:eastAsia="Times New Roman" w:hAnsi="Verdana Pro" w:cs="Arial"/>
      <w:b/>
      <w:bCs/>
      <w:iCs/>
      <w:caps/>
      <w:sz w:val="24"/>
      <w:szCs w:val="28"/>
      <w:lang w:eastAsia="cs-CZ"/>
    </w:rPr>
  </w:style>
  <w:style w:type="paragraph" w:customStyle="1" w:styleId="AQE111">
    <w:name w:val="AQE 1.1.1"/>
    <w:basedOn w:val="Nadpis3"/>
    <w:link w:val="AQE111Char"/>
    <w:rsid w:val="00043514"/>
    <w:pPr>
      <w:numPr>
        <w:ilvl w:val="0"/>
        <w:numId w:val="0"/>
      </w:numPr>
    </w:pPr>
    <w:rPr>
      <w:rFonts w:eastAsia="Times New Roman"/>
    </w:rPr>
  </w:style>
  <w:style w:type="character" w:customStyle="1" w:styleId="AQE111Char">
    <w:name w:val="AQE 1.1.1 Char"/>
    <w:link w:val="AQE111"/>
    <w:rsid w:val="00043514"/>
    <w:rPr>
      <w:rFonts w:ascii="Verdana" w:eastAsia="Times New Roman" w:hAnsi="Verdana" w:cs="Arial"/>
      <w:b/>
      <w:bCs/>
      <w:sz w:val="19"/>
      <w:szCs w:val="26"/>
      <w:lang w:val="cs-CZ" w:eastAsia="cs-CZ"/>
    </w:rPr>
  </w:style>
  <w:style w:type="paragraph" w:customStyle="1" w:styleId="AQE1111">
    <w:name w:val="AQE 1.1.1.1"/>
    <w:basedOn w:val="Nadpis4"/>
    <w:link w:val="AQE1111Char"/>
    <w:rsid w:val="008E29AC"/>
    <w:pPr>
      <w:numPr>
        <w:ilvl w:val="0"/>
        <w:numId w:val="0"/>
      </w:numPr>
    </w:pPr>
    <w:rPr>
      <w:rFonts w:eastAsia="Times New Roman"/>
    </w:rPr>
  </w:style>
  <w:style w:type="character" w:customStyle="1" w:styleId="AQE1111Char">
    <w:name w:val="AQE 1.1.1.1 Char"/>
    <w:link w:val="AQE1111"/>
    <w:rsid w:val="008E29AC"/>
    <w:rPr>
      <w:rFonts w:ascii="Cambria" w:eastAsia="Times New Roman" w:hAnsi="Cambria" w:cs="Arial"/>
      <w:b/>
      <w:sz w:val="21"/>
      <w:szCs w:val="28"/>
      <w:lang w:eastAsia="cs-CZ"/>
    </w:rPr>
  </w:style>
  <w:style w:type="paragraph" w:customStyle="1" w:styleId="AQEA">
    <w:name w:val="AQE A"/>
    <w:basedOn w:val="Normln"/>
    <w:autoRedefine/>
    <w:rsid w:val="008E29AC"/>
    <w:pPr>
      <w:shd w:val="clear" w:color="auto" w:fill="A43D3A"/>
    </w:pPr>
    <w:rPr>
      <w:rFonts w:ascii="Calibri" w:eastAsia="Times New Roman" w:hAnsi="Calibri"/>
      <w:b/>
      <w:color w:val="FFFFFF"/>
      <w:sz w:val="28"/>
      <w:szCs w:val="28"/>
    </w:rPr>
  </w:style>
  <w:style w:type="paragraph" w:customStyle="1" w:styleId="AQE3">
    <w:name w:val="AQE3"/>
    <w:basedOn w:val="Normln"/>
    <w:link w:val="AQE3Char"/>
    <w:rsid w:val="008E29AC"/>
    <w:pPr>
      <w:autoSpaceDE w:val="0"/>
      <w:autoSpaceDN w:val="0"/>
      <w:adjustRightInd w:val="0"/>
    </w:pPr>
    <w:rPr>
      <w:b/>
    </w:rPr>
  </w:style>
  <w:style w:type="character" w:customStyle="1" w:styleId="AQE3Char">
    <w:name w:val="AQE3 Char"/>
    <w:basedOn w:val="Standardnpsmoodstavce"/>
    <w:link w:val="AQE3"/>
    <w:rsid w:val="008E29AC"/>
    <w:rPr>
      <w:rFonts w:ascii="Cambria" w:hAnsi="Cambria"/>
      <w:b/>
      <w:sz w:val="21"/>
      <w:szCs w:val="24"/>
      <w:lang w:val="cs-CZ" w:eastAsia="cs-CZ"/>
    </w:rPr>
  </w:style>
  <w:style w:type="paragraph" w:styleId="Titulek">
    <w:name w:val="caption"/>
    <w:basedOn w:val="Normln"/>
    <w:next w:val="Normln"/>
    <w:uiPriority w:val="35"/>
    <w:unhideWhenUsed/>
    <w:qFormat/>
    <w:rsid w:val="00285353"/>
    <w:pPr>
      <w:spacing w:line="240" w:lineRule="auto"/>
    </w:pPr>
    <w:rPr>
      <w:b/>
      <w:bCs/>
      <w:color w:val="4F81BD" w:themeColor="accent1"/>
      <w:sz w:val="18"/>
      <w:szCs w:val="18"/>
    </w:rPr>
  </w:style>
  <w:style w:type="character" w:customStyle="1" w:styleId="apple-style-span">
    <w:name w:val="apple-style-span"/>
    <w:basedOn w:val="Standardnpsmoodstavce"/>
    <w:rsid w:val="00283373"/>
  </w:style>
  <w:style w:type="paragraph" w:styleId="Revize">
    <w:name w:val="Revision"/>
    <w:hidden/>
    <w:uiPriority w:val="99"/>
    <w:semiHidden/>
    <w:rsid w:val="006B7DB8"/>
    <w:rPr>
      <w:rFonts w:ascii="Cambria" w:hAnsi="Cambria"/>
      <w:sz w:val="21"/>
      <w:szCs w:val="24"/>
      <w:lang w:val="cs-CZ" w:eastAsia="cs-CZ"/>
    </w:rPr>
  </w:style>
  <w:style w:type="numbering" w:customStyle="1" w:styleId="Seznamgraf">
    <w:name w:val="Seznam grafů"/>
    <w:uiPriority w:val="99"/>
    <w:rsid w:val="0031612D"/>
    <w:pPr>
      <w:numPr>
        <w:numId w:val="1"/>
      </w:numPr>
    </w:pPr>
  </w:style>
  <w:style w:type="paragraph" w:styleId="Rejstk1">
    <w:name w:val="index 1"/>
    <w:basedOn w:val="Normln"/>
    <w:next w:val="Normln"/>
    <w:autoRedefine/>
    <w:uiPriority w:val="99"/>
    <w:semiHidden/>
    <w:unhideWhenUsed/>
    <w:rsid w:val="006B7DB8"/>
    <w:pPr>
      <w:spacing w:line="240" w:lineRule="auto"/>
      <w:ind w:left="210" w:hanging="210"/>
    </w:pPr>
  </w:style>
  <w:style w:type="paragraph" w:customStyle="1" w:styleId="Seznamtabulek">
    <w:name w:val="Seznam tabulek"/>
    <w:basedOn w:val="Seznamobrzk"/>
    <w:link w:val="SeznamtabulekChar"/>
    <w:rsid w:val="00B36A9F"/>
  </w:style>
  <w:style w:type="character" w:customStyle="1" w:styleId="SeznamobrzkChar">
    <w:name w:val="Seznam obrázků Char"/>
    <w:basedOn w:val="Standardnpsmoodstavce"/>
    <w:link w:val="Seznamobrzk"/>
    <w:uiPriority w:val="99"/>
    <w:rsid w:val="00572F00"/>
    <w:rPr>
      <w:szCs w:val="19"/>
      <w:lang w:val="cs-CZ"/>
    </w:rPr>
  </w:style>
  <w:style w:type="character" w:customStyle="1" w:styleId="SeznamtabulekChar">
    <w:name w:val="Seznam tabulek Char"/>
    <w:basedOn w:val="SeznamobrzkChar"/>
    <w:link w:val="Seznamtabulek"/>
    <w:rsid w:val="00B36A9F"/>
    <w:rPr>
      <w:rFonts w:ascii="Cambria" w:hAnsi="Cambria"/>
      <w:sz w:val="21"/>
      <w:szCs w:val="24"/>
      <w:lang w:val="cs-CZ" w:eastAsia="cs-CZ"/>
    </w:rPr>
  </w:style>
  <w:style w:type="character" w:styleId="Odkaznakoment">
    <w:name w:val="annotation reference"/>
    <w:basedOn w:val="Standardnpsmoodstavce"/>
    <w:uiPriority w:val="99"/>
    <w:semiHidden/>
    <w:unhideWhenUsed/>
    <w:rsid w:val="00620F16"/>
    <w:rPr>
      <w:sz w:val="16"/>
      <w:szCs w:val="16"/>
    </w:rPr>
  </w:style>
  <w:style w:type="paragraph" w:styleId="Textkomente">
    <w:name w:val="annotation text"/>
    <w:basedOn w:val="Normln"/>
    <w:link w:val="TextkomenteChar"/>
    <w:uiPriority w:val="99"/>
    <w:unhideWhenUsed/>
    <w:rsid w:val="00620F16"/>
    <w:pPr>
      <w:spacing w:line="240" w:lineRule="auto"/>
    </w:pPr>
    <w:rPr>
      <w:sz w:val="20"/>
      <w:szCs w:val="20"/>
    </w:rPr>
  </w:style>
  <w:style w:type="character" w:customStyle="1" w:styleId="TextkomenteChar">
    <w:name w:val="Text komentáře Char"/>
    <w:basedOn w:val="Standardnpsmoodstavce"/>
    <w:link w:val="Textkomente"/>
    <w:uiPriority w:val="99"/>
    <w:rsid w:val="00620F16"/>
    <w:rPr>
      <w:rFonts w:ascii="Cambria" w:hAnsi="Cambria"/>
      <w:lang w:val="cs-CZ" w:eastAsia="cs-CZ"/>
    </w:rPr>
  </w:style>
  <w:style w:type="paragraph" w:styleId="Pedmtkomente">
    <w:name w:val="annotation subject"/>
    <w:basedOn w:val="Textkomente"/>
    <w:next w:val="Textkomente"/>
    <w:link w:val="PedmtkomenteChar"/>
    <w:uiPriority w:val="99"/>
    <w:semiHidden/>
    <w:unhideWhenUsed/>
    <w:rsid w:val="00620F16"/>
    <w:rPr>
      <w:b/>
      <w:bCs/>
    </w:rPr>
  </w:style>
  <w:style w:type="character" w:customStyle="1" w:styleId="PedmtkomenteChar">
    <w:name w:val="Předmět komentáře Char"/>
    <w:basedOn w:val="TextkomenteChar"/>
    <w:link w:val="Pedmtkomente"/>
    <w:uiPriority w:val="99"/>
    <w:semiHidden/>
    <w:rsid w:val="00620F16"/>
    <w:rPr>
      <w:rFonts w:ascii="Cambria" w:hAnsi="Cambria"/>
      <w:b/>
      <w:bCs/>
      <w:lang w:val="cs-CZ" w:eastAsia="cs-CZ"/>
    </w:rPr>
  </w:style>
  <w:style w:type="paragraph" w:styleId="Normlnweb">
    <w:name w:val="Normal (Web)"/>
    <w:basedOn w:val="Normln"/>
    <w:uiPriority w:val="99"/>
    <w:semiHidden/>
    <w:unhideWhenUsed/>
    <w:rsid w:val="001013E2"/>
    <w:pPr>
      <w:spacing w:before="100" w:beforeAutospacing="1" w:after="100" w:afterAutospacing="1" w:line="240" w:lineRule="auto"/>
    </w:pPr>
    <w:rPr>
      <w:rFonts w:ascii="Times New Roman" w:hAnsi="Times New Roman"/>
      <w:sz w:val="24"/>
    </w:rPr>
  </w:style>
  <w:style w:type="paragraph" w:customStyle="1" w:styleId="Odrky">
    <w:name w:val="Odrážky"/>
    <w:basedOn w:val="Normln"/>
    <w:rsid w:val="000C0BF4"/>
  </w:style>
  <w:style w:type="paragraph" w:styleId="Obsah4">
    <w:name w:val="toc 4"/>
    <w:basedOn w:val="Normln"/>
    <w:next w:val="Normln"/>
    <w:autoRedefine/>
    <w:uiPriority w:val="39"/>
    <w:unhideWhenUsed/>
    <w:rsid w:val="001B0B02"/>
    <w:pPr>
      <w:spacing w:after="100" w:line="259" w:lineRule="auto"/>
      <w:ind w:left="660"/>
    </w:pPr>
  </w:style>
  <w:style w:type="paragraph" w:styleId="Obsah5">
    <w:name w:val="toc 5"/>
    <w:basedOn w:val="Normln"/>
    <w:next w:val="Normln"/>
    <w:autoRedefine/>
    <w:uiPriority w:val="39"/>
    <w:unhideWhenUsed/>
    <w:rsid w:val="001B0B02"/>
    <w:pPr>
      <w:spacing w:after="100" w:line="259" w:lineRule="auto"/>
      <w:ind w:left="880"/>
    </w:pPr>
  </w:style>
  <w:style w:type="paragraph" w:styleId="Obsah6">
    <w:name w:val="toc 6"/>
    <w:basedOn w:val="Normln"/>
    <w:next w:val="Normln"/>
    <w:autoRedefine/>
    <w:uiPriority w:val="39"/>
    <w:unhideWhenUsed/>
    <w:rsid w:val="001B0B02"/>
    <w:pPr>
      <w:spacing w:after="100" w:line="259" w:lineRule="auto"/>
      <w:ind w:left="1100"/>
    </w:pPr>
  </w:style>
  <w:style w:type="paragraph" w:styleId="Obsah7">
    <w:name w:val="toc 7"/>
    <w:basedOn w:val="Normln"/>
    <w:next w:val="Normln"/>
    <w:autoRedefine/>
    <w:uiPriority w:val="39"/>
    <w:unhideWhenUsed/>
    <w:rsid w:val="001B0B02"/>
    <w:pPr>
      <w:spacing w:after="100" w:line="259" w:lineRule="auto"/>
      <w:ind w:left="1320"/>
    </w:pPr>
  </w:style>
  <w:style w:type="paragraph" w:styleId="Obsah8">
    <w:name w:val="toc 8"/>
    <w:basedOn w:val="Normln"/>
    <w:next w:val="Normln"/>
    <w:autoRedefine/>
    <w:uiPriority w:val="39"/>
    <w:unhideWhenUsed/>
    <w:rsid w:val="001B0B02"/>
    <w:pPr>
      <w:spacing w:after="100" w:line="259" w:lineRule="auto"/>
      <w:ind w:left="1540"/>
    </w:pPr>
  </w:style>
  <w:style w:type="paragraph" w:styleId="Obsah9">
    <w:name w:val="toc 9"/>
    <w:basedOn w:val="Normln"/>
    <w:next w:val="Normln"/>
    <w:autoRedefine/>
    <w:uiPriority w:val="39"/>
    <w:unhideWhenUsed/>
    <w:rsid w:val="001B0B02"/>
    <w:pPr>
      <w:spacing w:after="100" w:line="259" w:lineRule="auto"/>
      <w:ind w:left="1760"/>
    </w:pPr>
  </w:style>
  <w:style w:type="character" w:customStyle="1" w:styleId="ZkladntextKurzva">
    <w:name w:val="Základní text + Kurzíva"/>
    <w:basedOn w:val="Standardnpsmoodstavce"/>
    <w:rsid w:val="000C06A2"/>
    <w:rPr>
      <w:rFonts w:ascii="Times New Roman" w:eastAsia="Times New Roman" w:hAnsi="Times New Roman"/>
      <w:i/>
      <w:iCs/>
      <w:sz w:val="21"/>
      <w:szCs w:val="21"/>
      <w:shd w:val="clear" w:color="auto" w:fill="FFFFFF"/>
    </w:rPr>
  </w:style>
  <w:style w:type="character" w:customStyle="1" w:styleId="Zkladntext3Nekurzva">
    <w:name w:val="Základní text (3) + Ne kurzíva"/>
    <w:basedOn w:val="Standardnpsmoodstavce"/>
    <w:rsid w:val="000C06A2"/>
    <w:rPr>
      <w:rFonts w:ascii="Times New Roman" w:eastAsia="Times New Roman" w:hAnsi="Times New Roman"/>
      <w:i/>
      <w:iCs/>
      <w:sz w:val="21"/>
      <w:szCs w:val="21"/>
      <w:shd w:val="clear" w:color="auto" w:fill="FFFFFF"/>
    </w:rPr>
  </w:style>
  <w:style w:type="character" w:customStyle="1" w:styleId="apple-converted-space">
    <w:name w:val="apple-converted-space"/>
    <w:basedOn w:val="Standardnpsmoodstavce"/>
    <w:rsid w:val="00AB1EC9"/>
  </w:style>
  <w:style w:type="character" w:customStyle="1" w:styleId="Nadpis6Char">
    <w:name w:val="Nadpis 6 Char"/>
    <w:basedOn w:val="Standardnpsmoodstavce"/>
    <w:link w:val="Nadpis6"/>
    <w:semiHidden/>
    <w:rsid w:val="00285353"/>
    <w:rPr>
      <w:rFonts w:asciiTheme="majorHAnsi" w:eastAsiaTheme="majorEastAsia" w:hAnsiTheme="majorHAnsi" w:cstheme="majorBidi"/>
      <w:i/>
      <w:iCs/>
      <w:color w:val="243F60" w:themeColor="accent1" w:themeShade="7F"/>
      <w:sz w:val="19"/>
      <w:lang w:val="cs-CZ"/>
    </w:rPr>
  </w:style>
  <w:style w:type="paragraph" w:styleId="Podnadpis">
    <w:name w:val="Subtitle"/>
    <w:basedOn w:val="Normln"/>
    <w:next w:val="Normln"/>
    <w:link w:val="PodnadpisChar"/>
    <w:uiPriority w:val="11"/>
    <w:qFormat/>
    <w:rsid w:val="00285353"/>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PodnadpisChar">
    <w:name w:val="Podnadpis Char"/>
    <w:basedOn w:val="Standardnpsmoodstavce"/>
    <w:link w:val="Podnadpis"/>
    <w:uiPriority w:val="11"/>
    <w:rsid w:val="00285353"/>
    <w:rPr>
      <w:rFonts w:asciiTheme="majorHAnsi" w:eastAsiaTheme="majorEastAsia" w:hAnsiTheme="majorHAnsi" w:cstheme="majorBidi"/>
      <w:i/>
      <w:iCs/>
      <w:color w:val="4F81BD" w:themeColor="accent1"/>
      <w:spacing w:val="15"/>
      <w:sz w:val="24"/>
      <w:szCs w:val="24"/>
    </w:rPr>
  </w:style>
  <w:style w:type="paragraph" w:styleId="Bezmezer">
    <w:name w:val="No Spacing"/>
    <w:uiPriority w:val="1"/>
    <w:rsid w:val="00285353"/>
    <w:pPr>
      <w:spacing w:after="0" w:line="240" w:lineRule="auto"/>
    </w:pPr>
  </w:style>
  <w:style w:type="paragraph" w:styleId="Citt">
    <w:name w:val="Quote"/>
    <w:basedOn w:val="Normln"/>
    <w:next w:val="Normln"/>
    <w:link w:val="CittChar"/>
    <w:uiPriority w:val="29"/>
    <w:qFormat/>
    <w:rsid w:val="00285353"/>
    <w:rPr>
      <w:i/>
      <w:iCs/>
      <w:color w:val="000000" w:themeColor="text1"/>
    </w:rPr>
  </w:style>
  <w:style w:type="character" w:customStyle="1" w:styleId="CittChar">
    <w:name w:val="Citát Char"/>
    <w:basedOn w:val="Standardnpsmoodstavce"/>
    <w:link w:val="Citt"/>
    <w:uiPriority w:val="29"/>
    <w:rsid w:val="00285353"/>
    <w:rPr>
      <w:i/>
      <w:iCs/>
      <w:color w:val="000000" w:themeColor="text1"/>
    </w:rPr>
  </w:style>
  <w:style w:type="paragraph" w:styleId="Vrazncitt">
    <w:name w:val="Intense Quote"/>
    <w:basedOn w:val="Normln"/>
    <w:next w:val="Normln"/>
    <w:link w:val="VrazncittChar"/>
    <w:uiPriority w:val="30"/>
    <w:rsid w:val="00285353"/>
    <w:pPr>
      <w:pBdr>
        <w:bottom w:val="single" w:sz="4" w:space="4" w:color="4F81BD" w:themeColor="accent1"/>
      </w:pBdr>
      <w:spacing w:before="200" w:after="280"/>
      <w:ind w:left="936" w:right="936"/>
    </w:pPr>
    <w:rPr>
      <w:b/>
      <w:bCs/>
      <w:i/>
      <w:iCs/>
      <w:color w:val="4F81BD" w:themeColor="accent1"/>
    </w:rPr>
  </w:style>
  <w:style w:type="character" w:customStyle="1" w:styleId="VrazncittChar">
    <w:name w:val="Výrazný citát Char"/>
    <w:basedOn w:val="Standardnpsmoodstavce"/>
    <w:link w:val="Vrazncitt"/>
    <w:uiPriority w:val="30"/>
    <w:rsid w:val="00285353"/>
    <w:rPr>
      <w:b/>
      <w:bCs/>
      <w:i/>
      <w:iCs/>
      <w:color w:val="4F81BD" w:themeColor="accent1"/>
    </w:rPr>
  </w:style>
  <w:style w:type="character" w:styleId="Zdraznnjemn">
    <w:name w:val="Subtle Emphasis"/>
    <w:basedOn w:val="Standardnpsmoodstavce"/>
    <w:uiPriority w:val="19"/>
    <w:rsid w:val="00285353"/>
    <w:rPr>
      <w:i/>
      <w:iCs/>
      <w:color w:val="808080" w:themeColor="text1" w:themeTint="7F"/>
    </w:rPr>
  </w:style>
  <w:style w:type="character" w:styleId="Odkazjemn">
    <w:name w:val="Subtle Reference"/>
    <w:basedOn w:val="Standardnpsmoodstavce"/>
    <w:uiPriority w:val="31"/>
    <w:qFormat/>
    <w:rsid w:val="00285353"/>
    <w:rPr>
      <w:smallCaps/>
      <w:color w:val="C0504D" w:themeColor="accent2"/>
      <w:u w:val="single"/>
    </w:rPr>
  </w:style>
  <w:style w:type="character" w:styleId="Odkazintenzivn">
    <w:name w:val="Intense Reference"/>
    <w:basedOn w:val="Standardnpsmoodstavce"/>
    <w:uiPriority w:val="32"/>
    <w:rsid w:val="00285353"/>
    <w:rPr>
      <w:b/>
      <w:bCs/>
      <w:smallCaps/>
      <w:color w:val="C0504D" w:themeColor="accent2"/>
      <w:spacing w:val="5"/>
      <w:u w:val="single"/>
    </w:rPr>
  </w:style>
  <w:style w:type="character" w:styleId="Nzevknihy">
    <w:name w:val="Book Title"/>
    <w:basedOn w:val="Standardnpsmoodstavce"/>
    <w:uiPriority w:val="33"/>
    <w:rsid w:val="00285353"/>
    <w:rPr>
      <w:b/>
      <w:bCs/>
      <w:smallCaps/>
      <w:spacing w:val="5"/>
    </w:rPr>
  </w:style>
  <w:style w:type="paragraph" w:customStyle="1" w:styleId="Tabulka">
    <w:name w:val="Tabulka"/>
    <w:basedOn w:val="Normln"/>
    <w:link w:val="TabulkaChar"/>
    <w:qFormat/>
    <w:rsid w:val="009A770A"/>
    <w:pPr>
      <w:keepNext/>
      <w:numPr>
        <w:numId w:val="9"/>
      </w:numPr>
      <w:tabs>
        <w:tab w:val="clear" w:pos="2552"/>
      </w:tabs>
      <w:ind w:left="0"/>
    </w:pPr>
    <w:rPr>
      <w:b/>
      <w:bCs/>
    </w:rPr>
  </w:style>
  <w:style w:type="paragraph" w:customStyle="1" w:styleId="Graf0">
    <w:name w:val="Graf"/>
    <w:basedOn w:val="Normln"/>
    <w:link w:val="GrafChar"/>
    <w:qFormat/>
    <w:rsid w:val="00243A70"/>
    <w:pPr>
      <w:keepNext/>
      <w:numPr>
        <w:numId w:val="6"/>
      </w:numPr>
      <w:tabs>
        <w:tab w:val="clear" w:pos="1276"/>
        <w:tab w:val="left" w:pos="1134"/>
      </w:tabs>
    </w:pPr>
    <w:rPr>
      <w:rFonts w:eastAsiaTheme="minorHAnsi"/>
      <w:b/>
    </w:rPr>
  </w:style>
  <w:style w:type="paragraph" w:customStyle="1" w:styleId="altNadpis3">
    <w:name w:val="altNadpis3"/>
    <w:basedOn w:val="Normln"/>
    <w:link w:val="altNadpis3Char"/>
    <w:qFormat/>
    <w:rsid w:val="006974E7"/>
    <w:rPr>
      <w:b/>
    </w:rPr>
  </w:style>
  <w:style w:type="character" w:customStyle="1" w:styleId="TabulkaChar">
    <w:name w:val="Tabulka Char"/>
    <w:basedOn w:val="Standardnpsmoodstavce"/>
    <w:link w:val="Tabulka"/>
    <w:rsid w:val="009A770A"/>
    <w:rPr>
      <w:b/>
      <w:bCs/>
      <w:szCs w:val="19"/>
      <w:lang w:val="cs-CZ"/>
    </w:rPr>
  </w:style>
  <w:style w:type="paragraph" w:customStyle="1" w:styleId="altNadpis1">
    <w:name w:val="altNadpis1"/>
    <w:basedOn w:val="Normln"/>
    <w:link w:val="altNadpis1Char"/>
    <w:qFormat/>
    <w:rsid w:val="00264654"/>
    <w:rPr>
      <w:b/>
      <w:color w:val="2E3192"/>
      <w:sz w:val="28"/>
      <w:szCs w:val="28"/>
    </w:rPr>
  </w:style>
  <w:style w:type="numbering" w:customStyle="1" w:styleId="Tabulky">
    <w:name w:val="Tabulky"/>
    <w:uiPriority w:val="99"/>
    <w:rsid w:val="005644CE"/>
    <w:pPr>
      <w:numPr>
        <w:numId w:val="8"/>
      </w:numPr>
    </w:pPr>
  </w:style>
  <w:style w:type="character" w:customStyle="1" w:styleId="GrafChar">
    <w:name w:val="Graf Char"/>
    <w:basedOn w:val="Standardnpsmoodstavce"/>
    <w:link w:val="Graf0"/>
    <w:rsid w:val="00243A70"/>
    <w:rPr>
      <w:rFonts w:eastAsiaTheme="minorHAnsi"/>
      <w:b/>
      <w:szCs w:val="19"/>
      <w:lang w:val="cs-CZ"/>
    </w:rPr>
  </w:style>
  <w:style w:type="paragraph" w:customStyle="1" w:styleId="Odstavecsslem">
    <w:name w:val="Odstavec s číslem"/>
    <w:basedOn w:val="Normln"/>
    <w:link w:val="OdstavecsslemChar"/>
    <w:qFormat/>
    <w:rsid w:val="000C0BF4"/>
    <w:pPr>
      <w:numPr>
        <w:numId w:val="3"/>
      </w:numPr>
      <w:ind w:left="284" w:hanging="284"/>
    </w:pPr>
    <w:rPr>
      <w:bCs/>
    </w:rPr>
  </w:style>
  <w:style w:type="character" w:customStyle="1" w:styleId="altNadpis1Char">
    <w:name w:val="altNadpis1 Char"/>
    <w:basedOn w:val="Standardnpsmoodstavce"/>
    <w:link w:val="altNadpis1"/>
    <w:rsid w:val="00264654"/>
    <w:rPr>
      <w:rFonts w:ascii="Verdana" w:hAnsi="Verdana"/>
      <w:b/>
      <w:color w:val="2E3192"/>
      <w:sz w:val="28"/>
      <w:szCs w:val="28"/>
      <w:lang w:val="cs-CZ"/>
    </w:rPr>
  </w:style>
  <w:style w:type="paragraph" w:customStyle="1" w:styleId="Titul">
    <w:name w:val="Titul"/>
    <w:basedOn w:val="Normln"/>
    <w:link w:val="TitulChar"/>
    <w:qFormat/>
    <w:rsid w:val="00BD50C3"/>
    <w:pPr>
      <w:spacing w:after="23"/>
      <w:jc w:val="left"/>
    </w:pPr>
    <w:rPr>
      <w:b/>
      <w:sz w:val="44"/>
      <w:szCs w:val="44"/>
    </w:rPr>
  </w:style>
  <w:style w:type="character" w:customStyle="1" w:styleId="OdstavecsslemChar">
    <w:name w:val="Odstavec s číslem Char"/>
    <w:basedOn w:val="Standardnpsmoodstavce"/>
    <w:link w:val="Odstavecsslem"/>
    <w:rsid w:val="000C0BF4"/>
    <w:rPr>
      <w:rFonts w:ascii="Verdana" w:hAnsi="Verdana"/>
      <w:bCs/>
      <w:sz w:val="19"/>
      <w:szCs w:val="19"/>
      <w:lang w:val="cs-CZ"/>
    </w:rPr>
  </w:style>
  <w:style w:type="character" w:customStyle="1" w:styleId="KaskdaChar0">
    <w:name w:val="Kaskáda # Char"/>
    <w:basedOn w:val="Standardnpsmoodstavce"/>
    <w:link w:val="Kaskda"/>
    <w:rsid w:val="000C0BF4"/>
    <w:rPr>
      <w:rFonts w:ascii="Verdana" w:hAnsi="Verdana"/>
      <w:noProof/>
      <w:sz w:val="19"/>
      <w:szCs w:val="19"/>
      <w:lang w:val="cs-CZ"/>
    </w:rPr>
  </w:style>
  <w:style w:type="character" w:customStyle="1" w:styleId="TitulChar">
    <w:name w:val="Titul Char"/>
    <w:basedOn w:val="Standardnpsmoodstavce"/>
    <w:link w:val="Titul"/>
    <w:rsid w:val="00BD50C3"/>
    <w:rPr>
      <w:rFonts w:ascii="Verdana" w:hAnsi="Verdana"/>
      <w:b/>
      <w:sz w:val="44"/>
      <w:szCs w:val="44"/>
      <w:lang w:val="cs-CZ"/>
    </w:rPr>
  </w:style>
  <w:style w:type="paragraph" w:customStyle="1" w:styleId="Ploha">
    <w:name w:val="Příloha"/>
    <w:basedOn w:val="Normln"/>
    <w:link w:val="PlohaChar"/>
    <w:qFormat/>
    <w:rsid w:val="00581547"/>
    <w:pPr>
      <w:pageBreakBefore/>
      <w:numPr>
        <w:numId w:val="11"/>
      </w:numPr>
      <w:tabs>
        <w:tab w:val="left" w:pos="1276"/>
      </w:tabs>
    </w:pPr>
    <w:rPr>
      <w:rFonts w:ascii="Calibri" w:hAnsi="Calibri"/>
      <w:b/>
    </w:rPr>
  </w:style>
  <w:style w:type="paragraph" w:customStyle="1" w:styleId="Obrzek">
    <w:name w:val="Obrázek"/>
    <w:basedOn w:val="Graf0"/>
    <w:link w:val="ObrzekChar"/>
    <w:qFormat/>
    <w:rsid w:val="006C49F0"/>
    <w:pPr>
      <w:numPr>
        <w:numId w:val="5"/>
      </w:numPr>
    </w:pPr>
  </w:style>
  <w:style w:type="character" w:customStyle="1" w:styleId="altNadpis3Char">
    <w:name w:val="altNadpis3 Char"/>
    <w:basedOn w:val="Standardnpsmoodstavce"/>
    <w:link w:val="altNadpis3"/>
    <w:rsid w:val="006974E7"/>
    <w:rPr>
      <w:rFonts w:ascii="Verdana" w:hAnsi="Verdana"/>
      <w:b/>
      <w:sz w:val="19"/>
      <w:szCs w:val="19"/>
      <w:lang w:val="cs-CZ"/>
    </w:rPr>
  </w:style>
  <w:style w:type="numbering" w:customStyle="1" w:styleId="Plohy">
    <w:name w:val="Přílohy"/>
    <w:uiPriority w:val="99"/>
    <w:rsid w:val="00E00BB7"/>
    <w:pPr>
      <w:numPr>
        <w:numId w:val="10"/>
      </w:numPr>
    </w:pPr>
  </w:style>
  <w:style w:type="character" w:customStyle="1" w:styleId="ObrzekChar">
    <w:name w:val="Obrázek Char"/>
    <w:basedOn w:val="GrafChar"/>
    <w:link w:val="Obrzek"/>
    <w:rsid w:val="006C49F0"/>
    <w:rPr>
      <w:rFonts w:ascii="Verdana" w:eastAsiaTheme="minorHAnsi" w:hAnsi="Verdana"/>
      <w:b/>
      <w:sz w:val="19"/>
      <w:szCs w:val="19"/>
      <w:lang w:val="cs-CZ"/>
    </w:rPr>
  </w:style>
  <w:style w:type="character" w:customStyle="1" w:styleId="KaskdaChar">
    <w:name w:val="Kaskáda ● Char"/>
    <w:basedOn w:val="Standardnpsmoodstavce"/>
    <w:link w:val="Kaskda0"/>
    <w:rsid w:val="00747F68"/>
    <w:rPr>
      <w:szCs w:val="19"/>
      <w:lang w:val="cs-CZ"/>
    </w:rPr>
  </w:style>
  <w:style w:type="character" w:customStyle="1" w:styleId="PlohaChar">
    <w:name w:val="Příloha Char"/>
    <w:basedOn w:val="Standardnpsmoodstavce"/>
    <w:link w:val="Ploha"/>
    <w:rsid w:val="00581547"/>
    <w:rPr>
      <w:rFonts w:ascii="Calibri" w:hAnsi="Calibri"/>
      <w:b/>
      <w:szCs w:val="19"/>
      <w:lang w:val="cs-CZ"/>
    </w:rPr>
  </w:style>
  <w:style w:type="paragraph" w:customStyle="1" w:styleId="Poznmka">
    <w:name w:val="Poznámka"/>
    <w:basedOn w:val="Normln"/>
    <w:link w:val="PoznmkaChar"/>
    <w:qFormat/>
    <w:rsid w:val="00522B81"/>
    <w:pPr>
      <w:spacing w:before="0" w:after="0"/>
    </w:pPr>
    <w:rPr>
      <w:rFonts w:ascii="Verdana Pro" w:hAnsi="Verdana Pro"/>
      <w:i/>
      <w:sz w:val="16"/>
      <w:szCs w:val="16"/>
    </w:rPr>
  </w:style>
  <w:style w:type="paragraph" w:customStyle="1" w:styleId="KaskdaA">
    <w:name w:val="Kaskáda A"/>
    <w:basedOn w:val="Kaskda"/>
    <w:link w:val="KaskdaAChar"/>
    <w:qFormat/>
    <w:rsid w:val="004F30E4"/>
    <w:pPr>
      <w:numPr>
        <w:numId w:val="14"/>
      </w:numPr>
    </w:pPr>
  </w:style>
  <w:style w:type="character" w:customStyle="1" w:styleId="PoznmkaChar">
    <w:name w:val="Poznámka Char"/>
    <w:basedOn w:val="Standardnpsmoodstavce"/>
    <w:link w:val="Poznmka"/>
    <w:rsid w:val="00522B81"/>
    <w:rPr>
      <w:rFonts w:ascii="Verdana Pro" w:hAnsi="Verdana Pro"/>
      <w:i/>
      <w:sz w:val="16"/>
      <w:szCs w:val="16"/>
      <w:lang w:val="cs-CZ"/>
    </w:rPr>
  </w:style>
  <w:style w:type="numbering" w:customStyle="1" w:styleId="KaskdyA">
    <w:name w:val="Kaskády A"/>
    <w:uiPriority w:val="99"/>
    <w:rsid w:val="004F30E4"/>
    <w:pPr>
      <w:numPr>
        <w:numId w:val="13"/>
      </w:numPr>
    </w:pPr>
  </w:style>
  <w:style w:type="character" w:customStyle="1" w:styleId="KaskdaAChar">
    <w:name w:val="Kaskáda A Char"/>
    <w:basedOn w:val="KaskdaChar0"/>
    <w:link w:val="KaskdaA"/>
    <w:rsid w:val="004F30E4"/>
    <w:rPr>
      <w:rFonts w:ascii="Verdana" w:hAnsi="Verdana"/>
      <w:noProof/>
      <w:sz w:val="19"/>
      <w:szCs w:val="19"/>
      <w:lang w:val="cs-CZ"/>
    </w:rPr>
  </w:style>
  <w:style w:type="paragraph" w:customStyle="1" w:styleId="Zdroj">
    <w:name w:val="Zdroj"/>
    <w:basedOn w:val="Normln"/>
    <w:link w:val="ZdrojChar"/>
    <w:qFormat/>
    <w:rsid w:val="004E434D"/>
    <w:rPr>
      <w:i/>
      <w:sz w:val="16"/>
      <w:szCs w:val="16"/>
    </w:rPr>
  </w:style>
  <w:style w:type="table" w:customStyle="1" w:styleId="AQE">
    <w:name w:val="AQE"/>
    <w:basedOn w:val="Normlntabulka"/>
    <w:uiPriority w:val="99"/>
    <w:rsid w:val="009914E7"/>
    <w:pPr>
      <w:spacing w:after="0" w:line="240" w:lineRule="auto"/>
    </w:pPr>
    <w:rPr>
      <w:rFonts w:ascii="Verdana" w:hAnsi="Verdana"/>
      <w:sz w:val="19"/>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vAlign w:val="center"/>
    </w:tcPr>
    <w:tblStylePr w:type="firstRow">
      <w:rPr>
        <w:rFonts w:ascii="Verdana Pro" w:hAnsi="Verdana Pro"/>
        <w:b/>
        <w:color w:val="FFFFFF" w:themeColor="background1"/>
        <w:sz w:val="19"/>
      </w:rPr>
      <w:tblPr/>
      <w:tcPr>
        <w:shd w:val="clear" w:color="auto" w:fill="2E3192"/>
      </w:tcPr>
    </w:tblStylePr>
  </w:style>
  <w:style w:type="character" w:customStyle="1" w:styleId="ZdrojChar">
    <w:name w:val="Zdroj Char"/>
    <w:basedOn w:val="Standardnpsmoodstavce"/>
    <w:link w:val="Zdroj"/>
    <w:rsid w:val="004E434D"/>
    <w:rPr>
      <w:rFonts w:ascii="Verdana" w:hAnsi="Verdana"/>
      <w:i/>
      <w:sz w:val="16"/>
      <w:szCs w:val="16"/>
      <w:lang w:val="cs-CZ"/>
    </w:rPr>
  </w:style>
  <w:style w:type="paragraph" w:customStyle="1" w:styleId="Poznmka2">
    <w:name w:val="Poznámka 2"/>
    <w:basedOn w:val="Normln"/>
    <w:link w:val="Poznmka2Char"/>
    <w:qFormat/>
    <w:rsid w:val="002850FB"/>
    <w:pPr>
      <w:spacing w:after="0" w:line="360" w:lineRule="auto"/>
    </w:pPr>
    <w:rPr>
      <w:b/>
      <w:sz w:val="20"/>
      <w:szCs w:val="20"/>
    </w:rPr>
  </w:style>
  <w:style w:type="character" w:customStyle="1" w:styleId="Poznmka2Char">
    <w:name w:val="Poznámka 2 Char"/>
    <w:basedOn w:val="Standardnpsmoodstavce"/>
    <w:link w:val="Poznmka2"/>
    <w:rsid w:val="002850FB"/>
    <w:rPr>
      <w:rFonts w:ascii="Verdana" w:hAnsi="Verdana"/>
      <w:b/>
      <w:sz w:val="20"/>
      <w:szCs w:val="20"/>
      <w:lang w:val="cs-CZ"/>
    </w:rPr>
  </w:style>
  <w:style w:type="paragraph" w:styleId="Odstavecseseznamem">
    <w:name w:val="List Paragraph"/>
    <w:basedOn w:val="Normln"/>
    <w:uiPriority w:val="34"/>
    <w:qFormat/>
    <w:rsid w:val="00B01126"/>
    <w:pPr>
      <w:numPr>
        <w:numId w:val="22"/>
      </w:numPr>
      <w:spacing w:after="0" w:line="264" w:lineRule="auto"/>
      <w:contextualSpacing/>
    </w:pPr>
    <w:rPr>
      <w:rFonts w:ascii="Cambria" w:eastAsia="Calibri" w:hAnsi="Cambria" w:cs="Times New Roman"/>
      <w:sz w:val="21"/>
      <w:szCs w:val="24"/>
      <w:lang w:eastAsia="cs-CZ"/>
    </w:rPr>
  </w:style>
  <w:style w:type="paragraph" w:customStyle="1" w:styleId="tabulka0">
    <w:name w:val="tabulka"/>
    <w:basedOn w:val="Normln"/>
    <w:rsid w:val="00B01126"/>
    <w:pPr>
      <w:numPr>
        <w:numId w:val="18"/>
      </w:numPr>
      <w:tabs>
        <w:tab w:val="left" w:pos="1418"/>
      </w:tabs>
      <w:spacing w:before="240" w:after="200" w:line="240" w:lineRule="auto"/>
      <w:ind w:left="357" w:hanging="357"/>
    </w:pPr>
    <w:rPr>
      <w:rFonts w:ascii="Cambria" w:eastAsia="Calibri" w:hAnsi="Cambria" w:cs="Times New Roman"/>
      <w:b/>
      <w:sz w:val="21"/>
      <w:szCs w:val="24"/>
      <w:lang w:eastAsia="cs-CZ"/>
    </w:rPr>
  </w:style>
  <w:style w:type="paragraph" w:customStyle="1" w:styleId="graf">
    <w:name w:val="graf"/>
    <w:basedOn w:val="Normln"/>
    <w:rsid w:val="00B01126"/>
    <w:pPr>
      <w:numPr>
        <w:numId w:val="17"/>
      </w:numPr>
      <w:tabs>
        <w:tab w:val="left" w:pos="1134"/>
      </w:tabs>
      <w:spacing w:before="240" w:after="200" w:line="240" w:lineRule="auto"/>
      <w:ind w:left="0" w:firstLine="0"/>
    </w:pPr>
    <w:rPr>
      <w:rFonts w:ascii="Cambria" w:eastAsiaTheme="minorHAnsi" w:hAnsi="Cambria"/>
      <w:b/>
      <w:sz w:val="21"/>
    </w:rPr>
  </w:style>
  <w:style w:type="character" w:customStyle="1" w:styleId="Bodytext2Bold">
    <w:name w:val="Body text (2) + Bold"/>
    <w:basedOn w:val="Standardnpsmoodstavce"/>
    <w:rsid w:val="00B01126"/>
    <w:rPr>
      <w:b/>
      <w:bCs/>
      <w:sz w:val="13"/>
      <w:szCs w:val="13"/>
      <w:shd w:val="clear" w:color="auto" w:fill="FFFFFF"/>
    </w:rPr>
  </w:style>
  <w:style w:type="paragraph" w:customStyle="1" w:styleId="Text1">
    <w:name w:val="Text1"/>
    <w:basedOn w:val="Normln"/>
    <w:rsid w:val="00B01126"/>
    <w:pPr>
      <w:tabs>
        <w:tab w:val="left" w:pos="993"/>
      </w:tabs>
      <w:spacing w:before="60" w:after="0" w:line="240" w:lineRule="auto"/>
      <w:ind w:left="284" w:firstLine="567"/>
    </w:pPr>
    <w:rPr>
      <w:rFonts w:ascii="Times New Roman" w:eastAsia="Times New Roman" w:hAnsi="Times New Roman" w:cs="Times New Roman"/>
      <w:sz w:val="24"/>
      <w:szCs w:val="20"/>
      <w:lang w:eastAsia="cs-CZ"/>
    </w:rPr>
  </w:style>
  <w:style w:type="paragraph" w:styleId="Zkladntext">
    <w:name w:val="Body Text"/>
    <w:basedOn w:val="Normln"/>
    <w:link w:val="ZkladntextChar"/>
    <w:uiPriority w:val="99"/>
    <w:unhideWhenUsed/>
    <w:rsid w:val="00B01126"/>
    <w:rPr>
      <w:rFonts w:eastAsiaTheme="minorHAnsi"/>
      <w:lang w:val="en-US"/>
    </w:rPr>
  </w:style>
  <w:style w:type="character" w:customStyle="1" w:styleId="ZkladntextChar">
    <w:name w:val="Základní text Char"/>
    <w:basedOn w:val="Standardnpsmoodstavce"/>
    <w:link w:val="Zkladntext"/>
    <w:uiPriority w:val="99"/>
    <w:rsid w:val="00B01126"/>
    <w:rPr>
      <w:rFonts w:eastAsiaTheme="minorHAnsi"/>
    </w:rPr>
  </w:style>
  <w:style w:type="paragraph" w:customStyle="1" w:styleId="Objekt">
    <w:name w:val="Objekt"/>
    <w:basedOn w:val="Normln"/>
    <w:link w:val="ObjektChar"/>
    <w:qFormat/>
    <w:rsid w:val="00747F68"/>
    <w:pPr>
      <w:spacing w:before="0" w:after="0"/>
      <w:jc w:val="left"/>
    </w:pPr>
  </w:style>
  <w:style w:type="character" w:customStyle="1" w:styleId="ObjektChar">
    <w:name w:val="Objekt Char"/>
    <w:basedOn w:val="Standardnpsmoodstavce"/>
    <w:link w:val="Objekt"/>
    <w:rsid w:val="00747F68"/>
    <w:rPr>
      <w:szCs w:val="19"/>
      <w:lang w:val="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492987">
      <w:bodyDiv w:val="1"/>
      <w:marLeft w:val="0"/>
      <w:marRight w:val="0"/>
      <w:marTop w:val="0"/>
      <w:marBottom w:val="0"/>
      <w:divBdr>
        <w:top w:val="none" w:sz="0" w:space="0" w:color="auto"/>
        <w:left w:val="none" w:sz="0" w:space="0" w:color="auto"/>
        <w:bottom w:val="none" w:sz="0" w:space="0" w:color="auto"/>
        <w:right w:val="none" w:sz="0" w:space="0" w:color="auto"/>
      </w:divBdr>
    </w:div>
    <w:div w:id="15887191">
      <w:bodyDiv w:val="1"/>
      <w:marLeft w:val="0"/>
      <w:marRight w:val="0"/>
      <w:marTop w:val="0"/>
      <w:marBottom w:val="0"/>
      <w:divBdr>
        <w:top w:val="none" w:sz="0" w:space="0" w:color="auto"/>
        <w:left w:val="none" w:sz="0" w:space="0" w:color="auto"/>
        <w:bottom w:val="none" w:sz="0" w:space="0" w:color="auto"/>
        <w:right w:val="none" w:sz="0" w:space="0" w:color="auto"/>
      </w:divBdr>
    </w:div>
    <w:div w:id="33359918">
      <w:bodyDiv w:val="1"/>
      <w:marLeft w:val="0"/>
      <w:marRight w:val="0"/>
      <w:marTop w:val="0"/>
      <w:marBottom w:val="0"/>
      <w:divBdr>
        <w:top w:val="none" w:sz="0" w:space="0" w:color="auto"/>
        <w:left w:val="none" w:sz="0" w:space="0" w:color="auto"/>
        <w:bottom w:val="none" w:sz="0" w:space="0" w:color="auto"/>
        <w:right w:val="none" w:sz="0" w:space="0" w:color="auto"/>
      </w:divBdr>
    </w:div>
    <w:div w:id="36664563">
      <w:bodyDiv w:val="1"/>
      <w:marLeft w:val="0"/>
      <w:marRight w:val="0"/>
      <w:marTop w:val="0"/>
      <w:marBottom w:val="0"/>
      <w:divBdr>
        <w:top w:val="none" w:sz="0" w:space="0" w:color="auto"/>
        <w:left w:val="none" w:sz="0" w:space="0" w:color="auto"/>
        <w:bottom w:val="none" w:sz="0" w:space="0" w:color="auto"/>
        <w:right w:val="none" w:sz="0" w:space="0" w:color="auto"/>
      </w:divBdr>
    </w:div>
    <w:div w:id="53506939">
      <w:bodyDiv w:val="1"/>
      <w:marLeft w:val="0"/>
      <w:marRight w:val="0"/>
      <w:marTop w:val="0"/>
      <w:marBottom w:val="0"/>
      <w:divBdr>
        <w:top w:val="none" w:sz="0" w:space="0" w:color="auto"/>
        <w:left w:val="none" w:sz="0" w:space="0" w:color="auto"/>
        <w:bottom w:val="none" w:sz="0" w:space="0" w:color="auto"/>
        <w:right w:val="none" w:sz="0" w:space="0" w:color="auto"/>
      </w:divBdr>
    </w:div>
    <w:div w:id="58794110">
      <w:bodyDiv w:val="1"/>
      <w:marLeft w:val="0"/>
      <w:marRight w:val="0"/>
      <w:marTop w:val="0"/>
      <w:marBottom w:val="0"/>
      <w:divBdr>
        <w:top w:val="none" w:sz="0" w:space="0" w:color="auto"/>
        <w:left w:val="none" w:sz="0" w:space="0" w:color="auto"/>
        <w:bottom w:val="none" w:sz="0" w:space="0" w:color="auto"/>
        <w:right w:val="none" w:sz="0" w:space="0" w:color="auto"/>
      </w:divBdr>
    </w:div>
    <w:div w:id="76560014">
      <w:bodyDiv w:val="1"/>
      <w:marLeft w:val="0"/>
      <w:marRight w:val="0"/>
      <w:marTop w:val="0"/>
      <w:marBottom w:val="0"/>
      <w:divBdr>
        <w:top w:val="none" w:sz="0" w:space="0" w:color="auto"/>
        <w:left w:val="none" w:sz="0" w:space="0" w:color="auto"/>
        <w:bottom w:val="none" w:sz="0" w:space="0" w:color="auto"/>
        <w:right w:val="none" w:sz="0" w:space="0" w:color="auto"/>
      </w:divBdr>
    </w:div>
    <w:div w:id="81533879">
      <w:bodyDiv w:val="1"/>
      <w:marLeft w:val="0"/>
      <w:marRight w:val="0"/>
      <w:marTop w:val="0"/>
      <w:marBottom w:val="0"/>
      <w:divBdr>
        <w:top w:val="none" w:sz="0" w:space="0" w:color="auto"/>
        <w:left w:val="none" w:sz="0" w:space="0" w:color="auto"/>
        <w:bottom w:val="none" w:sz="0" w:space="0" w:color="auto"/>
        <w:right w:val="none" w:sz="0" w:space="0" w:color="auto"/>
      </w:divBdr>
    </w:div>
    <w:div w:id="89394932">
      <w:bodyDiv w:val="1"/>
      <w:marLeft w:val="0"/>
      <w:marRight w:val="0"/>
      <w:marTop w:val="0"/>
      <w:marBottom w:val="0"/>
      <w:divBdr>
        <w:top w:val="none" w:sz="0" w:space="0" w:color="auto"/>
        <w:left w:val="none" w:sz="0" w:space="0" w:color="auto"/>
        <w:bottom w:val="none" w:sz="0" w:space="0" w:color="auto"/>
        <w:right w:val="none" w:sz="0" w:space="0" w:color="auto"/>
      </w:divBdr>
      <w:divsChild>
        <w:div w:id="624190761">
          <w:marLeft w:val="0"/>
          <w:marRight w:val="0"/>
          <w:marTop w:val="0"/>
          <w:marBottom w:val="0"/>
          <w:divBdr>
            <w:top w:val="none" w:sz="0" w:space="0" w:color="auto"/>
            <w:left w:val="none" w:sz="0" w:space="0" w:color="auto"/>
            <w:bottom w:val="none" w:sz="0" w:space="0" w:color="auto"/>
            <w:right w:val="none" w:sz="0" w:space="0" w:color="auto"/>
          </w:divBdr>
          <w:divsChild>
            <w:div w:id="1126046746">
              <w:marLeft w:val="0"/>
              <w:marRight w:val="0"/>
              <w:marTop w:val="0"/>
              <w:marBottom w:val="0"/>
              <w:divBdr>
                <w:top w:val="none" w:sz="0" w:space="0" w:color="auto"/>
                <w:left w:val="none" w:sz="0" w:space="0" w:color="auto"/>
                <w:bottom w:val="none" w:sz="0" w:space="0" w:color="auto"/>
                <w:right w:val="none" w:sz="0" w:space="0" w:color="auto"/>
              </w:divBdr>
              <w:divsChild>
                <w:div w:id="119762710">
                  <w:marLeft w:val="0"/>
                  <w:marRight w:val="0"/>
                  <w:marTop w:val="0"/>
                  <w:marBottom w:val="0"/>
                  <w:divBdr>
                    <w:top w:val="none" w:sz="0" w:space="0" w:color="auto"/>
                    <w:left w:val="none" w:sz="0" w:space="0" w:color="auto"/>
                    <w:bottom w:val="none" w:sz="0" w:space="0" w:color="auto"/>
                    <w:right w:val="none" w:sz="0" w:space="0" w:color="auto"/>
                  </w:divBdr>
                  <w:divsChild>
                    <w:div w:id="338196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305284">
      <w:bodyDiv w:val="1"/>
      <w:marLeft w:val="0"/>
      <w:marRight w:val="0"/>
      <w:marTop w:val="0"/>
      <w:marBottom w:val="0"/>
      <w:divBdr>
        <w:top w:val="none" w:sz="0" w:space="0" w:color="auto"/>
        <w:left w:val="none" w:sz="0" w:space="0" w:color="auto"/>
        <w:bottom w:val="none" w:sz="0" w:space="0" w:color="auto"/>
        <w:right w:val="none" w:sz="0" w:space="0" w:color="auto"/>
      </w:divBdr>
    </w:div>
    <w:div w:id="168325963">
      <w:bodyDiv w:val="1"/>
      <w:marLeft w:val="0"/>
      <w:marRight w:val="0"/>
      <w:marTop w:val="0"/>
      <w:marBottom w:val="0"/>
      <w:divBdr>
        <w:top w:val="none" w:sz="0" w:space="0" w:color="auto"/>
        <w:left w:val="none" w:sz="0" w:space="0" w:color="auto"/>
        <w:bottom w:val="none" w:sz="0" w:space="0" w:color="auto"/>
        <w:right w:val="none" w:sz="0" w:space="0" w:color="auto"/>
      </w:divBdr>
    </w:div>
    <w:div w:id="177474112">
      <w:bodyDiv w:val="1"/>
      <w:marLeft w:val="0"/>
      <w:marRight w:val="0"/>
      <w:marTop w:val="0"/>
      <w:marBottom w:val="0"/>
      <w:divBdr>
        <w:top w:val="none" w:sz="0" w:space="0" w:color="auto"/>
        <w:left w:val="none" w:sz="0" w:space="0" w:color="auto"/>
        <w:bottom w:val="none" w:sz="0" w:space="0" w:color="auto"/>
        <w:right w:val="none" w:sz="0" w:space="0" w:color="auto"/>
      </w:divBdr>
    </w:div>
    <w:div w:id="178743828">
      <w:bodyDiv w:val="1"/>
      <w:marLeft w:val="0"/>
      <w:marRight w:val="0"/>
      <w:marTop w:val="0"/>
      <w:marBottom w:val="0"/>
      <w:divBdr>
        <w:top w:val="none" w:sz="0" w:space="0" w:color="auto"/>
        <w:left w:val="none" w:sz="0" w:space="0" w:color="auto"/>
        <w:bottom w:val="none" w:sz="0" w:space="0" w:color="auto"/>
        <w:right w:val="none" w:sz="0" w:space="0" w:color="auto"/>
      </w:divBdr>
    </w:div>
    <w:div w:id="218631761">
      <w:bodyDiv w:val="1"/>
      <w:marLeft w:val="0"/>
      <w:marRight w:val="0"/>
      <w:marTop w:val="0"/>
      <w:marBottom w:val="0"/>
      <w:divBdr>
        <w:top w:val="none" w:sz="0" w:space="0" w:color="auto"/>
        <w:left w:val="none" w:sz="0" w:space="0" w:color="auto"/>
        <w:bottom w:val="none" w:sz="0" w:space="0" w:color="auto"/>
        <w:right w:val="none" w:sz="0" w:space="0" w:color="auto"/>
      </w:divBdr>
    </w:div>
    <w:div w:id="257952869">
      <w:bodyDiv w:val="1"/>
      <w:marLeft w:val="0"/>
      <w:marRight w:val="0"/>
      <w:marTop w:val="0"/>
      <w:marBottom w:val="0"/>
      <w:divBdr>
        <w:top w:val="none" w:sz="0" w:space="0" w:color="auto"/>
        <w:left w:val="none" w:sz="0" w:space="0" w:color="auto"/>
        <w:bottom w:val="none" w:sz="0" w:space="0" w:color="auto"/>
        <w:right w:val="none" w:sz="0" w:space="0" w:color="auto"/>
      </w:divBdr>
    </w:div>
    <w:div w:id="259457746">
      <w:bodyDiv w:val="1"/>
      <w:marLeft w:val="0"/>
      <w:marRight w:val="0"/>
      <w:marTop w:val="0"/>
      <w:marBottom w:val="0"/>
      <w:divBdr>
        <w:top w:val="none" w:sz="0" w:space="0" w:color="auto"/>
        <w:left w:val="none" w:sz="0" w:space="0" w:color="auto"/>
        <w:bottom w:val="none" w:sz="0" w:space="0" w:color="auto"/>
        <w:right w:val="none" w:sz="0" w:space="0" w:color="auto"/>
      </w:divBdr>
    </w:div>
    <w:div w:id="282268667">
      <w:bodyDiv w:val="1"/>
      <w:marLeft w:val="0"/>
      <w:marRight w:val="0"/>
      <w:marTop w:val="0"/>
      <w:marBottom w:val="0"/>
      <w:divBdr>
        <w:top w:val="none" w:sz="0" w:space="0" w:color="auto"/>
        <w:left w:val="none" w:sz="0" w:space="0" w:color="auto"/>
        <w:bottom w:val="none" w:sz="0" w:space="0" w:color="auto"/>
        <w:right w:val="none" w:sz="0" w:space="0" w:color="auto"/>
      </w:divBdr>
    </w:div>
    <w:div w:id="318314598">
      <w:bodyDiv w:val="1"/>
      <w:marLeft w:val="0"/>
      <w:marRight w:val="0"/>
      <w:marTop w:val="0"/>
      <w:marBottom w:val="0"/>
      <w:divBdr>
        <w:top w:val="none" w:sz="0" w:space="0" w:color="auto"/>
        <w:left w:val="none" w:sz="0" w:space="0" w:color="auto"/>
        <w:bottom w:val="none" w:sz="0" w:space="0" w:color="auto"/>
        <w:right w:val="none" w:sz="0" w:space="0" w:color="auto"/>
      </w:divBdr>
    </w:div>
    <w:div w:id="342097931">
      <w:bodyDiv w:val="1"/>
      <w:marLeft w:val="0"/>
      <w:marRight w:val="0"/>
      <w:marTop w:val="0"/>
      <w:marBottom w:val="0"/>
      <w:divBdr>
        <w:top w:val="none" w:sz="0" w:space="0" w:color="auto"/>
        <w:left w:val="none" w:sz="0" w:space="0" w:color="auto"/>
        <w:bottom w:val="none" w:sz="0" w:space="0" w:color="auto"/>
        <w:right w:val="none" w:sz="0" w:space="0" w:color="auto"/>
      </w:divBdr>
    </w:div>
    <w:div w:id="404886074">
      <w:bodyDiv w:val="1"/>
      <w:marLeft w:val="0"/>
      <w:marRight w:val="0"/>
      <w:marTop w:val="0"/>
      <w:marBottom w:val="0"/>
      <w:divBdr>
        <w:top w:val="none" w:sz="0" w:space="0" w:color="auto"/>
        <w:left w:val="none" w:sz="0" w:space="0" w:color="auto"/>
        <w:bottom w:val="none" w:sz="0" w:space="0" w:color="auto"/>
        <w:right w:val="none" w:sz="0" w:space="0" w:color="auto"/>
      </w:divBdr>
    </w:div>
    <w:div w:id="414518388">
      <w:bodyDiv w:val="1"/>
      <w:marLeft w:val="0"/>
      <w:marRight w:val="0"/>
      <w:marTop w:val="0"/>
      <w:marBottom w:val="0"/>
      <w:divBdr>
        <w:top w:val="none" w:sz="0" w:space="0" w:color="auto"/>
        <w:left w:val="none" w:sz="0" w:space="0" w:color="auto"/>
        <w:bottom w:val="none" w:sz="0" w:space="0" w:color="auto"/>
        <w:right w:val="none" w:sz="0" w:space="0" w:color="auto"/>
      </w:divBdr>
    </w:div>
    <w:div w:id="446237052">
      <w:bodyDiv w:val="1"/>
      <w:marLeft w:val="0"/>
      <w:marRight w:val="0"/>
      <w:marTop w:val="0"/>
      <w:marBottom w:val="0"/>
      <w:divBdr>
        <w:top w:val="none" w:sz="0" w:space="0" w:color="auto"/>
        <w:left w:val="none" w:sz="0" w:space="0" w:color="auto"/>
        <w:bottom w:val="none" w:sz="0" w:space="0" w:color="auto"/>
        <w:right w:val="none" w:sz="0" w:space="0" w:color="auto"/>
      </w:divBdr>
    </w:div>
    <w:div w:id="466241650">
      <w:bodyDiv w:val="1"/>
      <w:marLeft w:val="0"/>
      <w:marRight w:val="0"/>
      <w:marTop w:val="0"/>
      <w:marBottom w:val="0"/>
      <w:divBdr>
        <w:top w:val="none" w:sz="0" w:space="0" w:color="auto"/>
        <w:left w:val="none" w:sz="0" w:space="0" w:color="auto"/>
        <w:bottom w:val="none" w:sz="0" w:space="0" w:color="auto"/>
        <w:right w:val="none" w:sz="0" w:space="0" w:color="auto"/>
      </w:divBdr>
    </w:div>
    <w:div w:id="472254099">
      <w:bodyDiv w:val="1"/>
      <w:marLeft w:val="0"/>
      <w:marRight w:val="0"/>
      <w:marTop w:val="0"/>
      <w:marBottom w:val="0"/>
      <w:divBdr>
        <w:top w:val="none" w:sz="0" w:space="0" w:color="auto"/>
        <w:left w:val="none" w:sz="0" w:space="0" w:color="auto"/>
        <w:bottom w:val="none" w:sz="0" w:space="0" w:color="auto"/>
        <w:right w:val="none" w:sz="0" w:space="0" w:color="auto"/>
      </w:divBdr>
    </w:div>
    <w:div w:id="478696301">
      <w:bodyDiv w:val="1"/>
      <w:marLeft w:val="0"/>
      <w:marRight w:val="0"/>
      <w:marTop w:val="0"/>
      <w:marBottom w:val="0"/>
      <w:divBdr>
        <w:top w:val="none" w:sz="0" w:space="0" w:color="auto"/>
        <w:left w:val="none" w:sz="0" w:space="0" w:color="auto"/>
        <w:bottom w:val="none" w:sz="0" w:space="0" w:color="auto"/>
        <w:right w:val="none" w:sz="0" w:space="0" w:color="auto"/>
      </w:divBdr>
    </w:div>
    <w:div w:id="495147532">
      <w:bodyDiv w:val="1"/>
      <w:marLeft w:val="0"/>
      <w:marRight w:val="0"/>
      <w:marTop w:val="0"/>
      <w:marBottom w:val="0"/>
      <w:divBdr>
        <w:top w:val="none" w:sz="0" w:space="0" w:color="auto"/>
        <w:left w:val="none" w:sz="0" w:space="0" w:color="auto"/>
        <w:bottom w:val="none" w:sz="0" w:space="0" w:color="auto"/>
        <w:right w:val="none" w:sz="0" w:space="0" w:color="auto"/>
      </w:divBdr>
    </w:div>
    <w:div w:id="515197178">
      <w:bodyDiv w:val="1"/>
      <w:marLeft w:val="0"/>
      <w:marRight w:val="0"/>
      <w:marTop w:val="0"/>
      <w:marBottom w:val="0"/>
      <w:divBdr>
        <w:top w:val="none" w:sz="0" w:space="0" w:color="auto"/>
        <w:left w:val="none" w:sz="0" w:space="0" w:color="auto"/>
        <w:bottom w:val="none" w:sz="0" w:space="0" w:color="auto"/>
        <w:right w:val="none" w:sz="0" w:space="0" w:color="auto"/>
      </w:divBdr>
    </w:div>
    <w:div w:id="553658380">
      <w:bodyDiv w:val="1"/>
      <w:marLeft w:val="0"/>
      <w:marRight w:val="0"/>
      <w:marTop w:val="0"/>
      <w:marBottom w:val="0"/>
      <w:divBdr>
        <w:top w:val="none" w:sz="0" w:space="0" w:color="auto"/>
        <w:left w:val="none" w:sz="0" w:space="0" w:color="auto"/>
        <w:bottom w:val="none" w:sz="0" w:space="0" w:color="auto"/>
        <w:right w:val="none" w:sz="0" w:space="0" w:color="auto"/>
      </w:divBdr>
    </w:div>
    <w:div w:id="567960034">
      <w:bodyDiv w:val="1"/>
      <w:marLeft w:val="0"/>
      <w:marRight w:val="0"/>
      <w:marTop w:val="0"/>
      <w:marBottom w:val="0"/>
      <w:divBdr>
        <w:top w:val="none" w:sz="0" w:space="0" w:color="auto"/>
        <w:left w:val="none" w:sz="0" w:space="0" w:color="auto"/>
        <w:bottom w:val="none" w:sz="0" w:space="0" w:color="auto"/>
        <w:right w:val="none" w:sz="0" w:space="0" w:color="auto"/>
      </w:divBdr>
    </w:div>
    <w:div w:id="569118913">
      <w:bodyDiv w:val="1"/>
      <w:marLeft w:val="0"/>
      <w:marRight w:val="0"/>
      <w:marTop w:val="0"/>
      <w:marBottom w:val="0"/>
      <w:divBdr>
        <w:top w:val="none" w:sz="0" w:space="0" w:color="auto"/>
        <w:left w:val="none" w:sz="0" w:space="0" w:color="auto"/>
        <w:bottom w:val="none" w:sz="0" w:space="0" w:color="auto"/>
        <w:right w:val="none" w:sz="0" w:space="0" w:color="auto"/>
      </w:divBdr>
    </w:div>
    <w:div w:id="577521079">
      <w:bodyDiv w:val="1"/>
      <w:marLeft w:val="0"/>
      <w:marRight w:val="0"/>
      <w:marTop w:val="0"/>
      <w:marBottom w:val="0"/>
      <w:divBdr>
        <w:top w:val="none" w:sz="0" w:space="0" w:color="auto"/>
        <w:left w:val="none" w:sz="0" w:space="0" w:color="auto"/>
        <w:bottom w:val="none" w:sz="0" w:space="0" w:color="auto"/>
        <w:right w:val="none" w:sz="0" w:space="0" w:color="auto"/>
      </w:divBdr>
    </w:div>
    <w:div w:id="585388052">
      <w:bodyDiv w:val="1"/>
      <w:marLeft w:val="0"/>
      <w:marRight w:val="0"/>
      <w:marTop w:val="0"/>
      <w:marBottom w:val="0"/>
      <w:divBdr>
        <w:top w:val="none" w:sz="0" w:space="0" w:color="auto"/>
        <w:left w:val="none" w:sz="0" w:space="0" w:color="auto"/>
        <w:bottom w:val="none" w:sz="0" w:space="0" w:color="auto"/>
        <w:right w:val="none" w:sz="0" w:space="0" w:color="auto"/>
      </w:divBdr>
    </w:div>
    <w:div w:id="593441347">
      <w:bodyDiv w:val="1"/>
      <w:marLeft w:val="0"/>
      <w:marRight w:val="0"/>
      <w:marTop w:val="0"/>
      <w:marBottom w:val="0"/>
      <w:divBdr>
        <w:top w:val="none" w:sz="0" w:space="0" w:color="auto"/>
        <w:left w:val="none" w:sz="0" w:space="0" w:color="auto"/>
        <w:bottom w:val="none" w:sz="0" w:space="0" w:color="auto"/>
        <w:right w:val="none" w:sz="0" w:space="0" w:color="auto"/>
      </w:divBdr>
    </w:div>
    <w:div w:id="594050121">
      <w:bodyDiv w:val="1"/>
      <w:marLeft w:val="0"/>
      <w:marRight w:val="0"/>
      <w:marTop w:val="0"/>
      <w:marBottom w:val="0"/>
      <w:divBdr>
        <w:top w:val="none" w:sz="0" w:space="0" w:color="auto"/>
        <w:left w:val="none" w:sz="0" w:space="0" w:color="auto"/>
        <w:bottom w:val="none" w:sz="0" w:space="0" w:color="auto"/>
        <w:right w:val="none" w:sz="0" w:space="0" w:color="auto"/>
      </w:divBdr>
    </w:div>
    <w:div w:id="595750414">
      <w:bodyDiv w:val="1"/>
      <w:marLeft w:val="0"/>
      <w:marRight w:val="0"/>
      <w:marTop w:val="0"/>
      <w:marBottom w:val="0"/>
      <w:divBdr>
        <w:top w:val="none" w:sz="0" w:space="0" w:color="auto"/>
        <w:left w:val="none" w:sz="0" w:space="0" w:color="auto"/>
        <w:bottom w:val="none" w:sz="0" w:space="0" w:color="auto"/>
        <w:right w:val="none" w:sz="0" w:space="0" w:color="auto"/>
      </w:divBdr>
    </w:div>
    <w:div w:id="603537065">
      <w:bodyDiv w:val="1"/>
      <w:marLeft w:val="0"/>
      <w:marRight w:val="0"/>
      <w:marTop w:val="0"/>
      <w:marBottom w:val="0"/>
      <w:divBdr>
        <w:top w:val="none" w:sz="0" w:space="0" w:color="auto"/>
        <w:left w:val="none" w:sz="0" w:space="0" w:color="auto"/>
        <w:bottom w:val="none" w:sz="0" w:space="0" w:color="auto"/>
        <w:right w:val="none" w:sz="0" w:space="0" w:color="auto"/>
      </w:divBdr>
    </w:div>
    <w:div w:id="611202557">
      <w:bodyDiv w:val="1"/>
      <w:marLeft w:val="0"/>
      <w:marRight w:val="0"/>
      <w:marTop w:val="0"/>
      <w:marBottom w:val="0"/>
      <w:divBdr>
        <w:top w:val="none" w:sz="0" w:space="0" w:color="auto"/>
        <w:left w:val="none" w:sz="0" w:space="0" w:color="auto"/>
        <w:bottom w:val="none" w:sz="0" w:space="0" w:color="auto"/>
        <w:right w:val="none" w:sz="0" w:space="0" w:color="auto"/>
      </w:divBdr>
    </w:div>
    <w:div w:id="614410725">
      <w:bodyDiv w:val="1"/>
      <w:marLeft w:val="0"/>
      <w:marRight w:val="0"/>
      <w:marTop w:val="0"/>
      <w:marBottom w:val="0"/>
      <w:divBdr>
        <w:top w:val="none" w:sz="0" w:space="0" w:color="auto"/>
        <w:left w:val="none" w:sz="0" w:space="0" w:color="auto"/>
        <w:bottom w:val="none" w:sz="0" w:space="0" w:color="auto"/>
        <w:right w:val="none" w:sz="0" w:space="0" w:color="auto"/>
      </w:divBdr>
    </w:div>
    <w:div w:id="638731662">
      <w:bodyDiv w:val="1"/>
      <w:marLeft w:val="0"/>
      <w:marRight w:val="0"/>
      <w:marTop w:val="0"/>
      <w:marBottom w:val="0"/>
      <w:divBdr>
        <w:top w:val="none" w:sz="0" w:space="0" w:color="auto"/>
        <w:left w:val="none" w:sz="0" w:space="0" w:color="auto"/>
        <w:bottom w:val="none" w:sz="0" w:space="0" w:color="auto"/>
        <w:right w:val="none" w:sz="0" w:space="0" w:color="auto"/>
      </w:divBdr>
    </w:div>
    <w:div w:id="672878010">
      <w:bodyDiv w:val="1"/>
      <w:marLeft w:val="0"/>
      <w:marRight w:val="0"/>
      <w:marTop w:val="0"/>
      <w:marBottom w:val="0"/>
      <w:divBdr>
        <w:top w:val="none" w:sz="0" w:space="0" w:color="auto"/>
        <w:left w:val="none" w:sz="0" w:space="0" w:color="auto"/>
        <w:bottom w:val="none" w:sz="0" w:space="0" w:color="auto"/>
        <w:right w:val="none" w:sz="0" w:space="0" w:color="auto"/>
      </w:divBdr>
    </w:div>
    <w:div w:id="687801566">
      <w:bodyDiv w:val="1"/>
      <w:marLeft w:val="0"/>
      <w:marRight w:val="0"/>
      <w:marTop w:val="0"/>
      <w:marBottom w:val="0"/>
      <w:divBdr>
        <w:top w:val="none" w:sz="0" w:space="0" w:color="auto"/>
        <w:left w:val="none" w:sz="0" w:space="0" w:color="auto"/>
        <w:bottom w:val="none" w:sz="0" w:space="0" w:color="auto"/>
        <w:right w:val="none" w:sz="0" w:space="0" w:color="auto"/>
      </w:divBdr>
    </w:div>
    <w:div w:id="695227718">
      <w:bodyDiv w:val="1"/>
      <w:marLeft w:val="0"/>
      <w:marRight w:val="0"/>
      <w:marTop w:val="0"/>
      <w:marBottom w:val="0"/>
      <w:divBdr>
        <w:top w:val="none" w:sz="0" w:space="0" w:color="auto"/>
        <w:left w:val="none" w:sz="0" w:space="0" w:color="auto"/>
        <w:bottom w:val="none" w:sz="0" w:space="0" w:color="auto"/>
        <w:right w:val="none" w:sz="0" w:space="0" w:color="auto"/>
      </w:divBdr>
    </w:div>
    <w:div w:id="714043138">
      <w:bodyDiv w:val="1"/>
      <w:marLeft w:val="0"/>
      <w:marRight w:val="0"/>
      <w:marTop w:val="0"/>
      <w:marBottom w:val="0"/>
      <w:divBdr>
        <w:top w:val="none" w:sz="0" w:space="0" w:color="auto"/>
        <w:left w:val="none" w:sz="0" w:space="0" w:color="auto"/>
        <w:bottom w:val="none" w:sz="0" w:space="0" w:color="auto"/>
        <w:right w:val="none" w:sz="0" w:space="0" w:color="auto"/>
      </w:divBdr>
    </w:div>
    <w:div w:id="742527640">
      <w:bodyDiv w:val="1"/>
      <w:marLeft w:val="0"/>
      <w:marRight w:val="0"/>
      <w:marTop w:val="0"/>
      <w:marBottom w:val="0"/>
      <w:divBdr>
        <w:top w:val="none" w:sz="0" w:space="0" w:color="auto"/>
        <w:left w:val="none" w:sz="0" w:space="0" w:color="auto"/>
        <w:bottom w:val="none" w:sz="0" w:space="0" w:color="auto"/>
        <w:right w:val="none" w:sz="0" w:space="0" w:color="auto"/>
      </w:divBdr>
    </w:div>
    <w:div w:id="770126751">
      <w:bodyDiv w:val="1"/>
      <w:marLeft w:val="0"/>
      <w:marRight w:val="0"/>
      <w:marTop w:val="0"/>
      <w:marBottom w:val="0"/>
      <w:divBdr>
        <w:top w:val="none" w:sz="0" w:space="0" w:color="auto"/>
        <w:left w:val="none" w:sz="0" w:space="0" w:color="auto"/>
        <w:bottom w:val="none" w:sz="0" w:space="0" w:color="auto"/>
        <w:right w:val="none" w:sz="0" w:space="0" w:color="auto"/>
      </w:divBdr>
    </w:div>
    <w:div w:id="789787250">
      <w:bodyDiv w:val="1"/>
      <w:marLeft w:val="0"/>
      <w:marRight w:val="0"/>
      <w:marTop w:val="0"/>
      <w:marBottom w:val="0"/>
      <w:divBdr>
        <w:top w:val="none" w:sz="0" w:space="0" w:color="auto"/>
        <w:left w:val="none" w:sz="0" w:space="0" w:color="auto"/>
        <w:bottom w:val="none" w:sz="0" w:space="0" w:color="auto"/>
        <w:right w:val="none" w:sz="0" w:space="0" w:color="auto"/>
      </w:divBdr>
    </w:div>
    <w:div w:id="805706956">
      <w:bodyDiv w:val="1"/>
      <w:marLeft w:val="0"/>
      <w:marRight w:val="0"/>
      <w:marTop w:val="0"/>
      <w:marBottom w:val="0"/>
      <w:divBdr>
        <w:top w:val="none" w:sz="0" w:space="0" w:color="auto"/>
        <w:left w:val="none" w:sz="0" w:space="0" w:color="auto"/>
        <w:bottom w:val="none" w:sz="0" w:space="0" w:color="auto"/>
        <w:right w:val="none" w:sz="0" w:space="0" w:color="auto"/>
      </w:divBdr>
    </w:div>
    <w:div w:id="828059614">
      <w:bodyDiv w:val="1"/>
      <w:marLeft w:val="0"/>
      <w:marRight w:val="0"/>
      <w:marTop w:val="0"/>
      <w:marBottom w:val="0"/>
      <w:divBdr>
        <w:top w:val="none" w:sz="0" w:space="0" w:color="auto"/>
        <w:left w:val="none" w:sz="0" w:space="0" w:color="auto"/>
        <w:bottom w:val="none" w:sz="0" w:space="0" w:color="auto"/>
        <w:right w:val="none" w:sz="0" w:space="0" w:color="auto"/>
      </w:divBdr>
    </w:div>
    <w:div w:id="840391823">
      <w:bodyDiv w:val="1"/>
      <w:marLeft w:val="0"/>
      <w:marRight w:val="0"/>
      <w:marTop w:val="0"/>
      <w:marBottom w:val="0"/>
      <w:divBdr>
        <w:top w:val="none" w:sz="0" w:space="0" w:color="auto"/>
        <w:left w:val="none" w:sz="0" w:space="0" w:color="auto"/>
        <w:bottom w:val="none" w:sz="0" w:space="0" w:color="auto"/>
        <w:right w:val="none" w:sz="0" w:space="0" w:color="auto"/>
      </w:divBdr>
    </w:div>
    <w:div w:id="842934429">
      <w:bodyDiv w:val="1"/>
      <w:marLeft w:val="0"/>
      <w:marRight w:val="0"/>
      <w:marTop w:val="0"/>
      <w:marBottom w:val="0"/>
      <w:divBdr>
        <w:top w:val="none" w:sz="0" w:space="0" w:color="auto"/>
        <w:left w:val="none" w:sz="0" w:space="0" w:color="auto"/>
        <w:bottom w:val="none" w:sz="0" w:space="0" w:color="auto"/>
        <w:right w:val="none" w:sz="0" w:space="0" w:color="auto"/>
      </w:divBdr>
    </w:div>
    <w:div w:id="858156791">
      <w:bodyDiv w:val="1"/>
      <w:marLeft w:val="0"/>
      <w:marRight w:val="0"/>
      <w:marTop w:val="0"/>
      <w:marBottom w:val="0"/>
      <w:divBdr>
        <w:top w:val="none" w:sz="0" w:space="0" w:color="auto"/>
        <w:left w:val="none" w:sz="0" w:space="0" w:color="auto"/>
        <w:bottom w:val="none" w:sz="0" w:space="0" w:color="auto"/>
        <w:right w:val="none" w:sz="0" w:space="0" w:color="auto"/>
      </w:divBdr>
    </w:div>
    <w:div w:id="929851886">
      <w:bodyDiv w:val="1"/>
      <w:marLeft w:val="0"/>
      <w:marRight w:val="0"/>
      <w:marTop w:val="0"/>
      <w:marBottom w:val="0"/>
      <w:divBdr>
        <w:top w:val="none" w:sz="0" w:space="0" w:color="auto"/>
        <w:left w:val="none" w:sz="0" w:space="0" w:color="auto"/>
        <w:bottom w:val="none" w:sz="0" w:space="0" w:color="auto"/>
        <w:right w:val="none" w:sz="0" w:space="0" w:color="auto"/>
      </w:divBdr>
    </w:div>
    <w:div w:id="956059559">
      <w:bodyDiv w:val="1"/>
      <w:marLeft w:val="0"/>
      <w:marRight w:val="0"/>
      <w:marTop w:val="0"/>
      <w:marBottom w:val="0"/>
      <w:divBdr>
        <w:top w:val="none" w:sz="0" w:space="0" w:color="auto"/>
        <w:left w:val="none" w:sz="0" w:space="0" w:color="auto"/>
        <w:bottom w:val="none" w:sz="0" w:space="0" w:color="auto"/>
        <w:right w:val="none" w:sz="0" w:space="0" w:color="auto"/>
      </w:divBdr>
    </w:div>
    <w:div w:id="991762822">
      <w:bodyDiv w:val="1"/>
      <w:marLeft w:val="0"/>
      <w:marRight w:val="0"/>
      <w:marTop w:val="0"/>
      <w:marBottom w:val="0"/>
      <w:divBdr>
        <w:top w:val="none" w:sz="0" w:space="0" w:color="auto"/>
        <w:left w:val="none" w:sz="0" w:space="0" w:color="auto"/>
        <w:bottom w:val="none" w:sz="0" w:space="0" w:color="auto"/>
        <w:right w:val="none" w:sz="0" w:space="0" w:color="auto"/>
      </w:divBdr>
    </w:div>
    <w:div w:id="1007177907">
      <w:bodyDiv w:val="1"/>
      <w:marLeft w:val="0"/>
      <w:marRight w:val="0"/>
      <w:marTop w:val="0"/>
      <w:marBottom w:val="0"/>
      <w:divBdr>
        <w:top w:val="none" w:sz="0" w:space="0" w:color="auto"/>
        <w:left w:val="none" w:sz="0" w:space="0" w:color="auto"/>
        <w:bottom w:val="none" w:sz="0" w:space="0" w:color="auto"/>
        <w:right w:val="none" w:sz="0" w:space="0" w:color="auto"/>
      </w:divBdr>
    </w:div>
    <w:div w:id="1035229807">
      <w:bodyDiv w:val="1"/>
      <w:marLeft w:val="0"/>
      <w:marRight w:val="0"/>
      <w:marTop w:val="0"/>
      <w:marBottom w:val="0"/>
      <w:divBdr>
        <w:top w:val="none" w:sz="0" w:space="0" w:color="auto"/>
        <w:left w:val="none" w:sz="0" w:space="0" w:color="auto"/>
        <w:bottom w:val="none" w:sz="0" w:space="0" w:color="auto"/>
        <w:right w:val="none" w:sz="0" w:space="0" w:color="auto"/>
      </w:divBdr>
    </w:div>
    <w:div w:id="1044257262">
      <w:bodyDiv w:val="1"/>
      <w:marLeft w:val="0"/>
      <w:marRight w:val="0"/>
      <w:marTop w:val="0"/>
      <w:marBottom w:val="0"/>
      <w:divBdr>
        <w:top w:val="none" w:sz="0" w:space="0" w:color="auto"/>
        <w:left w:val="none" w:sz="0" w:space="0" w:color="auto"/>
        <w:bottom w:val="none" w:sz="0" w:space="0" w:color="auto"/>
        <w:right w:val="none" w:sz="0" w:space="0" w:color="auto"/>
      </w:divBdr>
    </w:div>
    <w:div w:id="1062211103">
      <w:bodyDiv w:val="1"/>
      <w:marLeft w:val="0"/>
      <w:marRight w:val="0"/>
      <w:marTop w:val="0"/>
      <w:marBottom w:val="0"/>
      <w:divBdr>
        <w:top w:val="none" w:sz="0" w:space="0" w:color="auto"/>
        <w:left w:val="none" w:sz="0" w:space="0" w:color="auto"/>
        <w:bottom w:val="none" w:sz="0" w:space="0" w:color="auto"/>
        <w:right w:val="none" w:sz="0" w:space="0" w:color="auto"/>
      </w:divBdr>
    </w:div>
    <w:div w:id="1068960266">
      <w:bodyDiv w:val="1"/>
      <w:marLeft w:val="0"/>
      <w:marRight w:val="0"/>
      <w:marTop w:val="0"/>
      <w:marBottom w:val="0"/>
      <w:divBdr>
        <w:top w:val="none" w:sz="0" w:space="0" w:color="auto"/>
        <w:left w:val="none" w:sz="0" w:space="0" w:color="auto"/>
        <w:bottom w:val="none" w:sz="0" w:space="0" w:color="auto"/>
        <w:right w:val="none" w:sz="0" w:space="0" w:color="auto"/>
      </w:divBdr>
    </w:div>
    <w:div w:id="1096054623">
      <w:bodyDiv w:val="1"/>
      <w:marLeft w:val="0"/>
      <w:marRight w:val="0"/>
      <w:marTop w:val="0"/>
      <w:marBottom w:val="0"/>
      <w:divBdr>
        <w:top w:val="none" w:sz="0" w:space="0" w:color="auto"/>
        <w:left w:val="none" w:sz="0" w:space="0" w:color="auto"/>
        <w:bottom w:val="none" w:sz="0" w:space="0" w:color="auto"/>
        <w:right w:val="none" w:sz="0" w:space="0" w:color="auto"/>
      </w:divBdr>
    </w:div>
    <w:div w:id="1096832059">
      <w:bodyDiv w:val="1"/>
      <w:marLeft w:val="0"/>
      <w:marRight w:val="0"/>
      <w:marTop w:val="0"/>
      <w:marBottom w:val="0"/>
      <w:divBdr>
        <w:top w:val="none" w:sz="0" w:space="0" w:color="auto"/>
        <w:left w:val="none" w:sz="0" w:space="0" w:color="auto"/>
        <w:bottom w:val="none" w:sz="0" w:space="0" w:color="auto"/>
        <w:right w:val="none" w:sz="0" w:space="0" w:color="auto"/>
      </w:divBdr>
    </w:div>
    <w:div w:id="1098257264">
      <w:bodyDiv w:val="1"/>
      <w:marLeft w:val="0"/>
      <w:marRight w:val="0"/>
      <w:marTop w:val="0"/>
      <w:marBottom w:val="0"/>
      <w:divBdr>
        <w:top w:val="none" w:sz="0" w:space="0" w:color="auto"/>
        <w:left w:val="none" w:sz="0" w:space="0" w:color="auto"/>
        <w:bottom w:val="none" w:sz="0" w:space="0" w:color="auto"/>
        <w:right w:val="none" w:sz="0" w:space="0" w:color="auto"/>
      </w:divBdr>
    </w:div>
    <w:div w:id="1107887859">
      <w:bodyDiv w:val="1"/>
      <w:marLeft w:val="0"/>
      <w:marRight w:val="0"/>
      <w:marTop w:val="0"/>
      <w:marBottom w:val="0"/>
      <w:divBdr>
        <w:top w:val="none" w:sz="0" w:space="0" w:color="auto"/>
        <w:left w:val="none" w:sz="0" w:space="0" w:color="auto"/>
        <w:bottom w:val="none" w:sz="0" w:space="0" w:color="auto"/>
        <w:right w:val="none" w:sz="0" w:space="0" w:color="auto"/>
      </w:divBdr>
    </w:div>
    <w:div w:id="1135485825">
      <w:bodyDiv w:val="1"/>
      <w:marLeft w:val="0"/>
      <w:marRight w:val="0"/>
      <w:marTop w:val="0"/>
      <w:marBottom w:val="0"/>
      <w:divBdr>
        <w:top w:val="none" w:sz="0" w:space="0" w:color="auto"/>
        <w:left w:val="none" w:sz="0" w:space="0" w:color="auto"/>
        <w:bottom w:val="none" w:sz="0" w:space="0" w:color="auto"/>
        <w:right w:val="none" w:sz="0" w:space="0" w:color="auto"/>
      </w:divBdr>
    </w:div>
    <w:div w:id="1197548252">
      <w:bodyDiv w:val="1"/>
      <w:marLeft w:val="0"/>
      <w:marRight w:val="0"/>
      <w:marTop w:val="0"/>
      <w:marBottom w:val="0"/>
      <w:divBdr>
        <w:top w:val="none" w:sz="0" w:space="0" w:color="auto"/>
        <w:left w:val="none" w:sz="0" w:space="0" w:color="auto"/>
        <w:bottom w:val="none" w:sz="0" w:space="0" w:color="auto"/>
        <w:right w:val="none" w:sz="0" w:space="0" w:color="auto"/>
      </w:divBdr>
    </w:div>
    <w:div w:id="1258518347">
      <w:bodyDiv w:val="1"/>
      <w:marLeft w:val="0"/>
      <w:marRight w:val="0"/>
      <w:marTop w:val="0"/>
      <w:marBottom w:val="0"/>
      <w:divBdr>
        <w:top w:val="none" w:sz="0" w:space="0" w:color="auto"/>
        <w:left w:val="none" w:sz="0" w:space="0" w:color="auto"/>
        <w:bottom w:val="none" w:sz="0" w:space="0" w:color="auto"/>
        <w:right w:val="none" w:sz="0" w:space="0" w:color="auto"/>
      </w:divBdr>
    </w:div>
    <w:div w:id="1266428081">
      <w:bodyDiv w:val="1"/>
      <w:marLeft w:val="0"/>
      <w:marRight w:val="0"/>
      <w:marTop w:val="0"/>
      <w:marBottom w:val="0"/>
      <w:divBdr>
        <w:top w:val="none" w:sz="0" w:space="0" w:color="auto"/>
        <w:left w:val="none" w:sz="0" w:space="0" w:color="auto"/>
        <w:bottom w:val="none" w:sz="0" w:space="0" w:color="auto"/>
        <w:right w:val="none" w:sz="0" w:space="0" w:color="auto"/>
      </w:divBdr>
    </w:div>
    <w:div w:id="1273365490">
      <w:bodyDiv w:val="1"/>
      <w:marLeft w:val="0"/>
      <w:marRight w:val="0"/>
      <w:marTop w:val="0"/>
      <w:marBottom w:val="0"/>
      <w:divBdr>
        <w:top w:val="none" w:sz="0" w:space="0" w:color="auto"/>
        <w:left w:val="none" w:sz="0" w:space="0" w:color="auto"/>
        <w:bottom w:val="none" w:sz="0" w:space="0" w:color="auto"/>
        <w:right w:val="none" w:sz="0" w:space="0" w:color="auto"/>
      </w:divBdr>
    </w:div>
    <w:div w:id="1298144384">
      <w:bodyDiv w:val="1"/>
      <w:marLeft w:val="0"/>
      <w:marRight w:val="0"/>
      <w:marTop w:val="0"/>
      <w:marBottom w:val="0"/>
      <w:divBdr>
        <w:top w:val="none" w:sz="0" w:space="0" w:color="auto"/>
        <w:left w:val="none" w:sz="0" w:space="0" w:color="auto"/>
        <w:bottom w:val="none" w:sz="0" w:space="0" w:color="auto"/>
        <w:right w:val="none" w:sz="0" w:space="0" w:color="auto"/>
      </w:divBdr>
    </w:div>
    <w:div w:id="1298757252">
      <w:bodyDiv w:val="1"/>
      <w:marLeft w:val="0"/>
      <w:marRight w:val="0"/>
      <w:marTop w:val="0"/>
      <w:marBottom w:val="0"/>
      <w:divBdr>
        <w:top w:val="none" w:sz="0" w:space="0" w:color="auto"/>
        <w:left w:val="none" w:sz="0" w:space="0" w:color="auto"/>
        <w:bottom w:val="none" w:sz="0" w:space="0" w:color="auto"/>
        <w:right w:val="none" w:sz="0" w:space="0" w:color="auto"/>
      </w:divBdr>
    </w:div>
    <w:div w:id="1309937781">
      <w:bodyDiv w:val="1"/>
      <w:marLeft w:val="0"/>
      <w:marRight w:val="0"/>
      <w:marTop w:val="0"/>
      <w:marBottom w:val="0"/>
      <w:divBdr>
        <w:top w:val="none" w:sz="0" w:space="0" w:color="auto"/>
        <w:left w:val="none" w:sz="0" w:space="0" w:color="auto"/>
        <w:bottom w:val="none" w:sz="0" w:space="0" w:color="auto"/>
        <w:right w:val="none" w:sz="0" w:space="0" w:color="auto"/>
      </w:divBdr>
    </w:div>
    <w:div w:id="1316297055">
      <w:bodyDiv w:val="1"/>
      <w:marLeft w:val="0"/>
      <w:marRight w:val="0"/>
      <w:marTop w:val="0"/>
      <w:marBottom w:val="0"/>
      <w:divBdr>
        <w:top w:val="none" w:sz="0" w:space="0" w:color="auto"/>
        <w:left w:val="none" w:sz="0" w:space="0" w:color="auto"/>
        <w:bottom w:val="none" w:sz="0" w:space="0" w:color="auto"/>
        <w:right w:val="none" w:sz="0" w:space="0" w:color="auto"/>
      </w:divBdr>
    </w:div>
    <w:div w:id="1385519111">
      <w:bodyDiv w:val="1"/>
      <w:marLeft w:val="0"/>
      <w:marRight w:val="0"/>
      <w:marTop w:val="0"/>
      <w:marBottom w:val="0"/>
      <w:divBdr>
        <w:top w:val="none" w:sz="0" w:space="0" w:color="auto"/>
        <w:left w:val="none" w:sz="0" w:space="0" w:color="auto"/>
        <w:bottom w:val="none" w:sz="0" w:space="0" w:color="auto"/>
        <w:right w:val="none" w:sz="0" w:space="0" w:color="auto"/>
      </w:divBdr>
    </w:div>
    <w:div w:id="1396900131">
      <w:bodyDiv w:val="1"/>
      <w:marLeft w:val="0"/>
      <w:marRight w:val="0"/>
      <w:marTop w:val="0"/>
      <w:marBottom w:val="0"/>
      <w:divBdr>
        <w:top w:val="none" w:sz="0" w:space="0" w:color="auto"/>
        <w:left w:val="none" w:sz="0" w:space="0" w:color="auto"/>
        <w:bottom w:val="none" w:sz="0" w:space="0" w:color="auto"/>
        <w:right w:val="none" w:sz="0" w:space="0" w:color="auto"/>
      </w:divBdr>
    </w:div>
    <w:div w:id="1439983982">
      <w:bodyDiv w:val="1"/>
      <w:marLeft w:val="0"/>
      <w:marRight w:val="0"/>
      <w:marTop w:val="0"/>
      <w:marBottom w:val="0"/>
      <w:divBdr>
        <w:top w:val="none" w:sz="0" w:space="0" w:color="auto"/>
        <w:left w:val="none" w:sz="0" w:space="0" w:color="auto"/>
        <w:bottom w:val="none" w:sz="0" w:space="0" w:color="auto"/>
        <w:right w:val="none" w:sz="0" w:space="0" w:color="auto"/>
      </w:divBdr>
    </w:div>
    <w:div w:id="1442341522">
      <w:bodyDiv w:val="1"/>
      <w:marLeft w:val="0"/>
      <w:marRight w:val="0"/>
      <w:marTop w:val="0"/>
      <w:marBottom w:val="0"/>
      <w:divBdr>
        <w:top w:val="none" w:sz="0" w:space="0" w:color="auto"/>
        <w:left w:val="none" w:sz="0" w:space="0" w:color="auto"/>
        <w:bottom w:val="none" w:sz="0" w:space="0" w:color="auto"/>
        <w:right w:val="none" w:sz="0" w:space="0" w:color="auto"/>
      </w:divBdr>
    </w:div>
    <w:div w:id="1450129674">
      <w:bodyDiv w:val="1"/>
      <w:marLeft w:val="0"/>
      <w:marRight w:val="0"/>
      <w:marTop w:val="0"/>
      <w:marBottom w:val="0"/>
      <w:divBdr>
        <w:top w:val="none" w:sz="0" w:space="0" w:color="auto"/>
        <w:left w:val="none" w:sz="0" w:space="0" w:color="auto"/>
        <w:bottom w:val="none" w:sz="0" w:space="0" w:color="auto"/>
        <w:right w:val="none" w:sz="0" w:space="0" w:color="auto"/>
      </w:divBdr>
      <w:divsChild>
        <w:div w:id="376246522">
          <w:marLeft w:val="274"/>
          <w:marRight w:val="0"/>
          <w:marTop w:val="0"/>
          <w:marBottom w:val="0"/>
          <w:divBdr>
            <w:top w:val="none" w:sz="0" w:space="0" w:color="auto"/>
            <w:left w:val="none" w:sz="0" w:space="0" w:color="auto"/>
            <w:bottom w:val="none" w:sz="0" w:space="0" w:color="auto"/>
            <w:right w:val="none" w:sz="0" w:space="0" w:color="auto"/>
          </w:divBdr>
        </w:div>
        <w:div w:id="500776971">
          <w:marLeft w:val="274"/>
          <w:marRight w:val="0"/>
          <w:marTop w:val="0"/>
          <w:marBottom w:val="0"/>
          <w:divBdr>
            <w:top w:val="none" w:sz="0" w:space="0" w:color="auto"/>
            <w:left w:val="none" w:sz="0" w:space="0" w:color="auto"/>
            <w:bottom w:val="none" w:sz="0" w:space="0" w:color="auto"/>
            <w:right w:val="none" w:sz="0" w:space="0" w:color="auto"/>
          </w:divBdr>
        </w:div>
        <w:div w:id="1396391546">
          <w:marLeft w:val="274"/>
          <w:marRight w:val="0"/>
          <w:marTop w:val="0"/>
          <w:marBottom w:val="0"/>
          <w:divBdr>
            <w:top w:val="none" w:sz="0" w:space="0" w:color="auto"/>
            <w:left w:val="none" w:sz="0" w:space="0" w:color="auto"/>
            <w:bottom w:val="none" w:sz="0" w:space="0" w:color="auto"/>
            <w:right w:val="none" w:sz="0" w:space="0" w:color="auto"/>
          </w:divBdr>
        </w:div>
        <w:div w:id="2076586003">
          <w:marLeft w:val="274"/>
          <w:marRight w:val="0"/>
          <w:marTop w:val="0"/>
          <w:marBottom w:val="0"/>
          <w:divBdr>
            <w:top w:val="none" w:sz="0" w:space="0" w:color="auto"/>
            <w:left w:val="none" w:sz="0" w:space="0" w:color="auto"/>
            <w:bottom w:val="none" w:sz="0" w:space="0" w:color="auto"/>
            <w:right w:val="none" w:sz="0" w:space="0" w:color="auto"/>
          </w:divBdr>
        </w:div>
        <w:div w:id="2093113216">
          <w:marLeft w:val="274"/>
          <w:marRight w:val="0"/>
          <w:marTop w:val="0"/>
          <w:marBottom w:val="0"/>
          <w:divBdr>
            <w:top w:val="none" w:sz="0" w:space="0" w:color="auto"/>
            <w:left w:val="none" w:sz="0" w:space="0" w:color="auto"/>
            <w:bottom w:val="none" w:sz="0" w:space="0" w:color="auto"/>
            <w:right w:val="none" w:sz="0" w:space="0" w:color="auto"/>
          </w:divBdr>
        </w:div>
      </w:divsChild>
    </w:div>
    <w:div w:id="1455099108">
      <w:bodyDiv w:val="1"/>
      <w:marLeft w:val="0"/>
      <w:marRight w:val="0"/>
      <w:marTop w:val="0"/>
      <w:marBottom w:val="0"/>
      <w:divBdr>
        <w:top w:val="none" w:sz="0" w:space="0" w:color="auto"/>
        <w:left w:val="none" w:sz="0" w:space="0" w:color="auto"/>
        <w:bottom w:val="none" w:sz="0" w:space="0" w:color="auto"/>
        <w:right w:val="none" w:sz="0" w:space="0" w:color="auto"/>
      </w:divBdr>
    </w:div>
    <w:div w:id="1480997512">
      <w:bodyDiv w:val="1"/>
      <w:marLeft w:val="0"/>
      <w:marRight w:val="0"/>
      <w:marTop w:val="0"/>
      <w:marBottom w:val="0"/>
      <w:divBdr>
        <w:top w:val="none" w:sz="0" w:space="0" w:color="auto"/>
        <w:left w:val="none" w:sz="0" w:space="0" w:color="auto"/>
        <w:bottom w:val="none" w:sz="0" w:space="0" w:color="auto"/>
        <w:right w:val="none" w:sz="0" w:space="0" w:color="auto"/>
      </w:divBdr>
    </w:div>
    <w:div w:id="1500317176">
      <w:bodyDiv w:val="1"/>
      <w:marLeft w:val="0"/>
      <w:marRight w:val="0"/>
      <w:marTop w:val="0"/>
      <w:marBottom w:val="0"/>
      <w:divBdr>
        <w:top w:val="none" w:sz="0" w:space="0" w:color="auto"/>
        <w:left w:val="none" w:sz="0" w:space="0" w:color="auto"/>
        <w:bottom w:val="none" w:sz="0" w:space="0" w:color="auto"/>
        <w:right w:val="none" w:sz="0" w:space="0" w:color="auto"/>
      </w:divBdr>
    </w:div>
    <w:div w:id="1514566531">
      <w:bodyDiv w:val="1"/>
      <w:marLeft w:val="0"/>
      <w:marRight w:val="0"/>
      <w:marTop w:val="0"/>
      <w:marBottom w:val="0"/>
      <w:divBdr>
        <w:top w:val="none" w:sz="0" w:space="0" w:color="auto"/>
        <w:left w:val="none" w:sz="0" w:space="0" w:color="auto"/>
        <w:bottom w:val="none" w:sz="0" w:space="0" w:color="auto"/>
        <w:right w:val="none" w:sz="0" w:space="0" w:color="auto"/>
      </w:divBdr>
    </w:div>
    <w:div w:id="1514609186">
      <w:bodyDiv w:val="1"/>
      <w:marLeft w:val="0"/>
      <w:marRight w:val="0"/>
      <w:marTop w:val="0"/>
      <w:marBottom w:val="0"/>
      <w:divBdr>
        <w:top w:val="none" w:sz="0" w:space="0" w:color="auto"/>
        <w:left w:val="none" w:sz="0" w:space="0" w:color="auto"/>
        <w:bottom w:val="none" w:sz="0" w:space="0" w:color="auto"/>
        <w:right w:val="none" w:sz="0" w:space="0" w:color="auto"/>
      </w:divBdr>
    </w:div>
    <w:div w:id="1558931327">
      <w:bodyDiv w:val="1"/>
      <w:marLeft w:val="0"/>
      <w:marRight w:val="0"/>
      <w:marTop w:val="0"/>
      <w:marBottom w:val="0"/>
      <w:divBdr>
        <w:top w:val="none" w:sz="0" w:space="0" w:color="auto"/>
        <w:left w:val="none" w:sz="0" w:space="0" w:color="auto"/>
        <w:bottom w:val="none" w:sz="0" w:space="0" w:color="auto"/>
        <w:right w:val="none" w:sz="0" w:space="0" w:color="auto"/>
      </w:divBdr>
    </w:div>
    <w:div w:id="1592087716">
      <w:bodyDiv w:val="1"/>
      <w:marLeft w:val="0"/>
      <w:marRight w:val="0"/>
      <w:marTop w:val="0"/>
      <w:marBottom w:val="0"/>
      <w:divBdr>
        <w:top w:val="none" w:sz="0" w:space="0" w:color="auto"/>
        <w:left w:val="none" w:sz="0" w:space="0" w:color="auto"/>
        <w:bottom w:val="none" w:sz="0" w:space="0" w:color="auto"/>
        <w:right w:val="none" w:sz="0" w:space="0" w:color="auto"/>
      </w:divBdr>
    </w:div>
    <w:div w:id="1631591930">
      <w:bodyDiv w:val="1"/>
      <w:marLeft w:val="0"/>
      <w:marRight w:val="0"/>
      <w:marTop w:val="0"/>
      <w:marBottom w:val="0"/>
      <w:divBdr>
        <w:top w:val="none" w:sz="0" w:space="0" w:color="auto"/>
        <w:left w:val="none" w:sz="0" w:space="0" w:color="auto"/>
        <w:bottom w:val="none" w:sz="0" w:space="0" w:color="auto"/>
        <w:right w:val="none" w:sz="0" w:space="0" w:color="auto"/>
      </w:divBdr>
    </w:div>
    <w:div w:id="1632441028">
      <w:bodyDiv w:val="1"/>
      <w:marLeft w:val="0"/>
      <w:marRight w:val="0"/>
      <w:marTop w:val="0"/>
      <w:marBottom w:val="0"/>
      <w:divBdr>
        <w:top w:val="none" w:sz="0" w:space="0" w:color="auto"/>
        <w:left w:val="none" w:sz="0" w:space="0" w:color="auto"/>
        <w:bottom w:val="none" w:sz="0" w:space="0" w:color="auto"/>
        <w:right w:val="none" w:sz="0" w:space="0" w:color="auto"/>
      </w:divBdr>
    </w:div>
    <w:div w:id="1665280148">
      <w:bodyDiv w:val="1"/>
      <w:marLeft w:val="0"/>
      <w:marRight w:val="0"/>
      <w:marTop w:val="0"/>
      <w:marBottom w:val="0"/>
      <w:divBdr>
        <w:top w:val="none" w:sz="0" w:space="0" w:color="auto"/>
        <w:left w:val="none" w:sz="0" w:space="0" w:color="auto"/>
        <w:bottom w:val="none" w:sz="0" w:space="0" w:color="auto"/>
        <w:right w:val="none" w:sz="0" w:space="0" w:color="auto"/>
      </w:divBdr>
      <w:divsChild>
        <w:div w:id="1593316890">
          <w:marLeft w:val="0"/>
          <w:marRight w:val="0"/>
          <w:marTop w:val="0"/>
          <w:marBottom w:val="0"/>
          <w:divBdr>
            <w:top w:val="none" w:sz="0" w:space="0" w:color="auto"/>
            <w:left w:val="none" w:sz="0" w:space="0" w:color="auto"/>
            <w:bottom w:val="none" w:sz="0" w:space="0" w:color="auto"/>
            <w:right w:val="none" w:sz="0" w:space="0" w:color="auto"/>
          </w:divBdr>
          <w:divsChild>
            <w:div w:id="1466310287">
              <w:marLeft w:val="0"/>
              <w:marRight w:val="0"/>
              <w:marTop w:val="0"/>
              <w:marBottom w:val="0"/>
              <w:divBdr>
                <w:top w:val="none" w:sz="0" w:space="0" w:color="auto"/>
                <w:left w:val="none" w:sz="0" w:space="0" w:color="auto"/>
                <w:bottom w:val="none" w:sz="0" w:space="0" w:color="auto"/>
                <w:right w:val="none" w:sz="0" w:space="0" w:color="auto"/>
              </w:divBdr>
              <w:divsChild>
                <w:div w:id="935942663">
                  <w:marLeft w:val="0"/>
                  <w:marRight w:val="0"/>
                  <w:marTop w:val="0"/>
                  <w:marBottom w:val="0"/>
                  <w:divBdr>
                    <w:top w:val="none" w:sz="0" w:space="0" w:color="auto"/>
                    <w:left w:val="none" w:sz="0" w:space="0" w:color="auto"/>
                    <w:bottom w:val="none" w:sz="0" w:space="0" w:color="auto"/>
                    <w:right w:val="none" w:sz="0" w:space="0" w:color="auto"/>
                  </w:divBdr>
                  <w:divsChild>
                    <w:div w:id="755715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7054380">
      <w:bodyDiv w:val="1"/>
      <w:marLeft w:val="0"/>
      <w:marRight w:val="0"/>
      <w:marTop w:val="0"/>
      <w:marBottom w:val="0"/>
      <w:divBdr>
        <w:top w:val="none" w:sz="0" w:space="0" w:color="auto"/>
        <w:left w:val="none" w:sz="0" w:space="0" w:color="auto"/>
        <w:bottom w:val="none" w:sz="0" w:space="0" w:color="auto"/>
        <w:right w:val="none" w:sz="0" w:space="0" w:color="auto"/>
      </w:divBdr>
    </w:div>
    <w:div w:id="1710690856">
      <w:bodyDiv w:val="1"/>
      <w:marLeft w:val="0"/>
      <w:marRight w:val="0"/>
      <w:marTop w:val="0"/>
      <w:marBottom w:val="0"/>
      <w:divBdr>
        <w:top w:val="none" w:sz="0" w:space="0" w:color="auto"/>
        <w:left w:val="none" w:sz="0" w:space="0" w:color="auto"/>
        <w:bottom w:val="none" w:sz="0" w:space="0" w:color="auto"/>
        <w:right w:val="none" w:sz="0" w:space="0" w:color="auto"/>
      </w:divBdr>
    </w:div>
    <w:div w:id="1729257150">
      <w:bodyDiv w:val="1"/>
      <w:marLeft w:val="0"/>
      <w:marRight w:val="0"/>
      <w:marTop w:val="0"/>
      <w:marBottom w:val="0"/>
      <w:divBdr>
        <w:top w:val="none" w:sz="0" w:space="0" w:color="auto"/>
        <w:left w:val="none" w:sz="0" w:space="0" w:color="auto"/>
        <w:bottom w:val="none" w:sz="0" w:space="0" w:color="auto"/>
        <w:right w:val="none" w:sz="0" w:space="0" w:color="auto"/>
      </w:divBdr>
    </w:div>
    <w:div w:id="1733768022">
      <w:bodyDiv w:val="1"/>
      <w:marLeft w:val="0"/>
      <w:marRight w:val="0"/>
      <w:marTop w:val="0"/>
      <w:marBottom w:val="0"/>
      <w:divBdr>
        <w:top w:val="none" w:sz="0" w:space="0" w:color="auto"/>
        <w:left w:val="none" w:sz="0" w:space="0" w:color="auto"/>
        <w:bottom w:val="none" w:sz="0" w:space="0" w:color="auto"/>
        <w:right w:val="none" w:sz="0" w:space="0" w:color="auto"/>
      </w:divBdr>
    </w:div>
    <w:div w:id="1734964940">
      <w:bodyDiv w:val="1"/>
      <w:marLeft w:val="0"/>
      <w:marRight w:val="0"/>
      <w:marTop w:val="0"/>
      <w:marBottom w:val="0"/>
      <w:divBdr>
        <w:top w:val="none" w:sz="0" w:space="0" w:color="auto"/>
        <w:left w:val="none" w:sz="0" w:space="0" w:color="auto"/>
        <w:bottom w:val="none" w:sz="0" w:space="0" w:color="auto"/>
        <w:right w:val="none" w:sz="0" w:space="0" w:color="auto"/>
      </w:divBdr>
    </w:div>
    <w:div w:id="1739476268">
      <w:bodyDiv w:val="1"/>
      <w:marLeft w:val="0"/>
      <w:marRight w:val="0"/>
      <w:marTop w:val="0"/>
      <w:marBottom w:val="0"/>
      <w:divBdr>
        <w:top w:val="none" w:sz="0" w:space="0" w:color="auto"/>
        <w:left w:val="none" w:sz="0" w:space="0" w:color="auto"/>
        <w:bottom w:val="none" w:sz="0" w:space="0" w:color="auto"/>
        <w:right w:val="none" w:sz="0" w:space="0" w:color="auto"/>
      </w:divBdr>
    </w:div>
    <w:div w:id="1747877417">
      <w:bodyDiv w:val="1"/>
      <w:marLeft w:val="0"/>
      <w:marRight w:val="0"/>
      <w:marTop w:val="0"/>
      <w:marBottom w:val="0"/>
      <w:divBdr>
        <w:top w:val="none" w:sz="0" w:space="0" w:color="auto"/>
        <w:left w:val="none" w:sz="0" w:space="0" w:color="auto"/>
        <w:bottom w:val="none" w:sz="0" w:space="0" w:color="auto"/>
        <w:right w:val="none" w:sz="0" w:space="0" w:color="auto"/>
      </w:divBdr>
    </w:div>
    <w:div w:id="1755273873">
      <w:bodyDiv w:val="1"/>
      <w:marLeft w:val="0"/>
      <w:marRight w:val="0"/>
      <w:marTop w:val="0"/>
      <w:marBottom w:val="0"/>
      <w:divBdr>
        <w:top w:val="none" w:sz="0" w:space="0" w:color="auto"/>
        <w:left w:val="none" w:sz="0" w:space="0" w:color="auto"/>
        <w:bottom w:val="none" w:sz="0" w:space="0" w:color="auto"/>
        <w:right w:val="none" w:sz="0" w:space="0" w:color="auto"/>
      </w:divBdr>
    </w:div>
    <w:div w:id="1805006109">
      <w:bodyDiv w:val="1"/>
      <w:marLeft w:val="0"/>
      <w:marRight w:val="0"/>
      <w:marTop w:val="0"/>
      <w:marBottom w:val="0"/>
      <w:divBdr>
        <w:top w:val="none" w:sz="0" w:space="0" w:color="auto"/>
        <w:left w:val="none" w:sz="0" w:space="0" w:color="auto"/>
        <w:bottom w:val="none" w:sz="0" w:space="0" w:color="auto"/>
        <w:right w:val="none" w:sz="0" w:space="0" w:color="auto"/>
      </w:divBdr>
    </w:div>
    <w:div w:id="1818690639">
      <w:bodyDiv w:val="1"/>
      <w:marLeft w:val="0"/>
      <w:marRight w:val="0"/>
      <w:marTop w:val="0"/>
      <w:marBottom w:val="0"/>
      <w:divBdr>
        <w:top w:val="none" w:sz="0" w:space="0" w:color="auto"/>
        <w:left w:val="none" w:sz="0" w:space="0" w:color="auto"/>
        <w:bottom w:val="none" w:sz="0" w:space="0" w:color="auto"/>
        <w:right w:val="none" w:sz="0" w:space="0" w:color="auto"/>
      </w:divBdr>
    </w:div>
    <w:div w:id="1821992423">
      <w:bodyDiv w:val="1"/>
      <w:marLeft w:val="0"/>
      <w:marRight w:val="0"/>
      <w:marTop w:val="0"/>
      <w:marBottom w:val="0"/>
      <w:divBdr>
        <w:top w:val="none" w:sz="0" w:space="0" w:color="auto"/>
        <w:left w:val="none" w:sz="0" w:space="0" w:color="auto"/>
        <w:bottom w:val="none" w:sz="0" w:space="0" w:color="auto"/>
        <w:right w:val="none" w:sz="0" w:space="0" w:color="auto"/>
      </w:divBdr>
    </w:div>
    <w:div w:id="1823348344">
      <w:bodyDiv w:val="1"/>
      <w:marLeft w:val="0"/>
      <w:marRight w:val="0"/>
      <w:marTop w:val="0"/>
      <w:marBottom w:val="0"/>
      <w:divBdr>
        <w:top w:val="none" w:sz="0" w:space="0" w:color="auto"/>
        <w:left w:val="none" w:sz="0" w:space="0" w:color="auto"/>
        <w:bottom w:val="none" w:sz="0" w:space="0" w:color="auto"/>
        <w:right w:val="none" w:sz="0" w:space="0" w:color="auto"/>
      </w:divBdr>
    </w:div>
    <w:div w:id="1826969073">
      <w:bodyDiv w:val="1"/>
      <w:marLeft w:val="0"/>
      <w:marRight w:val="0"/>
      <w:marTop w:val="0"/>
      <w:marBottom w:val="0"/>
      <w:divBdr>
        <w:top w:val="none" w:sz="0" w:space="0" w:color="auto"/>
        <w:left w:val="none" w:sz="0" w:space="0" w:color="auto"/>
        <w:bottom w:val="none" w:sz="0" w:space="0" w:color="auto"/>
        <w:right w:val="none" w:sz="0" w:space="0" w:color="auto"/>
      </w:divBdr>
    </w:div>
    <w:div w:id="1832331739">
      <w:bodyDiv w:val="1"/>
      <w:marLeft w:val="0"/>
      <w:marRight w:val="0"/>
      <w:marTop w:val="0"/>
      <w:marBottom w:val="0"/>
      <w:divBdr>
        <w:top w:val="none" w:sz="0" w:space="0" w:color="auto"/>
        <w:left w:val="none" w:sz="0" w:space="0" w:color="auto"/>
        <w:bottom w:val="none" w:sz="0" w:space="0" w:color="auto"/>
        <w:right w:val="none" w:sz="0" w:space="0" w:color="auto"/>
      </w:divBdr>
    </w:div>
    <w:div w:id="1854953371">
      <w:bodyDiv w:val="1"/>
      <w:marLeft w:val="0"/>
      <w:marRight w:val="0"/>
      <w:marTop w:val="0"/>
      <w:marBottom w:val="0"/>
      <w:divBdr>
        <w:top w:val="none" w:sz="0" w:space="0" w:color="auto"/>
        <w:left w:val="none" w:sz="0" w:space="0" w:color="auto"/>
        <w:bottom w:val="none" w:sz="0" w:space="0" w:color="auto"/>
        <w:right w:val="none" w:sz="0" w:space="0" w:color="auto"/>
      </w:divBdr>
    </w:div>
    <w:div w:id="1871795253">
      <w:bodyDiv w:val="1"/>
      <w:marLeft w:val="0"/>
      <w:marRight w:val="0"/>
      <w:marTop w:val="0"/>
      <w:marBottom w:val="0"/>
      <w:divBdr>
        <w:top w:val="none" w:sz="0" w:space="0" w:color="auto"/>
        <w:left w:val="none" w:sz="0" w:space="0" w:color="auto"/>
        <w:bottom w:val="none" w:sz="0" w:space="0" w:color="auto"/>
        <w:right w:val="none" w:sz="0" w:space="0" w:color="auto"/>
      </w:divBdr>
    </w:div>
    <w:div w:id="1877962733">
      <w:bodyDiv w:val="1"/>
      <w:marLeft w:val="0"/>
      <w:marRight w:val="0"/>
      <w:marTop w:val="0"/>
      <w:marBottom w:val="0"/>
      <w:divBdr>
        <w:top w:val="none" w:sz="0" w:space="0" w:color="auto"/>
        <w:left w:val="none" w:sz="0" w:space="0" w:color="auto"/>
        <w:bottom w:val="none" w:sz="0" w:space="0" w:color="auto"/>
        <w:right w:val="none" w:sz="0" w:space="0" w:color="auto"/>
      </w:divBdr>
    </w:div>
    <w:div w:id="1885366324">
      <w:bodyDiv w:val="1"/>
      <w:marLeft w:val="0"/>
      <w:marRight w:val="0"/>
      <w:marTop w:val="0"/>
      <w:marBottom w:val="0"/>
      <w:divBdr>
        <w:top w:val="none" w:sz="0" w:space="0" w:color="auto"/>
        <w:left w:val="none" w:sz="0" w:space="0" w:color="auto"/>
        <w:bottom w:val="none" w:sz="0" w:space="0" w:color="auto"/>
        <w:right w:val="none" w:sz="0" w:space="0" w:color="auto"/>
      </w:divBdr>
    </w:div>
    <w:div w:id="1895579994">
      <w:bodyDiv w:val="1"/>
      <w:marLeft w:val="0"/>
      <w:marRight w:val="0"/>
      <w:marTop w:val="0"/>
      <w:marBottom w:val="0"/>
      <w:divBdr>
        <w:top w:val="none" w:sz="0" w:space="0" w:color="auto"/>
        <w:left w:val="none" w:sz="0" w:space="0" w:color="auto"/>
        <w:bottom w:val="none" w:sz="0" w:space="0" w:color="auto"/>
        <w:right w:val="none" w:sz="0" w:space="0" w:color="auto"/>
      </w:divBdr>
    </w:div>
    <w:div w:id="1898399405">
      <w:bodyDiv w:val="1"/>
      <w:marLeft w:val="0"/>
      <w:marRight w:val="0"/>
      <w:marTop w:val="0"/>
      <w:marBottom w:val="0"/>
      <w:divBdr>
        <w:top w:val="none" w:sz="0" w:space="0" w:color="auto"/>
        <w:left w:val="none" w:sz="0" w:space="0" w:color="auto"/>
        <w:bottom w:val="none" w:sz="0" w:space="0" w:color="auto"/>
        <w:right w:val="none" w:sz="0" w:space="0" w:color="auto"/>
      </w:divBdr>
    </w:div>
    <w:div w:id="1898782198">
      <w:bodyDiv w:val="1"/>
      <w:marLeft w:val="0"/>
      <w:marRight w:val="0"/>
      <w:marTop w:val="0"/>
      <w:marBottom w:val="0"/>
      <w:divBdr>
        <w:top w:val="none" w:sz="0" w:space="0" w:color="auto"/>
        <w:left w:val="none" w:sz="0" w:space="0" w:color="auto"/>
        <w:bottom w:val="none" w:sz="0" w:space="0" w:color="auto"/>
        <w:right w:val="none" w:sz="0" w:space="0" w:color="auto"/>
      </w:divBdr>
    </w:div>
    <w:div w:id="1902249679">
      <w:bodyDiv w:val="1"/>
      <w:marLeft w:val="0"/>
      <w:marRight w:val="0"/>
      <w:marTop w:val="0"/>
      <w:marBottom w:val="0"/>
      <w:divBdr>
        <w:top w:val="none" w:sz="0" w:space="0" w:color="auto"/>
        <w:left w:val="none" w:sz="0" w:space="0" w:color="auto"/>
        <w:bottom w:val="none" w:sz="0" w:space="0" w:color="auto"/>
        <w:right w:val="none" w:sz="0" w:space="0" w:color="auto"/>
      </w:divBdr>
    </w:div>
    <w:div w:id="1911570925">
      <w:bodyDiv w:val="1"/>
      <w:marLeft w:val="0"/>
      <w:marRight w:val="0"/>
      <w:marTop w:val="0"/>
      <w:marBottom w:val="0"/>
      <w:divBdr>
        <w:top w:val="none" w:sz="0" w:space="0" w:color="auto"/>
        <w:left w:val="none" w:sz="0" w:space="0" w:color="auto"/>
        <w:bottom w:val="none" w:sz="0" w:space="0" w:color="auto"/>
        <w:right w:val="none" w:sz="0" w:space="0" w:color="auto"/>
      </w:divBdr>
    </w:div>
    <w:div w:id="1945069726">
      <w:bodyDiv w:val="1"/>
      <w:marLeft w:val="0"/>
      <w:marRight w:val="0"/>
      <w:marTop w:val="0"/>
      <w:marBottom w:val="0"/>
      <w:divBdr>
        <w:top w:val="none" w:sz="0" w:space="0" w:color="auto"/>
        <w:left w:val="none" w:sz="0" w:space="0" w:color="auto"/>
        <w:bottom w:val="none" w:sz="0" w:space="0" w:color="auto"/>
        <w:right w:val="none" w:sz="0" w:space="0" w:color="auto"/>
      </w:divBdr>
    </w:div>
    <w:div w:id="1952084202">
      <w:bodyDiv w:val="1"/>
      <w:marLeft w:val="0"/>
      <w:marRight w:val="0"/>
      <w:marTop w:val="0"/>
      <w:marBottom w:val="0"/>
      <w:divBdr>
        <w:top w:val="none" w:sz="0" w:space="0" w:color="auto"/>
        <w:left w:val="none" w:sz="0" w:space="0" w:color="auto"/>
        <w:bottom w:val="none" w:sz="0" w:space="0" w:color="auto"/>
        <w:right w:val="none" w:sz="0" w:space="0" w:color="auto"/>
      </w:divBdr>
    </w:div>
    <w:div w:id="1958098100">
      <w:bodyDiv w:val="1"/>
      <w:marLeft w:val="0"/>
      <w:marRight w:val="0"/>
      <w:marTop w:val="0"/>
      <w:marBottom w:val="0"/>
      <w:divBdr>
        <w:top w:val="none" w:sz="0" w:space="0" w:color="auto"/>
        <w:left w:val="none" w:sz="0" w:space="0" w:color="auto"/>
        <w:bottom w:val="none" w:sz="0" w:space="0" w:color="auto"/>
        <w:right w:val="none" w:sz="0" w:space="0" w:color="auto"/>
      </w:divBdr>
    </w:div>
    <w:div w:id="1959481120">
      <w:bodyDiv w:val="1"/>
      <w:marLeft w:val="0"/>
      <w:marRight w:val="0"/>
      <w:marTop w:val="0"/>
      <w:marBottom w:val="0"/>
      <w:divBdr>
        <w:top w:val="none" w:sz="0" w:space="0" w:color="auto"/>
        <w:left w:val="none" w:sz="0" w:space="0" w:color="auto"/>
        <w:bottom w:val="none" w:sz="0" w:space="0" w:color="auto"/>
        <w:right w:val="none" w:sz="0" w:space="0" w:color="auto"/>
      </w:divBdr>
    </w:div>
    <w:div w:id="1991516738">
      <w:bodyDiv w:val="1"/>
      <w:marLeft w:val="0"/>
      <w:marRight w:val="0"/>
      <w:marTop w:val="0"/>
      <w:marBottom w:val="0"/>
      <w:divBdr>
        <w:top w:val="none" w:sz="0" w:space="0" w:color="auto"/>
        <w:left w:val="none" w:sz="0" w:space="0" w:color="auto"/>
        <w:bottom w:val="none" w:sz="0" w:space="0" w:color="auto"/>
        <w:right w:val="none" w:sz="0" w:space="0" w:color="auto"/>
      </w:divBdr>
    </w:div>
    <w:div w:id="1994675996">
      <w:bodyDiv w:val="1"/>
      <w:marLeft w:val="0"/>
      <w:marRight w:val="0"/>
      <w:marTop w:val="0"/>
      <w:marBottom w:val="0"/>
      <w:divBdr>
        <w:top w:val="none" w:sz="0" w:space="0" w:color="auto"/>
        <w:left w:val="none" w:sz="0" w:space="0" w:color="auto"/>
        <w:bottom w:val="none" w:sz="0" w:space="0" w:color="auto"/>
        <w:right w:val="none" w:sz="0" w:space="0" w:color="auto"/>
      </w:divBdr>
    </w:div>
    <w:div w:id="1994680656">
      <w:bodyDiv w:val="1"/>
      <w:marLeft w:val="0"/>
      <w:marRight w:val="0"/>
      <w:marTop w:val="0"/>
      <w:marBottom w:val="0"/>
      <w:divBdr>
        <w:top w:val="none" w:sz="0" w:space="0" w:color="auto"/>
        <w:left w:val="none" w:sz="0" w:space="0" w:color="auto"/>
        <w:bottom w:val="none" w:sz="0" w:space="0" w:color="auto"/>
        <w:right w:val="none" w:sz="0" w:space="0" w:color="auto"/>
      </w:divBdr>
    </w:div>
    <w:div w:id="2004772835">
      <w:bodyDiv w:val="1"/>
      <w:marLeft w:val="0"/>
      <w:marRight w:val="0"/>
      <w:marTop w:val="0"/>
      <w:marBottom w:val="0"/>
      <w:divBdr>
        <w:top w:val="none" w:sz="0" w:space="0" w:color="auto"/>
        <w:left w:val="none" w:sz="0" w:space="0" w:color="auto"/>
        <w:bottom w:val="none" w:sz="0" w:space="0" w:color="auto"/>
        <w:right w:val="none" w:sz="0" w:space="0" w:color="auto"/>
      </w:divBdr>
    </w:div>
    <w:div w:id="2016154514">
      <w:bodyDiv w:val="1"/>
      <w:marLeft w:val="0"/>
      <w:marRight w:val="0"/>
      <w:marTop w:val="0"/>
      <w:marBottom w:val="0"/>
      <w:divBdr>
        <w:top w:val="none" w:sz="0" w:space="0" w:color="auto"/>
        <w:left w:val="none" w:sz="0" w:space="0" w:color="auto"/>
        <w:bottom w:val="none" w:sz="0" w:space="0" w:color="auto"/>
        <w:right w:val="none" w:sz="0" w:space="0" w:color="auto"/>
      </w:divBdr>
    </w:div>
    <w:div w:id="2017613790">
      <w:bodyDiv w:val="1"/>
      <w:marLeft w:val="0"/>
      <w:marRight w:val="0"/>
      <w:marTop w:val="0"/>
      <w:marBottom w:val="0"/>
      <w:divBdr>
        <w:top w:val="none" w:sz="0" w:space="0" w:color="auto"/>
        <w:left w:val="none" w:sz="0" w:space="0" w:color="auto"/>
        <w:bottom w:val="none" w:sz="0" w:space="0" w:color="auto"/>
        <w:right w:val="none" w:sz="0" w:space="0" w:color="auto"/>
      </w:divBdr>
    </w:div>
    <w:div w:id="2044088806">
      <w:bodyDiv w:val="1"/>
      <w:marLeft w:val="0"/>
      <w:marRight w:val="0"/>
      <w:marTop w:val="0"/>
      <w:marBottom w:val="0"/>
      <w:divBdr>
        <w:top w:val="none" w:sz="0" w:space="0" w:color="auto"/>
        <w:left w:val="none" w:sz="0" w:space="0" w:color="auto"/>
        <w:bottom w:val="none" w:sz="0" w:space="0" w:color="auto"/>
        <w:right w:val="none" w:sz="0" w:space="0" w:color="auto"/>
      </w:divBdr>
    </w:div>
    <w:div w:id="2074890379">
      <w:bodyDiv w:val="1"/>
      <w:marLeft w:val="0"/>
      <w:marRight w:val="0"/>
      <w:marTop w:val="0"/>
      <w:marBottom w:val="0"/>
      <w:divBdr>
        <w:top w:val="none" w:sz="0" w:space="0" w:color="auto"/>
        <w:left w:val="none" w:sz="0" w:space="0" w:color="auto"/>
        <w:bottom w:val="none" w:sz="0" w:space="0" w:color="auto"/>
        <w:right w:val="none" w:sz="0" w:space="0" w:color="auto"/>
      </w:divBdr>
    </w:div>
    <w:div w:id="2090807214">
      <w:bodyDiv w:val="1"/>
      <w:marLeft w:val="0"/>
      <w:marRight w:val="0"/>
      <w:marTop w:val="0"/>
      <w:marBottom w:val="0"/>
      <w:divBdr>
        <w:top w:val="none" w:sz="0" w:space="0" w:color="auto"/>
        <w:left w:val="none" w:sz="0" w:space="0" w:color="auto"/>
        <w:bottom w:val="none" w:sz="0" w:space="0" w:color="auto"/>
        <w:right w:val="none" w:sz="0" w:space="0" w:color="auto"/>
      </w:divBdr>
    </w:div>
    <w:div w:id="2092390135">
      <w:bodyDiv w:val="1"/>
      <w:marLeft w:val="0"/>
      <w:marRight w:val="0"/>
      <w:marTop w:val="0"/>
      <w:marBottom w:val="0"/>
      <w:divBdr>
        <w:top w:val="none" w:sz="0" w:space="0" w:color="auto"/>
        <w:left w:val="none" w:sz="0" w:space="0" w:color="auto"/>
        <w:bottom w:val="none" w:sz="0" w:space="0" w:color="auto"/>
        <w:right w:val="none" w:sz="0" w:space="0" w:color="auto"/>
      </w:divBdr>
    </w:div>
    <w:div w:id="2120442521">
      <w:bodyDiv w:val="1"/>
      <w:marLeft w:val="0"/>
      <w:marRight w:val="0"/>
      <w:marTop w:val="0"/>
      <w:marBottom w:val="0"/>
      <w:divBdr>
        <w:top w:val="none" w:sz="0" w:space="0" w:color="auto"/>
        <w:left w:val="none" w:sz="0" w:space="0" w:color="auto"/>
        <w:bottom w:val="none" w:sz="0" w:space="0" w:color="auto"/>
        <w:right w:val="none" w:sz="0" w:space="0" w:color="auto"/>
      </w:divBdr>
    </w:div>
    <w:div w:id="2125928751">
      <w:bodyDiv w:val="1"/>
      <w:marLeft w:val="0"/>
      <w:marRight w:val="0"/>
      <w:marTop w:val="0"/>
      <w:marBottom w:val="0"/>
      <w:divBdr>
        <w:top w:val="none" w:sz="0" w:space="0" w:color="auto"/>
        <w:left w:val="none" w:sz="0" w:space="0" w:color="auto"/>
        <w:bottom w:val="none" w:sz="0" w:space="0" w:color="auto"/>
        <w:right w:val="none" w:sz="0" w:space="0" w:color="auto"/>
      </w:divBdr>
    </w:div>
    <w:div w:id="21445013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emf"/><Relationship Id="rId21" Type="http://schemas.openxmlformats.org/officeDocument/2006/relationships/image" Target="media/image100.emf"/><Relationship Id="rId42" Type="http://schemas.openxmlformats.org/officeDocument/2006/relationships/image" Target="media/image29.emf"/><Relationship Id="rId47" Type="http://schemas.openxmlformats.org/officeDocument/2006/relationships/image" Target="media/image33.emf"/><Relationship Id="rId63" Type="http://schemas.openxmlformats.org/officeDocument/2006/relationships/image" Target="media/image48.emf"/><Relationship Id="rId68" Type="http://schemas.openxmlformats.org/officeDocument/2006/relationships/image" Target="media/image52.emf"/><Relationship Id="rId16" Type="http://schemas.openxmlformats.org/officeDocument/2006/relationships/image" Target="media/image7.emf"/><Relationship Id="rId11" Type="http://schemas.openxmlformats.org/officeDocument/2006/relationships/footer" Target="footer2.xml"/><Relationship Id="rId24" Type="http://schemas.openxmlformats.org/officeDocument/2006/relationships/image" Target="media/image13.emf"/><Relationship Id="rId32" Type="http://schemas.openxmlformats.org/officeDocument/2006/relationships/image" Target="media/image19.emf"/><Relationship Id="rId37" Type="http://schemas.openxmlformats.org/officeDocument/2006/relationships/image" Target="media/image24.emf"/><Relationship Id="rId40" Type="http://schemas.openxmlformats.org/officeDocument/2006/relationships/image" Target="media/image27.emf"/><Relationship Id="rId45" Type="http://schemas.openxmlformats.org/officeDocument/2006/relationships/image" Target="media/image310.emf"/><Relationship Id="rId53" Type="http://schemas.openxmlformats.org/officeDocument/2006/relationships/image" Target="media/image38.emf"/><Relationship Id="rId58" Type="http://schemas.openxmlformats.org/officeDocument/2006/relationships/image" Target="media/image43.emf"/><Relationship Id="rId66" Type="http://schemas.openxmlformats.org/officeDocument/2006/relationships/image" Target="media/image50.emf"/><Relationship Id="rId74" Type="http://schemas.openxmlformats.org/officeDocument/2006/relationships/header" Target="header2.xml"/><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46.emf"/><Relationship Id="rId19" Type="http://schemas.openxmlformats.org/officeDocument/2006/relationships/image" Target="media/image90.emf"/><Relationship Id="rId14" Type="http://schemas.openxmlformats.org/officeDocument/2006/relationships/image" Target="media/image5.emf"/><Relationship Id="rId22" Type="http://schemas.openxmlformats.org/officeDocument/2006/relationships/image" Target="media/image11.emf"/><Relationship Id="rId27" Type="http://schemas.openxmlformats.org/officeDocument/2006/relationships/image" Target="media/image15.emf"/><Relationship Id="rId30" Type="http://schemas.openxmlformats.org/officeDocument/2006/relationships/image" Target="media/image170.emf"/><Relationship Id="rId35" Type="http://schemas.openxmlformats.org/officeDocument/2006/relationships/image" Target="media/image22.emf"/><Relationship Id="rId43" Type="http://schemas.openxmlformats.org/officeDocument/2006/relationships/image" Target="media/image30.emf"/><Relationship Id="rId48" Type="http://schemas.openxmlformats.org/officeDocument/2006/relationships/image" Target="media/image34.emf"/><Relationship Id="rId56" Type="http://schemas.openxmlformats.org/officeDocument/2006/relationships/image" Target="media/image41.emf"/><Relationship Id="rId64" Type="http://schemas.openxmlformats.org/officeDocument/2006/relationships/image" Target="media/image49.emf"/><Relationship Id="rId69" Type="http://schemas.openxmlformats.org/officeDocument/2006/relationships/image" Target="media/image53.emf"/><Relationship Id="rId77" Type="http://schemas.openxmlformats.org/officeDocument/2006/relationships/image" Target="media/image60.emf"/><Relationship Id="rId8" Type="http://schemas.openxmlformats.org/officeDocument/2006/relationships/image" Target="media/image1.jpeg"/><Relationship Id="rId51" Type="http://schemas.openxmlformats.org/officeDocument/2006/relationships/image" Target="media/image37.wmf"/><Relationship Id="rId72" Type="http://schemas.openxmlformats.org/officeDocument/2006/relationships/image" Target="media/image56.emf"/><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image" Target="media/image8.emf"/><Relationship Id="rId25" Type="http://schemas.openxmlformats.org/officeDocument/2006/relationships/image" Target="media/image130.emf"/><Relationship Id="rId33" Type="http://schemas.openxmlformats.org/officeDocument/2006/relationships/image" Target="media/image20.emf"/><Relationship Id="rId38" Type="http://schemas.openxmlformats.org/officeDocument/2006/relationships/image" Target="media/image25.emf"/><Relationship Id="rId46" Type="http://schemas.openxmlformats.org/officeDocument/2006/relationships/image" Target="media/image32.emf"/><Relationship Id="rId59" Type="http://schemas.openxmlformats.org/officeDocument/2006/relationships/image" Target="media/image44.emf"/><Relationship Id="rId67" Type="http://schemas.openxmlformats.org/officeDocument/2006/relationships/image" Target="media/image51.emf"/><Relationship Id="rId20" Type="http://schemas.openxmlformats.org/officeDocument/2006/relationships/image" Target="media/image10.emf"/><Relationship Id="rId41" Type="http://schemas.openxmlformats.org/officeDocument/2006/relationships/image" Target="media/image28.emf"/><Relationship Id="rId54" Type="http://schemas.openxmlformats.org/officeDocument/2006/relationships/image" Target="media/image39.emf"/><Relationship Id="rId62" Type="http://schemas.openxmlformats.org/officeDocument/2006/relationships/image" Target="media/image47.emf"/><Relationship Id="rId70" Type="http://schemas.openxmlformats.org/officeDocument/2006/relationships/image" Target="media/image54.emf"/><Relationship Id="rId75" Type="http://schemas.openxmlformats.org/officeDocument/2006/relationships/image" Target="media/image58.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emf"/><Relationship Id="rId23" Type="http://schemas.openxmlformats.org/officeDocument/2006/relationships/image" Target="media/image12.emf"/><Relationship Id="rId28" Type="http://schemas.openxmlformats.org/officeDocument/2006/relationships/image" Target="media/image16.emf"/><Relationship Id="rId36" Type="http://schemas.openxmlformats.org/officeDocument/2006/relationships/image" Target="media/image23.emf"/><Relationship Id="rId49" Type="http://schemas.openxmlformats.org/officeDocument/2006/relationships/image" Target="media/image35.emf"/><Relationship Id="rId57" Type="http://schemas.openxmlformats.org/officeDocument/2006/relationships/image" Target="media/image42.emf"/><Relationship Id="rId10" Type="http://schemas.openxmlformats.org/officeDocument/2006/relationships/header" Target="header1.xml"/><Relationship Id="rId31" Type="http://schemas.openxmlformats.org/officeDocument/2006/relationships/image" Target="media/image18.emf"/><Relationship Id="rId44" Type="http://schemas.openxmlformats.org/officeDocument/2006/relationships/image" Target="media/image31.emf"/><Relationship Id="rId52" Type="http://schemas.openxmlformats.org/officeDocument/2006/relationships/image" Target="media/image370.wmf"/><Relationship Id="rId60" Type="http://schemas.openxmlformats.org/officeDocument/2006/relationships/image" Target="media/image45.emf"/><Relationship Id="rId65" Type="http://schemas.openxmlformats.org/officeDocument/2006/relationships/image" Target="media/image490.emf"/><Relationship Id="rId73" Type="http://schemas.openxmlformats.org/officeDocument/2006/relationships/image" Target="media/image57.emf"/><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image" Target="media/image4.emf"/><Relationship Id="rId18" Type="http://schemas.openxmlformats.org/officeDocument/2006/relationships/image" Target="media/image9.emf"/><Relationship Id="rId39" Type="http://schemas.openxmlformats.org/officeDocument/2006/relationships/image" Target="media/image26.emf"/><Relationship Id="rId34" Type="http://schemas.openxmlformats.org/officeDocument/2006/relationships/image" Target="media/image21.emf"/><Relationship Id="rId50" Type="http://schemas.openxmlformats.org/officeDocument/2006/relationships/image" Target="media/image36.emf"/><Relationship Id="rId55" Type="http://schemas.openxmlformats.org/officeDocument/2006/relationships/image" Target="media/image40.emf"/><Relationship Id="rId76" Type="http://schemas.openxmlformats.org/officeDocument/2006/relationships/image" Target="media/image59.emf"/><Relationship Id="rId7" Type="http://schemas.openxmlformats.org/officeDocument/2006/relationships/endnotes" Target="endnotes.xml"/><Relationship Id="rId71" Type="http://schemas.openxmlformats.org/officeDocument/2006/relationships/image" Target="media/image55.emf"/><Relationship Id="rId2" Type="http://schemas.openxmlformats.org/officeDocument/2006/relationships/numbering" Target="numbering.xml"/><Relationship Id="rId29" Type="http://schemas.openxmlformats.org/officeDocument/2006/relationships/image" Target="media/image17.emf"/></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auto">
        <a:solidFill>
          <a:srgbClr val="2E3192"/>
        </a:solidFill>
        <a:ln>
          <a:noFill/>
        </a:ln>
      </a:spPr>
      <a:bodyPr rot="0" vert="horz" wrap="square" lIns="91440" tIns="45720" rIns="91440" bIns="45720" anchor="ctr" anchorCtr="0" upright="1">
        <a:noAutofit/>
      </a:bodyPr>
      <a:lstStyle/>
    </a:spDef>
    <a:txDef>
      <a:spPr bwMode="auto">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a:spPr>
      <a:bodyPr rot="0" vert="horz" wrap="square" lIns="0" tIns="0" rIns="0" bIns="0" anchor="t" anchorCtr="0" upright="1">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88CADF-CEE8-4169-9A7F-B89A53BB6C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1965</TotalTime>
  <Pages>42</Pages>
  <Words>10452</Words>
  <Characters>61673</Characters>
  <Application>Microsoft Office Word</Application>
  <DocSecurity>0</DocSecurity>
  <Lines>513</Lines>
  <Paragraphs>143</Paragraphs>
  <ScaleCrop>false</ScaleCrop>
  <HeadingPairs>
    <vt:vector size="2" baseType="variant">
      <vt:variant>
        <vt:lpstr>Název</vt:lpstr>
      </vt:variant>
      <vt:variant>
        <vt:i4>1</vt:i4>
      </vt:variant>
    </vt:vector>
  </HeadingPairs>
  <TitlesOfParts>
    <vt:vector size="1" baseType="lpstr">
      <vt:lpstr/>
    </vt:vector>
  </TitlesOfParts>
  <Company>AQE advisors, a.s.</Company>
  <LinksUpToDate>false</LinksUpToDate>
  <CharactersWithSpaces>71982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Jan Brychta</dc:creator>
  <cp:lastModifiedBy>Matějková Romana</cp:lastModifiedBy>
  <cp:revision>66</cp:revision>
  <cp:lastPrinted>2021-03-04T11:24:00Z</cp:lastPrinted>
  <dcterms:created xsi:type="dcterms:W3CDTF">2024-03-21T10:24:00Z</dcterms:created>
  <dcterms:modified xsi:type="dcterms:W3CDTF">2024-10-25T07:54:00Z</dcterms:modified>
</cp:coreProperties>
</file>