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386C" w:rsidRDefault="00A9386C" w:rsidP="00A9386C">
      <w:pPr>
        <w:pStyle w:val="Default"/>
        <w:jc w:val="both"/>
        <w:rPr>
          <w:rFonts w:ascii="Calibri" w:hAnsi="Calibri"/>
          <w:sz w:val="22"/>
          <w:szCs w:val="22"/>
        </w:rPr>
      </w:pPr>
      <w:r>
        <w:rPr>
          <w:rFonts w:ascii="Calibri" w:hAnsi="Calibri"/>
          <w:sz w:val="22"/>
          <w:szCs w:val="22"/>
        </w:rPr>
        <w:t>Důvodová zpráva:</w:t>
      </w:r>
      <w:bookmarkStart w:id="0" w:name="_GoBack"/>
      <w:bookmarkEnd w:id="0"/>
    </w:p>
    <w:p w:rsidR="00A9386C" w:rsidRDefault="00A9386C" w:rsidP="00A9386C">
      <w:pPr>
        <w:pStyle w:val="Default"/>
        <w:jc w:val="both"/>
        <w:rPr>
          <w:rFonts w:ascii="Calibri" w:hAnsi="Calibri"/>
          <w:sz w:val="22"/>
          <w:szCs w:val="22"/>
        </w:rPr>
      </w:pPr>
    </w:p>
    <w:p w:rsidR="00A9386C" w:rsidRDefault="00A9386C" w:rsidP="00A9386C">
      <w:pPr>
        <w:pStyle w:val="Default"/>
        <w:jc w:val="both"/>
        <w:rPr>
          <w:rFonts w:ascii="Calibri" w:hAnsi="Calibri"/>
          <w:sz w:val="22"/>
          <w:szCs w:val="22"/>
        </w:rPr>
      </w:pPr>
      <w:r>
        <w:rPr>
          <w:rFonts w:ascii="Calibri" w:hAnsi="Calibri"/>
          <w:sz w:val="22"/>
          <w:szCs w:val="22"/>
        </w:rPr>
        <w:t xml:space="preserve">Odbor ekonomiky předkládá v příloze tohoto dokumentu střednědobý výhled rozpočtu, což je povinnost plynoucí ze zákona č. 250/2000 Sb., o rozpočtových pravidlech územních rozpočtů, ve znění pozdějších předpisů. Dokument je zpracován v souladu se zákonem o pravidlech rozpočtové odpovědnosti č. 23/2017 Sb. Smyslem střednědobého výhledu rozpočtu je prokázat schopnost, že město dostojí svým dosavadním závazkům. Střednědobý výhled rozpočtu je podle zákona nástroj sloužící pro střednědobé finanční plánování rozvoje hospodářství samosprávy. Sestavuje se na základě uzavřených smluvních vztahů a přijatých závazků zpravidla na 2 až 5 let následujících po roce, na který se sestavuje roční rozpočet. Obsahuje minimálně souhrnné základní údaje o příjmech a výdajích, o dlouhodobých závazcích a pohledávkách, o finančních zdrojích a potřebách dlouhodobě realizovaných záměrů. Obsahem jde tento dokument nad rámec zákonem daných náležitostí střednědobého výhledu rozpočtu uváděných v § 3 zákona č. 250/2000 Sb. Zejména analyzuje finanční zdraví (rating), trendy financí a stanovuje strop bezpečného úvěrového zatížení k financování cílů samosprávy. Uvedeny jsou také možné hrozby s vlivem na finance, včetně opatření. </w:t>
      </w:r>
    </w:p>
    <w:p w:rsidR="00A9386C" w:rsidRDefault="00A9386C" w:rsidP="00A9386C">
      <w:pPr>
        <w:pStyle w:val="Default"/>
        <w:jc w:val="both"/>
        <w:rPr>
          <w:rFonts w:ascii="Calibri" w:hAnsi="Calibri"/>
          <w:sz w:val="22"/>
          <w:szCs w:val="22"/>
        </w:rPr>
      </w:pPr>
    </w:p>
    <w:p w:rsidR="00A9386C" w:rsidRDefault="00A9386C" w:rsidP="00A9386C">
      <w:pPr>
        <w:pStyle w:val="Default"/>
        <w:jc w:val="both"/>
        <w:rPr>
          <w:rFonts w:ascii="Calibri" w:hAnsi="Calibri"/>
          <w:color w:val="auto"/>
          <w:sz w:val="22"/>
          <w:szCs w:val="22"/>
        </w:rPr>
      </w:pPr>
      <w:r>
        <w:rPr>
          <w:rFonts w:ascii="Calibri" w:hAnsi="Calibri"/>
          <w:sz w:val="22"/>
          <w:szCs w:val="22"/>
        </w:rPr>
        <w:t>Ze střednědobého výhledu se vychází při zpracování rozpočtu a využívá se jako příloha k případným žádostem o úvěry a některé dotace. Smyslem střednědobého výhledu rozpočtu je podpořit udržitelnost financí, vymezit finanční možnosti samosprávy, podpořit zdravý vývoj financí a prokázat schopnost samosprávy dostát svým závazkům. Pro správnou funkci výhledu je třeba, aby byl plněn a aktualizován tak, aby průběžně reagoval na ekonomickou situaci, hrozby a příležitosti financí ve vazbě na reálné hospodaření samosprávy. Ve střednědobém výhledu rozpočtu je nastavena strategie hospodaření a financí se zaměřením na stabilitu a finanční zdraví samosprávy. Výhodou střednědobého výhledu rozpočtu je značná možnost finančně reagovat na různé situace. Střednědobý rozpočtový výhled je třeba pravidelně aktualizovat.</w:t>
      </w:r>
    </w:p>
    <w:p w:rsidR="00A9386C" w:rsidRDefault="00A9386C" w:rsidP="00A9386C">
      <w:pPr>
        <w:jc w:val="both"/>
      </w:pPr>
    </w:p>
    <w:p w:rsidR="00A9386C" w:rsidRDefault="00A9386C" w:rsidP="00A9386C">
      <w:pPr>
        <w:jc w:val="both"/>
      </w:pPr>
      <w:r>
        <w:t xml:space="preserve">Základní volné zdroje pro rozvoj města v letech </w:t>
      </w:r>
      <w:proofErr w:type="gramStart"/>
      <w:r>
        <w:t>2026 – 2029</w:t>
      </w:r>
      <w:proofErr w:type="gramEnd"/>
      <w:r>
        <w:t xml:space="preserve"> dosahují 164 až 207 mil. Kč.</w:t>
      </w:r>
    </w:p>
    <w:p w:rsidR="00A9386C" w:rsidRDefault="00A9386C" w:rsidP="00A9386C">
      <w:pPr>
        <w:jc w:val="both"/>
      </w:pPr>
    </w:p>
    <w:p w:rsidR="00A9386C" w:rsidRDefault="00A9386C" w:rsidP="00A9386C">
      <w:r>
        <w:t>Rámcová čísla:</w:t>
      </w:r>
    </w:p>
    <w:p w:rsidR="00A9386C" w:rsidRDefault="00A9386C" w:rsidP="00A9386C"/>
    <w:p w:rsidR="00A9386C" w:rsidRDefault="00A9386C" w:rsidP="00A9386C">
      <w:r>
        <w:rPr>
          <w:noProof/>
          <w:lang w:eastAsia="cs-CZ"/>
        </w:rPr>
        <w:drawing>
          <wp:inline distT="0" distB="0" distL="0" distR="0">
            <wp:extent cx="4857750" cy="2066925"/>
            <wp:effectExtent l="0" t="0" r="0" b="9525"/>
            <wp:docPr id="1" name="Obrázek 1" descr="cid:image003.png@01DB2603.3B6EDC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6" descr="cid:image003.png@01DB2603.3B6EDC0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4857750" cy="2066925"/>
                    </a:xfrm>
                    <a:prstGeom prst="rect">
                      <a:avLst/>
                    </a:prstGeom>
                    <a:noFill/>
                    <a:ln>
                      <a:noFill/>
                    </a:ln>
                  </pic:spPr>
                </pic:pic>
              </a:graphicData>
            </a:graphic>
          </wp:inline>
        </w:drawing>
      </w:r>
    </w:p>
    <w:p w:rsidR="00A9386C" w:rsidRDefault="00A9386C" w:rsidP="00A9386C"/>
    <w:p w:rsidR="00A9386C" w:rsidRDefault="00A9386C" w:rsidP="00A9386C">
      <w:r>
        <w:t>Podrobnější informace jsou k dispozici v přiloženém materiálu.</w:t>
      </w:r>
    </w:p>
    <w:p w:rsidR="00A9386C" w:rsidRDefault="00A9386C" w:rsidP="00A9386C"/>
    <w:p w:rsidR="00A9386C" w:rsidRDefault="00A9386C" w:rsidP="00A9386C">
      <w:r>
        <w:t>Součástí výhledu letos není zásobník investičních akcí (platný zůstává loňský). Odbor rozvoje a investic společně s investiční komisí pracuje na aktualizaci zásobníku pro další období.</w:t>
      </w:r>
    </w:p>
    <w:p w:rsidR="00695297" w:rsidRDefault="00695297"/>
    <w:sectPr w:rsidR="006952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86C"/>
    <w:rsid w:val="00695297"/>
    <w:rsid w:val="00A938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A71E4"/>
  <w15:chartTrackingRefBased/>
  <w15:docId w15:val="{E5187597-E557-454F-B1F1-0640F3A72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9386C"/>
    <w:pPr>
      <w:spacing w:after="0" w:line="240" w:lineRule="auto"/>
    </w:pPr>
    <w:rPr>
      <w:rFonts w:ascii="Calibri" w:hAnsi="Calibri" w:cs="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basedOn w:val="Normln"/>
    <w:rsid w:val="00A9386C"/>
    <w:pPr>
      <w:autoSpaceDE w:val="0"/>
      <w:autoSpaceDN w:val="0"/>
    </w:pPr>
    <w:rPr>
      <w:rFonts w:ascii="Verdana" w:hAnsi="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11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3.png@01DB2603.3B6EDC00" TargetMode="External"/><Relationship Id="rId4"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2054</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Matějková Romana</dc:creator>
  <cp:keywords/>
  <dc:description/>
  <cp:lastModifiedBy>Matějková Romana</cp:lastModifiedBy>
  <cp:revision>1</cp:revision>
  <dcterms:created xsi:type="dcterms:W3CDTF">2024-10-24T09:13:00Z</dcterms:created>
  <dcterms:modified xsi:type="dcterms:W3CDTF">2024-10-24T09:14:00Z</dcterms:modified>
</cp:coreProperties>
</file>