
<file path=[Content_Types].xml><?xml version="1.0" encoding="utf-8"?>
<Types xmlns="http://schemas.openxmlformats.org/package/2006/content-types">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63C37" w:rsidRDefault="00A63C37" w:rsidP="00A63C37">
      <w:bookmarkStart w:id="0" w:name="_GoBack"/>
      <w:bookmarkEnd w:id="0"/>
      <w:r>
        <w:tab/>
      </w:r>
    </w:p>
    <w:p w:rsidR="00A63C37" w:rsidRDefault="00A63C37" w:rsidP="00A63C37"/>
    <w:p w:rsidR="00A63C37" w:rsidRPr="00A348F5" w:rsidRDefault="00A63C37" w:rsidP="00A63C37"/>
    <w:p w:rsidR="00A63C37" w:rsidRPr="00A348F5" w:rsidRDefault="00A63C37" w:rsidP="00A63C37"/>
    <w:p w:rsidR="00A63C37" w:rsidRDefault="00A63C37" w:rsidP="00A63C37"/>
    <w:p w:rsidR="00A63C37" w:rsidRPr="004F4117" w:rsidRDefault="00A63C37" w:rsidP="00A63C37">
      <w:pPr>
        <w:rPr>
          <w:highlight w:val="yellow"/>
        </w:rPr>
      </w:pPr>
      <w:r w:rsidRPr="0052692C">
        <w:t xml:space="preserve"> </w:t>
      </w:r>
      <w:r>
        <w:rPr>
          <w:noProof/>
          <w:lang w:eastAsia="cs-CZ"/>
        </w:rPr>
        <w:drawing>
          <wp:inline distT="0" distB="0" distL="0" distR="0">
            <wp:extent cx="3134995" cy="1731645"/>
            <wp:effectExtent l="0" t="0" r="8255" b="1905"/>
            <wp:docPr id="50" name="obrázek 1" descr="S:\PŘEHLED FORMULÁŘŮ POUŽÍVANÝCH OD 1.1.2012\Logo - k použití na dokumenty MMCH\chomutov_2011_logo_RGB-1.jpg"/>
            <wp:cNvGraphicFramePr/>
            <a:graphic xmlns:a="http://schemas.openxmlformats.org/drawingml/2006/main">
              <a:graphicData uri="http://schemas.openxmlformats.org/drawingml/2006/picture">
                <pic:pic xmlns:pic="http://schemas.openxmlformats.org/drawingml/2006/picture">
                  <pic:nvPicPr>
                    <pic:cNvPr id="17" name="obrázek 1" descr="S:\PŘEHLED FORMULÁŘŮ POUŽÍVANÝCH OD 1.1.2012\Logo - k použití na dokumenty MMCH\chomutov_2011_logo_RGB-1.jpg"/>
                    <pic:cNvPicPr/>
                  </pic:nvPicPr>
                  <pic:blipFill>
                    <a:blip r:embed="rId8"/>
                    <a:srcRect/>
                    <a:stretch>
                      <a:fillRect/>
                    </a:stretch>
                  </pic:blipFill>
                  <pic:spPr bwMode="auto">
                    <a:xfrm>
                      <a:off x="0" y="0"/>
                      <a:ext cx="3134995" cy="1731645"/>
                    </a:xfrm>
                    <a:prstGeom prst="rect">
                      <a:avLst/>
                    </a:prstGeom>
                    <a:noFill/>
                    <a:ln w="9525">
                      <a:noFill/>
                      <a:miter lim="800000"/>
                      <a:headEnd/>
                      <a:tailEnd/>
                    </a:ln>
                  </pic:spPr>
                </pic:pic>
              </a:graphicData>
            </a:graphic>
          </wp:inline>
        </w:drawing>
      </w:r>
    </w:p>
    <w:p w:rsidR="00A63C37" w:rsidRPr="004F4117" w:rsidRDefault="00A63C37" w:rsidP="00A63C37">
      <w:pPr>
        <w:rPr>
          <w:highlight w:val="yellow"/>
        </w:rPr>
      </w:pPr>
    </w:p>
    <w:p w:rsidR="00A63C37" w:rsidRPr="009318B4" w:rsidRDefault="00A63C37" w:rsidP="00A63C37">
      <w:pPr>
        <w:pStyle w:val="Titul"/>
      </w:pPr>
      <w:r w:rsidRPr="0038425E">
        <w:t>STŘEDNĚDOBÝ VÝHLED ROZPOČTU</w:t>
      </w:r>
      <w:r w:rsidRPr="0038425E">
        <w:br/>
      </w:r>
      <w:r w:rsidRPr="0038425E">
        <w:rPr>
          <w:caps/>
        </w:rPr>
        <w:t>Statutárního</w:t>
      </w:r>
      <w:r w:rsidRPr="009318B4">
        <w:rPr>
          <w:caps/>
        </w:rPr>
        <w:t xml:space="preserve"> MĚSTA </w:t>
      </w:r>
      <w:r w:rsidRPr="00B7241E">
        <w:rPr>
          <w:caps/>
        </w:rPr>
        <w:t>Chomutov</w:t>
      </w:r>
      <w:r w:rsidRPr="009318B4">
        <w:rPr>
          <w:caps/>
        </w:rPr>
        <w:t xml:space="preserve"> </w:t>
      </w:r>
      <w:r w:rsidRPr="009318B4">
        <w:rPr>
          <w:caps/>
        </w:rPr>
        <w:br/>
      </w:r>
      <w:proofErr w:type="gramStart"/>
      <w:r>
        <w:t>2023</w:t>
      </w:r>
      <w:r w:rsidRPr="009318B4">
        <w:t xml:space="preserve"> – </w:t>
      </w:r>
      <w:r>
        <w:t>2027</w:t>
      </w:r>
      <w:proofErr w:type="gramEnd"/>
    </w:p>
    <w:p w:rsidR="00A63C37" w:rsidRPr="004F4117" w:rsidRDefault="00A63C37" w:rsidP="00A63C37">
      <w:pPr>
        <w:rPr>
          <w:highlight w:val="yellow"/>
        </w:rPr>
      </w:pPr>
    </w:p>
    <w:p w:rsidR="00A63C37" w:rsidRPr="004F4117" w:rsidRDefault="00A63C37" w:rsidP="00A63C37">
      <w:pPr>
        <w:rPr>
          <w:highlight w:val="yellow"/>
        </w:rPr>
      </w:pPr>
    </w:p>
    <w:p w:rsidR="00A63C37" w:rsidRPr="004F4117" w:rsidRDefault="00A63C37" w:rsidP="00A63C37">
      <w:pPr>
        <w:rPr>
          <w:highlight w:val="yellow"/>
        </w:rPr>
      </w:pPr>
    </w:p>
    <w:p w:rsidR="001E6410" w:rsidRPr="005A581E" w:rsidRDefault="001E6410" w:rsidP="001E6410">
      <w:pPr>
        <w:pStyle w:val="altNadpis1"/>
      </w:pPr>
      <w:r>
        <w:t>B1</w:t>
      </w:r>
      <w:r w:rsidRPr="005A581E">
        <w:t>/AQE</w:t>
      </w:r>
    </w:p>
    <w:p w:rsidR="001E6410" w:rsidRDefault="001E6410" w:rsidP="001E6410">
      <w:r w:rsidRPr="005A581E">
        <w:t>Dostatečná schopnost dostát finančním závazkům, subjekt díky změněné ekonomické situaci může mít nižší schopnost splácet své závazky.</w:t>
      </w:r>
    </w:p>
    <w:p w:rsidR="00A63C37" w:rsidRPr="004F4117" w:rsidRDefault="00A63C37" w:rsidP="00A63C37">
      <w:pPr>
        <w:rPr>
          <w:highlight w:val="yellow"/>
        </w:rPr>
      </w:pPr>
    </w:p>
    <w:p w:rsidR="00A63C37" w:rsidRPr="001E6410" w:rsidRDefault="00A63C37" w:rsidP="00A63C37">
      <w:pPr>
        <w:pStyle w:val="altNadpis1"/>
      </w:pPr>
      <w:r w:rsidRPr="001E6410">
        <w:t>STR 2</w:t>
      </w:r>
    </w:p>
    <w:p w:rsidR="00A63C37" w:rsidRPr="00FB4E51" w:rsidRDefault="00A63C37" w:rsidP="00A63C37">
      <w:r w:rsidRPr="001E6410">
        <w:t>Velmi dobrý subjekt s vysokou schopností splácet své aktuální závazky</w:t>
      </w:r>
    </w:p>
    <w:p w:rsidR="00A63C37" w:rsidRDefault="00A63C37" w:rsidP="00A63C37">
      <w:pPr>
        <w:spacing w:before="0" w:after="200"/>
        <w:jc w:val="left"/>
        <w:rPr>
          <w:rStyle w:val="Hypertextovodkaz"/>
          <w:b/>
          <w:color w:val="2E3192"/>
          <w:sz w:val="28"/>
          <w:szCs w:val="28"/>
          <w:u w:val="none"/>
        </w:rPr>
      </w:pPr>
      <w:r>
        <w:rPr>
          <w:rStyle w:val="Hypertextovodkaz"/>
          <w:color w:val="2E3192"/>
          <w:u w:val="none"/>
        </w:rPr>
        <w:br w:type="page"/>
      </w:r>
    </w:p>
    <w:p w:rsidR="00A63C37" w:rsidRPr="00793D98" w:rsidRDefault="00A63C37" w:rsidP="00A63C37">
      <w:pPr>
        <w:pStyle w:val="altNadpis1"/>
        <w:rPr>
          <w:rStyle w:val="Hypertextovodkaz"/>
          <w:color w:val="2E3192"/>
          <w:u w:val="none"/>
        </w:rPr>
      </w:pPr>
      <w:r w:rsidRPr="001E6410">
        <w:rPr>
          <w:rStyle w:val="Hypertextovodkaz"/>
          <w:color w:val="2E3192"/>
          <w:u w:val="none"/>
        </w:rPr>
        <w:lastRenderedPageBreak/>
        <w:t>Obsah</w:t>
      </w:r>
    </w:p>
    <w:p w:rsidR="00A63C37" w:rsidRPr="00793D98" w:rsidRDefault="00A63C37" w:rsidP="00A63C37"/>
    <w:p w:rsidR="00DA6167" w:rsidRDefault="00C3021F">
      <w:pPr>
        <w:pStyle w:val="Obsah1"/>
        <w:rPr>
          <w:color w:val="auto"/>
          <w:szCs w:val="22"/>
          <w:lang w:eastAsia="cs-CZ"/>
        </w:rPr>
      </w:pPr>
      <w:r>
        <w:rPr>
          <w:rStyle w:val="Hypertextovodkaz"/>
          <w:color w:val="2E3192"/>
        </w:rPr>
        <w:fldChar w:fldCharType="begin"/>
      </w:r>
      <w:r w:rsidR="00A63C37">
        <w:rPr>
          <w:rStyle w:val="Hypertextovodkaz"/>
          <w:color w:val="2E3192"/>
        </w:rPr>
        <w:instrText xml:space="preserve"> TOC \o "1-2" \h \z \u </w:instrText>
      </w:r>
      <w:r>
        <w:rPr>
          <w:rStyle w:val="Hypertextovodkaz"/>
          <w:color w:val="2E3192"/>
        </w:rPr>
        <w:fldChar w:fldCharType="separate"/>
      </w:r>
      <w:hyperlink w:anchor="_Toc118978209" w:history="1">
        <w:r w:rsidR="00DA6167" w:rsidRPr="00286433">
          <w:rPr>
            <w:rStyle w:val="Hypertextovodkaz"/>
          </w:rPr>
          <w:t>Definice základních pojmů</w:t>
        </w:r>
        <w:r w:rsidR="00DA6167">
          <w:rPr>
            <w:webHidden/>
          </w:rPr>
          <w:tab/>
        </w:r>
        <w:r w:rsidR="00DA6167">
          <w:rPr>
            <w:webHidden/>
          </w:rPr>
          <w:fldChar w:fldCharType="begin"/>
        </w:r>
        <w:r w:rsidR="00DA6167">
          <w:rPr>
            <w:webHidden/>
          </w:rPr>
          <w:instrText xml:space="preserve"> PAGEREF _Toc118978209 \h </w:instrText>
        </w:r>
        <w:r w:rsidR="00DA6167">
          <w:rPr>
            <w:webHidden/>
          </w:rPr>
        </w:r>
        <w:r w:rsidR="00DA6167">
          <w:rPr>
            <w:webHidden/>
          </w:rPr>
          <w:fldChar w:fldCharType="separate"/>
        </w:r>
        <w:r w:rsidR="00B44BF4">
          <w:rPr>
            <w:webHidden/>
          </w:rPr>
          <w:t>3</w:t>
        </w:r>
        <w:r w:rsidR="00DA6167">
          <w:rPr>
            <w:webHidden/>
          </w:rPr>
          <w:fldChar w:fldCharType="end"/>
        </w:r>
      </w:hyperlink>
    </w:p>
    <w:p w:rsidR="00DA6167" w:rsidRDefault="00CA6AB8">
      <w:pPr>
        <w:pStyle w:val="Obsah1"/>
        <w:rPr>
          <w:color w:val="auto"/>
          <w:szCs w:val="22"/>
          <w:lang w:eastAsia="cs-CZ"/>
        </w:rPr>
      </w:pPr>
      <w:hyperlink w:anchor="_Toc118978210" w:history="1">
        <w:r w:rsidR="00DA6167" w:rsidRPr="00286433">
          <w:rPr>
            <w:rStyle w:val="Hypertextovodkaz"/>
          </w:rPr>
          <w:t>Použité zkratky</w:t>
        </w:r>
        <w:r w:rsidR="00DA6167">
          <w:rPr>
            <w:webHidden/>
          </w:rPr>
          <w:tab/>
        </w:r>
        <w:r w:rsidR="00DA6167">
          <w:rPr>
            <w:webHidden/>
          </w:rPr>
          <w:fldChar w:fldCharType="begin"/>
        </w:r>
        <w:r w:rsidR="00DA6167">
          <w:rPr>
            <w:webHidden/>
          </w:rPr>
          <w:instrText xml:space="preserve"> PAGEREF _Toc118978210 \h </w:instrText>
        </w:r>
        <w:r w:rsidR="00DA6167">
          <w:rPr>
            <w:webHidden/>
          </w:rPr>
        </w:r>
        <w:r w:rsidR="00DA6167">
          <w:rPr>
            <w:webHidden/>
          </w:rPr>
          <w:fldChar w:fldCharType="separate"/>
        </w:r>
        <w:r w:rsidR="00B44BF4">
          <w:rPr>
            <w:webHidden/>
          </w:rPr>
          <w:t>4</w:t>
        </w:r>
        <w:r w:rsidR="00DA6167">
          <w:rPr>
            <w:webHidden/>
          </w:rPr>
          <w:fldChar w:fldCharType="end"/>
        </w:r>
      </w:hyperlink>
    </w:p>
    <w:p w:rsidR="00DA6167" w:rsidRDefault="00CA6AB8">
      <w:pPr>
        <w:pStyle w:val="Obsah1"/>
        <w:rPr>
          <w:color w:val="auto"/>
          <w:szCs w:val="22"/>
          <w:lang w:eastAsia="cs-CZ"/>
        </w:rPr>
      </w:pPr>
      <w:hyperlink w:anchor="_Toc118978211" w:history="1">
        <w:r w:rsidR="00DA6167" w:rsidRPr="00286433">
          <w:rPr>
            <w:rStyle w:val="Hypertextovodkaz"/>
          </w:rPr>
          <w:t>Úvod</w:t>
        </w:r>
        <w:r w:rsidR="00DA6167">
          <w:rPr>
            <w:webHidden/>
          </w:rPr>
          <w:tab/>
        </w:r>
        <w:r w:rsidR="00DA6167">
          <w:rPr>
            <w:webHidden/>
          </w:rPr>
          <w:fldChar w:fldCharType="begin"/>
        </w:r>
        <w:r w:rsidR="00DA6167">
          <w:rPr>
            <w:webHidden/>
          </w:rPr>
          <w:instrText xml:space="preserve"> PAGEREF _Toc118978211 \h </w:instrText>
        </w:r>
        <w:r w:rsidR="00DA6167">
          <w:rPr>
            <w:webHidden/>
          </w:rPr>
        </w:r>
        <w:r w:rsidR="00DA6167">
          <w:rPr>
            <w:webHidden/>
          </w:rPr>
          <w:fldChar w:fldCharType="separate"/>
        </w:r>
        <w:r w:rsidR="00B44BF4">
          <w:rPr>
            <w:webHidden/>
          </w:rPr>
          <w:t>5</w:t>
        </w:r>
        <w:r w:rsidR="00DA6167">
          <w:rPr>
            <w:webHidden/>
          </w:rPr>
          <w:fldChar w:fldCharType="end"/>
        </w:r>
      </w:hyperlink>
    </w:p>
    <w:p w:rsidR="00DA6167" w:rsidRDefault="00CA6AB8">
      <w:pPr>
        <w:pStyle w:val="Obsah1"/>
        <w:rPr>
          <w:color w:val="auto"/>
          <w:szCs w:val="22"/>
          <w:lang w:eastAsia="cs-CZ"/>
        </w:rPr>
      </w:pPr>
      <w:hyperlink w:anchor="_Toc118978212" w:history="1">
        <w:r w:rsidR="00DA6167" w:rsidRPr="00286433">
          <w:rPr>
            <w:rStyle w:val="Hypertextovodkaz"/>
          </w:rPr>
          <w:t>1</w:t>
        </w:r>
        <w:r w:rsidR="00DA6167">
          <w:rPr>
            <w:color w:val="auto"/>
            <w:szCs w:val="22"/>
            <w:lang w:eastAsia="cs-CZ"/>
          </w:rPr>
          <w:tab/>
        </w:r>
        <w:r w:rsidR="00DA6167" w:rsidRPr="00286433">
          <w:rPr>
            <w:rStyle w:val="Hypertextovodkaz"/>
          </w:rPr>
          <w:t>Analýza hospodaření uplynulého období</w:t>
        </w:r>
        <w:r w:rsidR="00DA6167">
          <w:rPr>
            <w:webHidden/>
          </w:rPr>
          <w:tab/>
        </w:r>
        <w:r w:rsidR="00DA6167">
          <w:rPr>
            <w:webHidden/>
          </w:rPr>
          <w:fldChar w:fldCharType="begin"/>
        </w:r>
        <w:r w:rsidR="00DA6167">
          <w:rPr>
            <w:webHidden/>
          </w:rPr>
          <w:instrText xml:space="preserve"> PAGEREF _Toc118978212 \h </w:instrText>
        </w:r>
        <w:r w:rsidR="00DA6167">
          <w:rPr>
            <w:webHidden/>
          </w:rPr>
        </w:r>
        <w:r w:rsidR="00DA6167">
          <w:rPr>
            <w:webHidden/>
          </w:rPr>
          <w:fldChar w:fldCharType="separate"/>
        </w:r>
        <w:r w:rsidR="00B44BF4">
          <w:rPr>
            <w:webHidden/>
          </w:rPr>
          <w:t>6</w:t>
        </w:r>
        <w:r w:rsidR="00DA6167">
          <w:rPr>
            <w:webHidden/>
          </w:rPr>
          <w:fldChar w:fldCharType="end"/>
        </w:r>
      </w:hyperlink>
    </w:p>
    <w:p w:rsidR="00DA6167" w:rsidRDefault="00CA6AB8">
      <w:pPr>
        <w:pStyle w:val="Obsah2"/>
        <w:tabs>
          <w:tab w:val="left" w:pos="880"/>
        </w:tabs>
        <w:rPr>
          <w:noProof/>
          <w:color w:val="auto"/>
          <w:szCs w:val="22"/>
          <w:lang w:eastAsia="cs-CZ"/>
        </w:rPr>
      </w:pPr>
      <w:hyperlink w:anchor="_Toc118978213" w:history="1">
        <w:r w:rsidR="00DA6167" w:rsidRPr="00286433">
          <w:rPr>
            <w:rStyle w:val="Hypertextovodkaz"/>
            <w:noProof/>
          </w:rPr>
          <w:t>1.1</w:t>
        </w:r>
        <w:r w:rsidR="00DA6167">
          <w:rPr>
            <w:noProof/>
            <w:color w:val="auto"/>
            <w:szCs w:val="22"/>
            <w:lang w:eastAsia="cs-CZ"/>
          </w:rPr>
          <w:tab/>
        </w:r>
        <w:r w:rsidR="00DA6167" w:rsidRPr="00286433">
          <w:rPr>
            <w:rStyle w:val="Hypertextovodkaz"/>
            <w:noProof/>
          </w:rPr>
          <w:t>Příjmy</w:t>
        </w:r>
        <w:r w:rsidR="00DA6167">
          <w:rPr>
            <w:noProof/>
            <w:webHidden/>
          </w:rPr>
          <w:tab/>
        </w:r>
        <w:r w:rsidR="00DA6167">
          <w:rPr>
            <w:noProof/>
            <w:webHidden/>
          </w:rPr>
          <w:fldChar w:fldCharType="begin"/>
        </w:r>
        <w:r w:rsidR="00DA6167">
          <w:rPr>
            <w:noProof/>
            <w:webHidden/>
          </w:rPr>
          <w:instrText xml:space="preserve"> PAGEREF _Toc118978213 \h </w:instrText>
        </w:r>
        <w:r w:rsidR="00DA6167">
          <w:rPr>
            <w:noProof/>
            <w:webHidden/>
          </w:rPr>
        </w:r>
        <w:r w:rsidR="00DA6167">
          <w:rPr>
            <w:noProof/>
            <w:webHidden/>
          </w:rPr>
          <w:fldChar w:fldCharType="separate"/>
        </w:r>
        <w:r w:rsidR="00B44BF4">
          <w:rPr>
            <w:noProof/>
            <w:webHidden/>
          </w:rPr>
          <w:t>6</w:t>
        </w:r>
        <w:r w:rsidR="00DA6167">
          <w:rPr>
            <w:noProof/>
            <w:webHidden/>
          </w:rPr>
          <w:fldChar w:fldCharType="end"/>
        </w:r>
      </w:hyperlink>
    </w:p>
    <w:p w:rsidR="00DA6167" w:rsidRDefault="00CA6AB8">
      <w:pPr>
        <w:pStyle w:val="Obsah2"/>
        <w:tabs>
          <w:tab w:val="left" w:pos="880"/>
        </w:tabs>
        <w:rPr>
          <w:noProof/>
          <w:color w:val="auto"/>
          <w:szCs w:val="22"/>
          <w:lang w:eastAsia="cs-CZ"/>
        </w:rPr>
      </w:pPr>
      <w:hyperlink w:anchor="_Toc118978214" w:history="1">
        <w:r w:rsidR="00DA6167" w:rsidRPr="00286433">
          <w:rPr>
            <w:rStyle w:val="Hypertextovodkaz"/>
            <w:noProof/>
          </w:rPr>
          <w:t>1.2</w:t>
        </w:r>
        <w:r w:rsidR="00DA6167">
          <w:rPr>
            <w:noProof/>
            <w:color w:val="auto"/>
            <w:szCs w:val="22"/>
            <w:lang w:eastAsia="cs-CZ"/>
          </w:rPr>
          <w:tab/>
        </w:r>
        <w:r w:rsidR="00DA6167" w:rsidRPr="00286433">
          <w:rPr>
            <w:rStyle w:val="Hypertextovodkaz"/>
            <w:noProof/>
          </w:rPr>
          <w:t>Výdaje</w:t>
        </w:r>
        <w:r w:rsidR="00DA6167">
          <w:rPr>
            <w:noProof/>
            <w:webHidden/>
          </w:rPr>
          <w:tab/>
        </w:r>
        <w:r w:rsidR="00DA6167">
          <w:rPr>
            <w:noProof/>
            <w:webHidden/>
          </w:rPr>
          <w:fldChar w:fldCharType="begin"/>
        </w:r>
        <w:r w:rsidR="00DA6167">
          <w:rPr>
            <w:noProof/>
            <w:webHidden/>
          </w:rPr>
          <w:instrText xml:space="preserve"> PAGEREF _Toc118978214 \h </w:instrText>
        </w:r>
        <w:r w:rsidR="00DA6167">
          <w:rPr>
            <w:noProof/>
            <w:webHidden/>
          </w:rPr>
        </w:r>
        <w:r w:rsidR="00DA6167">
          <w:rPr>
            <w:noProof/>
            <w:webHidden/>
          </w:rPr>
          <w:fldChar w:fldCharType="separate"/>
        </w:r>
        <w:r w:rsidR="00B44BF4">
          <w:rPr>
            <w:noProof/>
            <w:webHidden/>
          </w:rPr>
          <w:t>12</w:t>
        </w:r>
        <w:r w:rsidR="00DA6167">
          <w:rPr>
            <w:noProof/>
            <w:webHidden/>
          </w:rPr>
          <w:fldChar w:fldCharType="end"/>
        </w:r>
      </w:hyperlink>
    </w:p>
    <w:p w:rsidR="00DA6167" w:rsidRDefault="00CA6AB8">
      <w:pPr>
        <w:pStyle w:val="Obsah2"/>
        <w:tabs>
          <w:tab w:val="left" w:pos="880"/>
        </w:tabs>
        <w:rPr>
          <w:noProof/>
          <w:color w:val="auto"/>
          <w:szCs w:val="22"/>
          <w:lang w:eastAsia="cs-CZ"/>
        </w:rPr>
      </w:pPr>
      <w:hyperlink w:anchor="_Toc118978215" w:history="1">
        <w:r w:rsidR="00DA6167" w:rsidRPr="00286433">
          <w:rPr>
            <w:rStyle w:val="Hypertextovodkaz"/>
            <w:noProof/>
          </w:rPr>
          <w:t>1.3</w:t>
        </w:r>
        <w:r w:rsidR="00DA6167">
          <w:rPr>
            <w:noProof/>
            <w:color w:val="auto"/>
            <w:szCs w:val="22"/>
            <w:lang w:eastAsia="cs-CZ"/>
          </w:rPr>
          <w:tab/>
        </w:r>
        <w:r w:rsidR="00DA6167" w:rsidRPr="00286433">
          <w:rPr>
            <w:rStyle w:val="Hypertextovodkaz"/>
            <w:noProof/>
          </w:rPr>
          <w:t>Hospodaření</w:t>
        </w:r>
        <w:r w:rsidR="00DA6167">
          <w:rPr>
            <w:noProof/>
            <w:webHidden/>
          </w:rPr>
          <w:tab/>
        </w:r>
        <w:r w:rsidR="00DA6167">
          <w:rPr>
            <w:noProof/>
            <w:webHidden/>
          </w:rPr>
          <w:fldChar w:fldCharType="begin"/>
        </w:r>
        <w:r w:rsidR="00DA6167">
          <w:rPr>
            <w:noProof/>
            <w:webHidden/>
          </w:rPr>
          <w:instrText xml:space="preserve"> PAGEREF _Toc118978215 \h </w:instrText>
        </w:r>
        <w:r w:rsidR="00DA6167">
          <w:rPr>
            <w:noProof/>
            <w:webHidden/>
          </w:rPr>
        </w:r>
        <w:r w:rsidR="00DA6167">
          <w:rPr>
            <w:noProof/>
            <w:webHidden/>
          </w:rPr>
          <w:fldChar w:fldCharType="separate"/>
        </w:r>
        <w:r w:rsidR="00B44BF4">
          <w:rPr>
            <w:noProof/>
            <w:webHidden/>
          </w:rPr>
          <w:t>14</w:t>
        </w:r>
        <w:r w:rsidR="00DA6167">
          <w:rPr>
            <w:noProof/>
            <w:webHidden/>
          </w:rPr>
          <w:fldChar w:fldCharType="end"/>
        </w:r>
      </w:hyperlink>
    </w:p>
    <w:p w:rsidR="00DA6167" w:rsidRDefault="00CA6AB8">
      <w:pPr>
        <w:pStyle w:val="Obsah2"/>
        <w:tabs>
          <w:tab w:val="left" w:pos="880"/>
        </w:tabs>
        <w:rPr>
          <w:noProof/>
          <w:color w:val="auto"/>
          <w:szCs w:val="22"/>
          <w:lang w:eastAsia="cs-CZ"/>
        </w:rPr>
      </w:pPr>
      <w:hyperlink w:anchor="_Toc118978216" w:history="1">
        <w:r w:rsidR="00DA6167" w:rsidRPr="00286433">
          <w:rPr>
            <w:rStyle w:val="Hypertextovodkaz"/>
            <w:noProof/>
          </w:rPr>
          <w:t>1.4</w:t>
        </w:r>
        <w:r w:rsidR="00DA6167">
          <w:rPr>
            <w:noProof/>
            <w:color w:val="auto"/>
            <w:szCs w:val="22"/>
            <w:lang w:eastAsia="cs-CZ"/>
          </w:rPr>
          <w:tab/>
        </w:r>
        <w:r w:rsidR="00DA6167" w:rsidRPr="00286433">
          <w:rPr>
            <w:rStyle w:val="Hypertextovodkaz"/>
            <w:noProof/>
          </w:rPr>
          <w:t>Monitoring hospodaření</w:t>
        </w:r>
        <w:r w:rsidR="00DA6167">
          <w:rPr>
            <w:noProof/>
            <w:webHidden/>
          </w:rPr>
          <w:tab/>
        </w:r>
        <w:r w:rsidR="00DA6167">
          <w:rPr>
            <w:noProof/>
            <w:webHidden/>
          </w:rPr>
          <w:fldChar w:fldCharType="begin"/>
        </w:r>
        <w:r w:rsidR="00DA6167">
          <w:rPr>
            <w:noProof/>
            <w:webHidden/>
          </w:rPr>
          <w:instrText xml:space="preserve"> PAGEREF _Toc118978216 \h </w:instrText>
        </w:r>
        <w:r w:rsidR="00DA6167">
          <w:rPr>
            <w:noProof/>
            <w:webHidden/>
          </w:rPr>
        </w:r>
        <w:r w:rsidR="00DA6167">
          <w:rPr>
            <w:noProof/>
            <w:webHidden/>
          </w:rPr>
          <w:fldChar w:fldCharType="separate"/>
        </w:r>
        <w:r w:rsidR="00B44BF4">
          <w:rPr>
            <w:noProof/>
            <w:webHidden/>
          </w:rPr>
          <w:t>18</w:t>
        </w:r>
        <w:r w:rsidR="00DA6167">
          <w:rPr>
            <w:noProof/>
            <w:webHidden/>
          </w:rPr>
          <w:fldChar w:fldCharType="end"/>
        </w:r>
      </w:hyperlink>
    </w:p>
    <w:p w:rsidR="00DA6167" w:rsidRDefault="00CA6AB8">
      <w:pPr>
        <w:pStyle w:val="Obsah2"/>
        <w:tabs>
          <w:tab w:val="left" w:pos="880"/>
        </w:tabs>
        <w:rPr>
          <w:noProof/>
          <w:color w:val="auto"/>
          <w:szCs w:val="22"/>
          <w:lang w:eastAsia="cs-CZ"/>
        </w:rPr>
      </w:pPr>
      <w:hyperlink w:anchor="_Toc118978217" w:history="1">
        <w:r w:rsidR="00DA6167" w:rsidRPr="00286433">
          <w:rPr>
            <w:rStyle w:val="Hypertextovodkaz"/>
            <w:noProof/>
          </w:rPr>
          <w:t>1.5</w:t>
        </w:r>
        <w:r w:rsidR="00DA6167">
          <w:rPr>
            <w:noProof/>
            <w:color w:val="auto"/>
            <w:szCs w:val="22"/>
            <w:lang w:eastAsia="cs-CZ"/>
          </w:rPr>
          <w:tab/>
        </w:r>
        <w:r w:rsidR="00DA6167" w:rsidRPr="00286433">
          <w:rPr>
            <w:rStyle w:val="Hypertextovodkaz"/>
            <w:noProof/>
          </w:rPr>
          <w:t>Analýza cash flow</w:t>
        </w:r>
        <w:r w:rsidR="00DA6167">
          <w:rPr>
            <w:noProof/>
            <w:webHidden/>
          </w:rPr>
          <w:tab/>
        </w:r>
        <w:r w:rsidR="00DA6167">
          <w:rPr>
            <w:noProof/>
            <w:webHidden/>
          </w:rPr>
          <w:fldChar w:fldCharType="begin"/>
        </w:r>
        <w:r w:rsidR="00DA6167">
          <w:rPr>
            <w:noProof/>
            <w:webHidden/>
          </w:rPr>
          <w:instrText xml:space="preserve"> PAGEREF _Toc118978217 \h </w:instrText>
        </w:r>
        <w:r w:rsidR="00DA6167">
          <w:rPr>
            <w:noProof/>
            <w:webHidden/>
          </w:rPr>
        </w:r>
        <w:r w:rsidR="00DA6167">
          <w:rPr>
            <w:noProof/>
            <w:webHidden/>
          </w:rPr>
          <w:fldChar w:fldCharType="separate"/>
        </w:r>
        <w:r w:rsidR="00B44BF4">
          <w:rPr>
            <w:noProof/>
            <w:webHidden/>
          </w:rPr>
          <w:t>19</w:t>
        </w:r>
        <w:r w:rsidR="00DA6167">
          <w:rPr>
            <w:noProof/>
            <w:webHidden/>
          </w:rPr>
          <w:fldChar w:fldCharType="end"/>
        </w:r>
      </w:hyperlink>
    </w:p>
    <w:p w:rsidR="00DA6167" w:rsidRDefault="00CA6AB8">
      <w:pPr>
        <w:pStyle w:val="Obsah2"/>
        <w:tabs>
          <w:tab w:val="left" w:pos="880"/>
        </w:tabs>
        <w:rPr>
          <w:noProof/>
          <w:color w:val="auto"/>
          <w:szCs w:val="22"/>
          <w:lang w:eastAsia="cs-CZ"/>
        </w:rPr>
      </w:pPr>
      <w:hyperlink w:anchor="_Toc118978218" w:history="1">
        <w:r w:rsidR="00DA6167" w:rsidRPr="00286433">
          <w:rPr>
            <w:rStyle w:val="Hypertextovodkaz"/>
            <w:noProof/>
          </w:rPr>
          <w:t>1.6</w:t>
        </w:r>
        <w:r w:rsidR="00DA6167">
          <w:rPr>
            <w:noProof/>
            <w:color w:val="auto"/>
            <w:szCs w:val="22"/>
            <w:lang w:eastAsia="cs-CZ"/>
          </w:rPr>
          <w:tab/>
        </w:r>
        <w:r w:rsidR="00DA6167" w:rsidRPr="00286433">
          <w:rPr>
            <w:rStyle w:val="Hypertextovodkaz"/>
            <w:noProof/>
          </w:rPr>
          <w:t>Závěry analýzy hospodaření</w:t>
        </w:r>
        <w:r w:rsidR="00DA6167">
          <w:rPr>
            <w:noProof/>
            <w:webHidden/>
          </w:rPr>
          <w:tab/>
        </w:r>
        <w:r w:rsidR="00DA6167">
          <w:rPr>
            <w:noProof/>
            <w:webHidden/>
          </w:rPr>
          <w:fldChar w:fldCharType="begin"/>
        </w:r>
        <w:r w:rsidR="00DA6167">
          <w:rPr>
            <w:noProof/>
            <w:webHidden/>
          </w:rPr>
          <w:instrText xml:space="preserve"> PAGEREF _Toc118978218 \h </w:instrText>
        </w:r>
        <w:r w:rsidR="00DA6167">
          <w:rPr>
            <w:noProof/>
            <w:webHidden/>
          </w:rPr>
        </w:r>
        <w:r w:rsidR="00DA6167">
          <w:rPr>
            <w:noProof/>
            <w:webHidden/>
          </w:rPr>
          <w:fldChar w:fldCharType="separate"/>
        </w:r>
        <w:r w:rsidR="00B44BF4">
          <w:rPr>
            <w:noProof/>
            <w:webHidden/>
          </w:rPr>
          <w:t>20</w:t>
        </w:r>
        <w:r w:rsidR="00DA6167">
          <w:rPr>
            <w:noProof/>
            <w:webHidden/>
          </w:rPr>
          <w:fldChar w:fldCharType="end"/>
        </w:r>
      </w:hyperlink>
    </w:p>
    <w:p w:rsidR="00DA6167" w:rsidRDefault="00CA6AB8">
      <w:pPr>
        <w:pStyle w:val="Obsah1"/>
        <w:rPr>
          <w:color w:val="auto"/>
          <w:szCs w:val="22"/>
          <w:lang w:eastAsia="cs-CZ"/>
        </w:rPr>
      </w:pPr>
      <w:hyperlink w:anchor="_Toc118978219" w:history="1">
        <w:r w:rsidR="00DA6167" w:rsidRPr="00286433">
          <w:rPr>
            <w:rStyle w:val="Hypertextovodkaz"/>
          </w:rPr>
          <w:t>2</w:t>
        </w:r>
        <w:r w:rsidR="00DA6167">
          <w:rPr>
            <w:color w:val="auto"/>
            <w:szCs w:val="22"/>
            <w:lang w:eastAsia="cs-CZ"/>
          </w:rPr>
          <w:tab/>
        </w:r>
        <w:r w:rsidR="00DA6167" w:rsidRPr="00286433">
          <w:rPr>
            <w:rStyle w:val="Hypertextovodkaz"/>
          </w:rPr>
          <w:t>Střednědobý výhled rozpočtu</w:t>
        </w:r>
        <w:r w:rsidR="00DA6167">
          <w:rPr>
            <w:webHidden/>
          </w:rPr>
          <w:tab/>
        </w:r>
        <w:r w:rsidR="00DA6167">
          <w:rPr>
            <w:webHidden/>
          </w:rPr>
          <w:fldChar w:fldCharType="begin"/>
        </w:r>
        <w:r w:rsidR="00DA6167">
          <w:rPr>
            <w:webHidden/>
          </w:rPr>
          <w:instrText xml:space="preserve"> PAGEREF _Toc118978219 \h </w:instrText>
        </w:r>
        <w:r w:rsidR="00DA6167">
          <w:rPr>
            <w:webHidden/>
          </w:rPr>
        </w:r>
        <w:r w:rsidR="00DA6167">
          <w:rPr>
            <w:webHidden/>
          </w:rPr>
          <w:fldChar w:fldCharType="separate"/>
        </w:r>
        <w:r w:rsidR="00B44BF4">
          <w:rPr>
            <w:webHidden/>
          </w:rPr>
          <w:t>23</w:t>
        </w:r>
        <w:r w:rsidR="00DA6167">
          <w:rPr>
            <w:webHidden/>
          </w:rPr>
          <w:fldChar w:fldCharType="end"/>
        </w:r>
      </w:hyperlink>
    </w:p>
    <w:p w:rsidR="00DA6167" w:rsidRDefault="00CA6AB8">
      <w:pPr>
        <w:pStyle w:val="Obsah2"/>
        <w:tabs>
          <w:tab w:val="left" w:pos="880"/>
        </w:tabs>
        <w:rPr>
          <w:noProof/>
          <w:color w:val="auto"/>
          <w:szCs w:val="22"/>
          <w:lang w:eastAsia="cs-CZ"/>
        </w:rPr>
      </w:pPr>
      <w:hyperlink w:anchor="_Toc118978220" w:history="1">
        <w:r w:rsidR="00DA6167" w:rsidRPr="00286433">
          <w:rPr>
            <w:rStyle w:val="Hypertextovodkaz"/>
            <w:noProof/>
          </w:rPr>
          <w:t>2.1</w:t>
        </w:r>
        <w:r w:rsidR="00DA6167">
          <w:rPr>
            <w:noProof/>
            <w:color w:val="auto"/>
            <w:szCs w:val="22"/>
            <w:lang w:eastAsia="cs-CZ"/>
          </w:rPr>
          <w:tab/>
        </w:r>
        <w:r w:rsidR="00DA6167" w:rsidRPr="00286433">
          <w:rPr>
            <w:rStyle w:val="Hypertextovodkaz"/>
            <w:noProof/>
          </w:rPr>
          <w:t>Provozní hospodaření výhledového období</w:t>
        </w:r>
        <w:r w:rsidR="00DA6167">
          <w:rPr>
            <w:noProof/>
            <w:webHidden/>
          </w:rPr>
          <w:tab/>
        </w:r>
        <w:r w:rsidR="00DA6167">
          <w:rPr>
            <w:noProof/>
            <w:webHidden/>
          </w:rPr>
          <w:fldChar w:fldCharType="begin"/>
        </w:r>
        <w:r w:rsidR="00DA6167">
          <w:rPr>
            <w:noProof/>
            <w:webHidden/>
          </w:rPr>
          <w:instrText xml:space="preserve"> PAGEREF _Toc118978220 \h </w:instrText>
        </w:r>
        <w:r w:rsidR="00DA6167">
          <w:rPr>
            <w:noProof/>
            <w:webHidden/>
          </w:rPr>
        </w:r>
        <w:r w:rsidR="00DA6167">
          <w:rPr>
            <w:noProof/>
            <w:webHidden/>
          </w:rPr>
          <w:fldChar w:fldCharType="separate"/>
        </w:r>
        <w:r w:rsidR="00B44BF4">
          <w:rPr>
            <w:noProof/>
            <w:webHidden/>
          </w:rPr>
          <w:t>23</w:t>
        </w:r>
        <w:r w:rsidR="00DA6167">
          <w:rPr>
            <w:noProof/>
            <w:webHidden/>
          </w:rPr>
          <w:fldChar w:fldCharType="end"/>
        </w:r>
      </w:hyperlink>
    </w:p>
    <w:p w:rsidR="00DA6167" w:rsidRDefault="00CA6AB8">
      <w:pPr>
        <w:pStyle w:val="Obsah2"/>
        <w:tabs>
          <w:tab w:val="left" w:pos="880"/>
        </w:tabs>
        <w:rPr>
          <w:noProof/>
          <w:color w:val="auto"/>
          <w:szCs w:val="22"/>
          <w:lang w:eastAsia="cs-CZ"/>
        </w:rPr>
      </w:pPr>
      <w:hyperlink w:anchor="_Toc118978221" w:history="1">
        <w:r w:rsidR="00DA6167" w:rsidRPr="00286433">
          <w:rPr>
            <w:rStyle w:val="Hypertextovodkaz"/>
            <w:noProof/>
          </w:rPr>
          <w:t>2.2</w:t>
        </w:r>
        <w:r w:rsidR="00DA6167">
          <w:rPr>
            <w:noProof/>
            <w:color w:val="auto"/>
            <w:szCs w:val="22"/>
            <w:lang w:eastAsia="cs-CZ"/>
          </w:rPr>
          <w:tab/>
        </w:r>
        <w:r w:rsidR="00DA6167" w:rsidRPr="00286433">
          <w:rPr>
            <w:rStyle w:val="Hypertextovodkaz"/>
            <w:noProof/>
          </w:rPr>
          <w:t>Kapitálové hospodaření výhledového období</w:t>
        </w:r>
        <w:r w:rsidR="00DA6167">
          <w:rPr>
            <w:noProof/>
            <w:webHidden/>
          </w:rPr>
          <w:tab/>
        </w:r>
        <w:r w:rsidR="00DA6167">
          <w:rPr>
            <w:noProof/>
            <w:webHidden/>
          </w:rPr>
          <w:fldChar w:fldCharType="begin"/>
        </w:r>
        <w:r w:rsidR="00DA6167">
          <w:rPr>
            <w:noProof/>
            <w:webHidden/>
          </w:rPr>
          <w:instrText xml:space="preserve"> PAGEREF _Toc118978221 \h </w:instrText>
        </w:r>
        <w:r w:rsidR="00DA6167">
          <w:rPr>
            <w:noProof/>
            <w:webHidden/>
          </w:rPr>
        </w:r>
        <w:r w:rsidR="00DA6167">
          <w:rPr>
            <w:noProof/>
            <w:webHidden/>
          </w:rPr>
          <w:fldChar w:fldCharType="separate"/>
        </w:r>
        <w:r w:rsidR="00B44BF4">
          <w:rPr>
            <w:noProof/>
            <w:webHidden/>
          </w:rPr>
          <w:t>26</w:t>
        </w:r>
        <w:r w:rsidR="00DA6167">
          <w:rPr>
            <w:noProof/>
            <w:webHidden/>
          </w:rPr>
          <w:fldChar w:fldCharType="end"/>
        </w:r>
      </w:hyperlink>
    </w:p>
    <w:p w:rsidR="00DA6167" w:rsidRDefault="00CA6AB8">
      <w:pPr>
        <w:pStyle w:val="Obsah2"/>
        <w:tabs>
          <w:tab w:val="left" w:pos="880"/>
        </w:tabs>
        <w:rPr>
          <w:noProof/>
          <w:color w:val="auto"/>
          <w:szCs w:val="22"/>
          <w:lang w:eastAsia="cs-CZ"/>
        </w:rPr>
      </w:pPr>
      <w:hyperlink w:anchor="_Toc118978222" w:history="1">
        <w:r w:rsidR="00DA6167" w:rsidRPr="00286433">
          <w:rPr>
            <w:rStyle w:val="Hypertextovodkaz"/>
            <w:noProof/>
          </w:rPr>
          <w:t>2.3</w:t>
        </w:r>
        <w:r w:rsidR="00DA6167">
          <w:rPr>
            <w:noProof/>
            <w:color w:val="auto"/>
            <w:szCs w:val="22"/>
            <w:lang w:eastAsia="cs-CZ"/>
          </w:rPr>
          <w:tab/>
        </w:r>
        <w:r w:rsidR="00DA6167" w:rsidRPr="00286433">
          <w:rPr>
            <w:rStyle w:val="Hypertextovodkaz"/>
            <w:noProof/>
          </w:rPr>
          <w:t>Celkové hospodaření výhledového období</w:t>
        </w:r>
        <w:r w:rsidR="00DA6167">
          <w:rPr>
            <w:noProof/>
            <w:webHidden/>
          </w:rPr>
          <w:tab/>
        </w:r>
        <w:r w:rsidR="00DA6167">
          <w:rPr>
            <w:noProof/>
            <w:webHidden/>
          </w:rPr>
          <w:fldChar w:fldCharType="begin"/>
        </w:r>
        <w:r w:rsidR="00DA6167">
          <w:rPr>
            <w:noProof/>
            <w:webHidden/>
          </w:rPr>
          <w:instrText xml:space="preserve"> PAGEREF _Toc118978222 \h </w:instrText>
        </w:r>
        <w:r w:rsidR="00DA6167">
          <w:rPr>
            <w:noProof/>
            <w:webHidden/>
          </w:rPr>
        </w:r>
        <w:r w:rsidR="00DA6167">
          <w:rPr>
            <w:noProof/>
            <w:webHidden/>
          </w:rPr>
          <w:fldChar w:fldCharType="separate"/>
        </w:r>
        <w:r w:rsidR="00B44BF4">
          <w:rPr>
            <w:noProof/>
            <w:webHidden/>
          </w:rPr>
          <w:t>26</w:t>
        </w:r>
        <w:r w:rsidR="00DA6167">
          <w:rPr>
            <w:noProof/>
            <w:webHidden/>
          </w:rPr>
          <w:fldChar w:fldCharType="end"/>
        </w:r>
      </w:hyperlink>
    </w:p>
    <w:p w:rsidR="00DA6167" w:rsidRDefault="00CA6AB8">
      <w:pPr>
        <w:pStyle w:val="Obsah2"/>
        <w:tabs>
          <w:tab w:val="left" w:pos="880"/>
        </w:tabs>
        <w:rPr>
          <w:noProof/>
          <w:color w:val="auto"/>
          <w:szCs w:val="22"/>
          <w:lang w:eastAsia="cs-CZ"/>
        </w:rPr>
      </w:pPr>
      <w:hyperlink w:anchor="_Toc118978223" w:history="1">
        <w:r w:rsidR="00DA6167" w:rsidRPr="00286433">
          <w:rPr>
            <w:rStyle w:val="Hypertextovodkaz"/>
            <w:noProof/>
          </w:rPr>
          <w:t>2.4</w:t>
        </w:r>
        <w:r w:rsidR="00DA6167">
          <w:rPr>
            <w:noProof/>
            <w:color w:val="auto"/>
            <w:szCs w:val="22"/>
            <w:lang w:eastAsia="cs-CZ"/>
          </w:rPr>
          <w:tab/>
        </w:r>
        <w:r w:rsidR="00DA6167" w:rsidRPr="00286433">
          <w:rPr>
            <w:rStyle w:val="Hypertextovodkaz"/>
            <w:noProof/>
          </w:rPr>
          <w:t>Dluhová služba</w:t>
        </w:r>
        <w:r w:rsidR="00DA6167">
          <w:rPr>
            <w:noProof/>
            <w:webHidden/>
          </w:rPr>
          <w:tab/>
        </w:r>
        <w:r w:rsidR="00DA6167">
          <w:rPr>
            <w:noProof/>
            <w:webHidden/>
          </w:rPr>
          <w:fldChar w:fldCharType="begin"/>
        </w:r>
        <w:r w:rsidR="00DA6167">
          <w:rPr>
            <w:noProof/>
            <w:webHidden/>
          </w:rPr>
          <w:instrText xml:space="preserve"> PAGEREF _Toc118978223 \h </w:instrText>
        </w:r>
        <w:r w:rsidR="00DA6167">
          <w:rPr>
            <w:noProof/>
            <w:webHidden/>
          </w:rPr>
        </w:r>
        <w:r w:rsidR="00DA6167">
          <w:rPr>
            <w:noProof/>
            <w:webHidden/>
          </w:rPr>
          <w:fldChar w:fldCharType="separate"/>
        </w:r>
        <w:r w:rsidR="00B44BF4">
          <w:rPr>
            <w:noProof/>
            <w:webHidden/>
          </w:rPr>
          <w:t>27</w:t>
        </w:r>
        <w:r w:rsidR="00DA6167">
          <w:rPr>
            <w:noProof/>
            <w:webHidden/>
          </w:rPr>
          <w:fldChar w:fldCharType="end"/>
        </w:r>
      </w:hyperlink>
    </w:p>
    <w:p w:rsidR="00DA6167" w:rsidRDefault="00CA6AB8">
      <w:pPr>
        <w:pStyle w:val="Obsah2"/>
        <w:tabs>
          <w:tab w:val="left" w:pos="880"/>
        </w:tabs>
        <w:rPr>
          <w:noProof/>
          <w:color w:val="auto"/>
          <w:szCs w:val="22"/>
          <w:lang w:eastAsia="cs-CZ"/>
        </w:rPr>
      </w:pPr>
      <w:hyperlink w:anchor="_Toc118978224" w:history="1">
        <w:r w:rsidR="00DA6167" w:rsidRPr="00286433">
          <w:rPr>
            <w:rStyle w:val="Hypertextovodkaz"/>
            <w:noProof/>
          </w:rPr>
          <w:t>2.5</w:t>
        </w:r>
        <w:r w:rsidR="00DA6167">
          <w:rPr>
            <w:noProof/>
            <w:color w:val="auto"/>
            <w:szCs w:val="22"/>
            <w:lang w:eastAsia="cs-CZ"/>
          </w:rPr>
          <w:tab/>
        </w:r>
        <w:r w:rsidR="00DA6167" w:rsidRPr="00286433">
          <w:rPr>
            <w:rStyle w:val="Hypertextovodkaz"/>
            <w:noProof/>
          </w:rPr>
          <w:t>Analýza zadlužení</w:t>
        </w:r>
        <w:r w:rsidR="00DA6167">
          <w:rPr>
            <w:noProof/>
            <w:webHidden/>
          </w:rPr>
          <w:tab/>
        </w:r>
        <w:r w:rsidR="00DA6167">
          <w:rPr>
            <w:noProof/>
            <w:webHidden/>
          </w:rPr>
          <w:fldChar w:fldCharType="begin"/>
        </w:r>
        <w:r w:rsidR="00DA6167">
          <w:rPr>
            <w:noProof/>
            <w:webHidden/>
          </w:rPr>
          <w:instrText xml:space="preserve"> PAGEREF _Toc118978224 \h </w:instrText>
        </w:r>
        <w:r w:rsidR="00DA6167">
          <w:rPr>
            <w:noProof/>
            <w:webHidden/>
          </w:rPr>
        </w:r>
        <w:r w:rsidR="00DA6167">
          <w:rPr>
            <w:noProof/>
            <w:webHidden/>
          </w:rPr>
          <w:fldChar w:fldCharType="separate"/>
        </w:r>
        <w:r w:rsidR="00B44BF4">
          <w:rPr>
            <w:noProof/>
            <w:webHidden/>
          </w:rPr>
          <w:t>28</w:t>
        </w:r>
        <w:r w:rsidR="00DA6167">
          <w:rPr>
            <w:noProof/>
            <w:webHidden/>
          </w:rPr>
          <w:fldChar w:fldCharType="end"/>
        </w:r>
      </w:hyperlink>
    </w:p>
    <w:p w:rsidR="00DA6167" w:rsidRDefault="00CA6AB8">
      <w:pPr>
        <w:pStyle w:val="Obsah1"/>
        <w:rPr>
          <w:color w:val="auto"/>
          <w:szCs w:val="22"/>
          <w:lang w:eastAsia="cs-CZ"/>
        </w:rPr>
      </w:pPr>
      <w:hyperlink w:anchor="_Toc118978225" w:history="1">
        <w:r w:rsidR="00DA6167" w:rsidRPr="00286433">
          <w:rPr>
            <w:rStyle w:val="Hypertextovodkaz"/>
          </w:rPr>
          <w:t>3</w:t>
        </w:r>
        <w:r w:rsidR="00DA6167">
          <w:rPr>
            <w:color w:val="auto"/>
            <w:szCs w:val="22"/>
            <w:lang w:eastAsia="cs-CZ"/>
          </w:rPr>
          <w:tab/>
        </w:r>
        <w:r w:rsidR="00DA6167" w:rsidRPr="00286433">
          <w:rPr>
            <w:rStyle w:val="Hypertextovodkaz"/>
          </w:rPr>
          <w:t>Ekonomické hodnocení</w:t>
        </w:r>
        <w:r w:rsidR="00DA6167">
          <w:rPr>
            <w:webHidden/>
          </w:rPr>
          <w:tab/>
        </w:r>
        <w:r w:rsidR="00DA6167">
          <w:rPr>
            <w:webHidden/>
          </w:rPr>
          <w:fldChar w:fldCharType="begin"/>
        </w:r>
        <w:r w:rsidR="00DA6167">
          <w:rPr>
            <w:webHidden/>
          </w:rPr>
          <w:instrText xml:space="preserve"> PAGEREF _Toc118978225 \h </w:instrText>
        </w:r>
        <w:r w:rsidR="00DA6167">
          <w:rPr>
            <w:webHidden/>
          </w:rPr>
        </w:r>
        <w:r w:rsidR="00DA6167">
          <w:rPr>
            <w:webHidden/>
          </w:rPr>
          <w:fldChar w:fldCharType="separate"/>
        </w:r>
        <w:r w:rsidR="00B44BF4">
          <w:rPr>
            <w:webHidden/>
          </w:rPr>
          <w:t>31</w:t>
        </w:r>
        <w:r w:rsidR="00DA6167">
          <w:rPr>
            <w:webHidden/>
          </w:rPr>
          <w:fldChar w:fldCharType="end"/>
        </w:r>
      </w:hyperlink>
    </w:p>
    <w:p w:rsidR="00DA6167" w:rsidRDefault="00CA6AB8">
      <w:pPr>
        <w:pStyle w:val="Obsah1"/>
        <w:rPr>
          <w:color w:val="auto"/>
          <w:szCs w:val="22"/>
          <w:lang w:eastAsia="cs-CZ"/>
        </w:rPr>
      </w:pPr>
      <w:hyperlink w:anchor="_Toc118978226" w:history="1">
        <w:r w:rsidR="00DA6167" w:rsidRPr="00286433">
          <w:rPr>
            <w:rStyle w:val="Hypertextovodkaz"/>
          </w:rPr>
          <w:t>Závěr</w:t>
        </w:r>
        <w:r w:rsidR="00DA6167">
          <w:rPr>
            <w:webHidden/>
          </w:rPr>
          <w:tab/>
        </w:r>
        <w:r w:rsidR="00DA6167">
          <w:rPr>
            <w:webHidden/>
          </w:rPr>
          <w:fldChar w:fldCharType="begin"/>
        </w:r>
        <w:r w:rsidR="00DA6167">
          <w:rPr>
            <w:webHidden/>
          </w:rPr>
          <w:instrText xml:space="preserve"> PAGEREF _Toc118978226 \h </w:instrText>
        </w:r>
        <w:r w:rsidR="00DA6167">
          <w:rPr>
            <w:webHidden/>
          </w:rPr>
        </w:r>
        <w:r w:rsidR="00DA6167">
          <w:rPr>
            <w:webHidden/>
          </w:rPr>
          <w:fldChar w:fldCharType="separate"/>
        </w:r>
        <w:r w:rsidR="00B44BF4">
          <w:rPr>
            <w:webHidden/>
          </w:rPr>
          <w:t>33</w:t>
        </w:r>
        <w:r w:rsidR="00DA6167">
          <w:rPr>
            <w:webHidden/>
          </w:rPr>
          <w:fldChar w:fldCharType="end"/>
        </w:r>
      </w:hyperlink>
    </w:p>
    <w:p w:rsidR="00DA6167" w:rsidRDefault="00CA6AB8">
      <w:pPr>
        <w:pStyle w:val="Obsah1"/>
        <w:rPr>
          <w:color w:val="auto"/>
          <w:szCs w:val="22"/>
          <w:lang w:eastAsia="cs-CZ"/>
        </w:rPr>
      </w:pPr>
      <w:hyperlink w:anchor="_Toc118978227" w:history="1">
        <w:r w:rsidR="00DA6167" w:rsidRPr="00286433">
          <w:rPr>
            <w:rStyle w:val="Hypertextovodkaz"/>
          </w:rPr>
          <w:t>Seznam tabulek a grafů</w:t>
        </w:r>
        <w:r w:rsidR="00DA6167">
          <w:rPr>
            <w:webHidden/>
          </w:rPr>
          <w:tab/>
        </w:r>
        <w:r w:rsidR="00DA6167">
          <w:rPr>
            <w:webHidden/>
          </w:rPr>
          <w:fldChar w:fldCharType="begin"/>
        </w:r>
        <w:r w:rsidR="00DA6167">
          <w:rPr>
            <w:webHidden/>
          </w:rPr>
          <w:instrText xml:space="preserve"> PAGEREF _Toc118978227 \h </w:instrText>
        </w:r>
        <w:r w:rsidR="00DA6167">
          <w:rPr>
            <w:webHidden/>
          </w:rPr>
        </w:r>
        <w:r w:rsidR="00DA6167">
          <w:rPr>
            <w:webHidden/>
          </w:rPr>
          <w:fldChar w:fldCharType="separate"/>
        </w:r>
        <w:r w:rsidR="00B44BF4">
          <w:rPr>
            <w:webHidden/>
          </w:rPr>
          <w:t>35</w:t>
        </w:r>
        <w:r w:rsidR="00DA6167">
          <w:rPr>
            <w:webHidden/>
          </w:rPr>
          <w:fldChar w:fldCharType="end"/>
        </w:r>
      </w:hyperlink>
    </w:p>
    <w:p w:rsidR="00DA6167" w:rsidRDefault="00CA6AB8">
      <w:pPr>
        <w:pStyle w:val="Obsah1"/>
        <w:rPr>
          <w:color w:val="auto"/>
          <w:szCs w:val="22"/>
          <w:lang w:eastAsia="cs-CZ"/>
        </w:rPr>
      </w:pPr>
      <w:hyperlink w:anchor="_Toc118978228" w:history="1">
        <w:r w:rsidR="00DA6167" w:rsidRPr="00286433">
          <w:rPr>
            <w:rStyle w:val="Hypertextovodkaz"/>
          </w:rPr>
          <w:t>Seznam příloh</w:t>
        </w:r>
        <w:r w:rsidR="00DA6167">
          <w:rPr>
            <w:webHidden/>
          </w:rPr>
          <w:tab/>
        </w:r>
        <w:r w:rsidR="00DA6167">
          <w:rPr>
            <w:webHidden/>
          </w:rPr>
          <w:fldChar w:fldCharType="begin"/>
        </w:r>
        <w:r w:rsidR="00DA6167">
          <w:rPr>
            <w:webHidden/>
          </w:rPr>
          <w:instrText xml:space="preserve"> PAGEREF _Toc118978228 \h </w:instrText>
        </w:r>
        <w:r w:rsidR="00DA6167">
          <w:rPr>
            <w:webHidden/>
          </w:rPr>
        </w:r>
        <w:r w:rsidR="00DA6167">
          <w:rPr>
            <w:webHidden/>
          </w:rPr>
          <w:fldChar w:fldCharType="separate"/>
        </w:r>
        <w:r w:rsidR="00B44BF4">
          <w:rPr>
            <w:webHidden/>
          </w:rPr>
          <w:t>36</w:t>
        </w:r>
        <w:r w:rsidR="00DA6167">
          <w:rPr>
            <w:webHidden/>
          </w:rPr>
          <w:fldChar w:fldCharType="end"/>
        </w:r>
      </w:hyperlink>
    </w:p>
    <w:p w:rsidR="00A63C37" w:rsidRDefault="00C3021F" w:rsidP="00A63C37">
      <w:pPr>
        <w:pStyle w:val="Obsah1"/>
        <w:rPr>
          <w:rStyle w:val="Hypertextovodkaz"/>
          <w:color w:val="2E3192"/>
        </w:rPr>
      </w:pPr>
      <w:r>
        <w:rPr>
          <w:rStyle w:val="Hypertextovodkaz"/>
          <w:color w:val="2E3192"/>
        </w:rPr>
        <w:fldChar w:fldCharType="end"/>
      </w:r>
      <w:r w:rsidR="00A63C37">
        <w:rPr>
          <w:rStyle w:val="Hypertextovodkaz"/>
          <w:color w:val="2E3192"/>
        </w:rPr>
        <w:br w:type="page"/>
      </w:r>
    </w:p>
    <w:p w:rsidR="00A63C37" w:rsidRPr="00F15ADB" w:rsidRDefault="00A63C37" w:rsidP="00A63C37">
      <w:pPr>
        <w:pStyle w:val="Nadpis1"/>
        <w:numPr>
          <w:ilvl w:val="0"/>
          <w:numId w:val="0"/>
        </w:numPr>
      </w:pPr>
      <w:bookmarkStart w:id="1" w:name="_Toc118978209"/>
      <w:bookmarkStart w:id="2" w:name="_Toc355271388"/>
      <w:bookmarkStart w:id="3" w:name="_Toc62211713"/>
      <w:bookmarkStart w:id="4" w:name="_Toc62211714"/>
      <w:r w:rsidRPr="00F15ADB">
        <w:lastRenderedPageBreak/>
        <w:t>Definice základních pojmů</w:t>
      </w:r>
      <w:bookmarkEnd w:id="1"/>
    </w:p>
    <w:p w:rsidR="00A63C37" w:rsidRPr="00F15ADB" w:rsidRDefault="00A63C37" w:rsidP="00A63C37">
      <w:pPr>
        <w:pStyle w:val="Kaskda0"/>
        <w:numPr>
          <w:ilvl w:val="0"/>
          <w:numId w:val="35"/>
        </w:numPr>
      </w:pPr>
      <w:r w:rsidRPr="00F15ADB">
        <w:rPr>
          <w:b/>
        </w:rPr>
        <w:t>Běžné příjmy</w:t>
      </w:r>
      <w:r w:rsidRPr="00F15ADB">
        <w:t xml:space="preserve"> – daňové příjmy, nedaňové příjmy a provozní dotace (transfery)</w:t>
      </w:r>
      <w:r>
        <w:t>.</w:t>
      </w:r>
    </w:p>
    <w:p w:rsidR="00A63C37" w:rsidRPr="00F15ADB" w:rsidRDefault="00A63C37" w:rsidP="00A63C37">
      <w:pPr>
        <w:pStyle w:val="Kaskda0"/>
        <w:numPr>
          <w:ilvl w:val="0"/>
          <w:numId w:val="35"/>
        </w:numPr>
      </w:pPr>
      <w:r w:rsidRPr="00F15ADB">
        <w:rPr>
          <w:b/>
        </w:rPr>
        <w:t xml:space="preserve">Kapitálové příjmy </w:t>
      </w:r>
      <w:r w:rsidRPr="00F15ADB">
        <w:t>– prodej pozemků, ostatních nemovitostí, akcií a majetkových práv</w:t>
      </w:r>
      <w:r>
        <w:t>.</w:t>
      </w:r>
    </w:p>
    <w:p w:rsidR="00A63C37" w:rsidRPr="00F15ADB" w:rsidRDefault="00A63C37" w:rsidP="00A63C37">
      <w:pPr>
        <w:pStyle w:val="Kaskda0"/>
        <w:numPr>
          <w:ilvl w:val="0"/>
          <w:numId w:val="35"/>
        </w:numPr>
      </w:pPr>
      <w:r w:rsidRPr="00F15ADB">
        <w:rPr>
          <w:b/>
        </w:rPr>
        <w:t xml:space="preserve">Investiční příjmy </w:t>
      </w:r>
      <w:r w:rsidRPr="00F15ADB">
        <w:t>– obsahují kapitálové příjmy a investiční dotace (transfery)</w:t>
      </w:r>
      <w:r>
        <w:t>.</w:t>
      </w:r>
    </w:p>
    <w:p w:rsidR="00A63C37" w:rsidRPr="00F15ADB" w:rsidRDefault="00A63C37" w:rsidP="00A63C37">
      <w:pPr>
        <w:pStyle w:val="Kaskda0"/>
        <w:numPr>
          <w:ilvl w:val="0"/>
          <w:numId w:val="35"/>
        </w:numPr>
      </w:pPr>
      <w:r w:rsidRPr="00F15ADB">
        <w:rPr>
          <w:b/>
        </w:rPr>
        <w:t xml:space="preserve">Provozní přebytek </w:t>
      </w:r>
      <w:r w:rsidRPr="00F15ADB">
        <w:t>(saldo</w:t>
      </w:r>
      <w:r w:rsidRPr="00F15ADB">
        <w:rPr>
          <w:b/>
        </w:rPr>
        <w:t xml:space="preserve"> </w:t>
      </w:r>
      <w:r w:rsidRPr="00F15ADB">
        <w:t xml:space="preserve">provozního rozpočtu) – rozdíl běžných příjmů a běžných výdajů. Výše provozního přebytku by měla </w:t>
      </w:r>
      <w:r w:rsidRPr="00F15ADB">
        <w:rPr>
          <w:b/>
        </w:rPr>
        <w:t>vždy</w:t>
      </w:r>
      <w:r w:rsidRPr="00F15ADB">
        <w:t xml:space="preserve"> nabývat kladných h</w:t>
      </w:r>
      <w:r>
        <w:t>odnot a neměla by v čase klesat.</w:t>
      </w:r>
    </w:p>
    <w:p w:rsidR="00A63C37" w:rsidRPr="00F15ADB" w:rsidRDefault="00A63C37" w:rsidP="00A63C37">
      <w:pPr>
        <w:pStyle w:val="Kaskda0"/>
        <w:numPr>
          <w:ilvl w:val="0"/>
          <w:numId w:val="35"/>
        </w:numPr>
      </w:pPr>
      <w:r w:rsidRPr="00F15ADB">
        <w:rPr>
          <w:b/>
        </w:rPr>
        <w:t>Rozdíl provozního přebytku a splátek jistin</w:t>
      </w:r>
      <w:r w:rsidRPr="00F15ADB">
        <w:t xml:space="preserve"> – rozdíl provozního salda a splátek krátkodobých i dlouhodobých úvěrů. Také výše tohoto ukazatele by měla být </w:t>
      </w:r>
      <w:r w:rsidRPr="00F15ADB">
        <w:rPr>
          <w:b/>
        </w:rPr>
        <w:t xml:space="preserve">vždy </w:t>
      </w:r>
      <w:r w:rsidRPr="00F15ADB">
        <w:t>kladná</w:t>
      </w:r>
      <w:r>
        <w:t>.</w:t>
      </w:r>
    </w:p>
    <w:p w:rsidR="00A63C37" w:rsidRPr="00F15ADB" w:rsidRDefault="00A63C37" w:rsidP="00A63C37">
      <w:pPr>
        <w:pStyle w:val="Kaskda0"/>
        <w:numPr>
          <w:ilvl w:val="0"/>
          <w:numId w:val="35"/>
        </w:numPr>
      </w:pPr>
      <w:r w:rsidRPr="00F15ADB">
        <w:rPr>
          <w:b/>
        </w:rPr>
        <w:t>Saldo bez financování</w:t>
      </w:r>
      <w:r w:rsidRPr="00F15ADB">
        <w:t xml:space="preserve"> – rozdíl celkových příjmů a výdajů</w:t>
      </w:r>
      <w:r>
        <w:t>.</w:t>
      </w:r>
    </w:p>
    <w:p w:rsidR="00A63C37" w:rsidRPr="00F15ADB" w:rsidRDefault="00A63C37" w:rsidP="00A63C37">
      <w:pPr>
        <w:pStyle w:val="Kaskda0"/>
        <w:numPr>
          <w:ilvl w:val="0"/>
          <w:numId w:val="35"/>
        </w:numPr>
      </w:pPr>
      <w:r w:rsidRPr="00F15ADB">
        <w:rPr>
          <w:b/>
        </w:rPr>
        <w:t xml:space="preserve">Bilance hospodaření </w:t>
      </w:r>
      <w:r w:rsidRPr="00F15ADB">
        <w:t>(saldo rozpočtu)</w:t>
      </w:r>
      <w:r w:rsidRPr="00F15ADB">
        <w:rPr>
          <w:b/>
        </w:rPr>
        <w:t xml:space="preserve"> </w:t>
      </w:r>
      <w:r w:rsidRPr="00F15ADB">
        <w:t>– celkové příjmy a přijaté úvěry minus celkové výdaje a uhrazené splátky úvěrů</w:t>
      </w:r>
      <w:r>
        <w:t>.</w:t>
      </w:r>
    </w:p>
    <w:p w:rsidR="00A63C37" w:rsidRPr="00F15ADB" w:rsidRDefault="00A63C37" w:rsidP="00A63C37">
      <w:pPr>
        <w:pStyle w:val="Kaskda0"/>
        <w:numPr>
          <w:ilvl w:val="0"/>
          <w:numId w:val="35"/>
        </w:numPr>
      </w:pPr>
      <w:r w:rsidRPr="00F15ADB">
        <w:rPr>
          <w:b/>
        </w:rPr>
        <w:t xml:space="preserve">Saldo kapitálového rozpočtu – </w:t>
      </w:r>
      <w:r w:rsidRPr="00F15ADB">
        <w:t>rozdíl investičních příjmů a kapitálových výdajů</w:t>
      </w:r>
      <w:r>
        <w:t>.</w:t>
      </w:r>
    </w:p>
    <w:p w:rsidR="00A63C37" w:rsidRPr="00F15ADB" w:rsidRDefault="00A63C37" w:rsidP="00A63C37">
      <w:pPr>
        <w:pStyle w:val="Kaskda0"/>
        <w:numPr>
          <w:ilvl w:val="0"/>
          <w:numId w:val="35"/>
        </w:numPr>
      </w:pPr>
      <w:r w:rsidRPr="00F15ADB">
        <w:rPr>
          <w:b/>
        </w:rPr>
        <w:t>Dluhová základna</w:t>
      </w:r>
      <w:r w:rsidRPr="00F15ADB">
        <w:t xml:space="preserve"> – celkové příjmy po konsolidaci</w:t>
      </w:r>
      <w:r>
        <w:t>.</w:t>
      </w:r>
    </w:p>
    <w:p w:rsidR="00A63C37" w:rsidRPr="00F15ADB" w:rsidRDefault="00A63C37" w:rsidP="00A63C37">
      <w:pPr>
        <w:pStyle w:val="Kaskda0"/>
        <w:numPr>
          <w:ilvl w:val="0"/>
          <w:numId w:val="35"/>
        </w:numPr>
      </w:pPr>
      <w:r w:rsidRPr="00F15ADB">
        <w:rPr>
          <w:b/>
        </w:rPr>
        <w:t>Dluhová služba</w:t>
      </w:r>
      <w:r w:rsidRPr="00F15ADB">
        <w:t xml:space="preserve"> – součet splátek úroků a splátek jistin</w:t>
      </w:r>
      <w:r>
        <w:t>.</w:t>
      </w:r>
    </w:p>
    <w:p w:rsidR="00A63C37" w:rsidRPr="00C97377" w:rsidRDefault="00A63C37" w:rsidP="00A63C37">
      <w:pPr>
        <w:pStyle w:val="Kaskda0"/>
        <w:numPr>
          <w:ilvl w:val="0"/>
          <w:numId w:val="35"/>
        </w:numPr>
      </w:pPr>
      <w:r w:rsidRPr="0088212C">
        <w:rPr>
          <w:b/>
        </w:rPr>
        <w:t>Celková dluhová služba (dluh)</w:t>
      </w:r>
      <w:r w:rsidRPr="00C97377">
        <w:t xml:space="preserve"> - celková výše splátek jistin, dluhopisů apod. bez úroků.</w:t>
      </w:r>
    </w:p>
    <w:p w:rsidR="00A63C37" w:rsidRPr="00F15ADB" w:rsidRDefault="00A63C37" w:rsidP="00A63C37">
      <w:pPr>
        <w:pStyle w:val="Kaskda0"/>
        <w:numPr>
          <w:ilvl w:val="0"/>
          <w:numId w:val="35"/>
        </w:numPr>
      </w:pPr>
      <w:r w:rsidRPr="00F15ADB">
        <w:rPr>
          <w:b/>
        </w:rPr>
        <w:t>Ukazatel dluhové služby</w:t>
      </w:r>
      <w:r w:rsidRPr="00F15ADB">
        <w:t xml:space="preserve"> vyjadřuje procentuální poměr </w:t>
      </w:r>
      <w:r w:rsidRPr="00F15ADB">
        <w:rPr>
          <w:b/>
        </w:rPr>
        <w:t>dluhové služby</w:t>
      </w:r>
      <w:r w:rsidRPr="00F15ADB">
        <w:t xml:space="preserve"> a </w:t>
      </w:r>
      <w:r w:rsidRPr="00F15ADB">
        <w:rPr>
          <w:b/>
        </w:rPr>
        <w:t>dluhové základny</w:t>
      </w:r>
      <w:r w:rsidRPr="00F15ADB">
        <w:t>. Neměl by pře</w:t>
      </w:r>
      <w:r>
        <w:t>sáhnout hodnotu 25 %.</w:t>
      </w:r>
    </w:p>
    <w:p w:rsidR="00A63C37" w:rsidRPr="00F15ADB" w:rsidRDefault="00A63C37" w:rsidP="00A63C37">
      <w:pPr>
        <w:pStyle w:val="Kaskda0"/>
        <w:numPr>
          <w:ilvl w:val="0"/>
          <w:numId w:val="35"/>
        </w:numPr>
      </w:pPr>
      <w:r w:rsidRPr="00F15ADB">
        <w:rPr>
          <w:b/>
        </w:rPr>
        <w:t xml:space="preserve">Ukazatel provozních úspor </w:t>
      </w:r>
      <w:proofErr w:type="gramStart"/>
      <w:r w:rsidRPr="00F15ADB">
        <w:t>-  vyjadřuje</w:t>
      </w:r>
      <w:proofErr w:type="gramEnd"/>
      <w:r w:rsidRPr="00F15ADB">
        <w:t xml:space="preserve"> využitelnost provozních prostředků, tj. jaká část provozních prostředků může být využita na krytí investičních záměrů m</w:t>
      </w:r>
      <w:r>
        <w:t>unicipality</w:t>
      </w:r>
      <w:r w:rsidRPr="00F15ADB">
        <w:t>. Optimální hodnota ukazatele se pohybuje okolo 2</w:t>
      </w:r>
      <w:r>
        <w:t>5</w:t>
      </w:r>
      <w:r w:rsidRPr="00F15ADB">
        <w:t xml:space="preserve"> % a neměla by klesnout pod 10 %, která je považována za minimální hodnotu tohoto ukazatele.</w:t>
      </w:r>
    </w:p>
    <w:p w:rsidR="00A63C37" w:rsidRPr="00F15ADB" w:rsidRDefault="00A63C37" w:rsidP="00A63C37">
      <w:pPr>
        <w:pStyle w:val="Kaskda0"/>
        <w:numPr>
          <w:ilvl w:val="0"/>
          <w:numId w:val="35"/>
        </w:numPr>
      </w:pPr>
      <w:r w:rsidRPr="00F15ADB">
        <w:rPr>
          <w:b/>
        </w:rPr>
        <w:t xml:space="preserve">Podíl cizích zdrojů k celkovým </w:t>
      </w:r>
      <w:proofErr w:type="gramStart"/>
      <w:r w:rsidRPr="00F15ADB">
        <w:rPr>
          <w:b/>
        </w:rPr>
        <w:t>aktivům</w:t>
      </w:r>
      <w:r w:rsidRPr="00F15ADB">
        <w:t xml:space="preserve"> - Ukazatel</w:t>
      </w:r>
      <w:proofErr w:type="gramEnd"/>
      <w:r w:rsidRPr="00F15ADB">
        <w:t xml:space="preserve"> vyjadřuje poměr zadlužení k celkovému majetku ÚSC. Za rizikovou hodnotu je považován ukazatel vyšší než 25 %.</w:t>
      </w:r>
    </w:p>
    <w:p w:rsidR="00A63C37" w:rsidRPr="00F15ADB" w:rsidRDefault="00A63C37" w:rsidP="00A63C37">
      <w:pPr>
        <w:pStyle w:val="Kaskda0"/>
        <w:numPr>
          <w:ilvl w:val="0"/>
          <w:numId w:val="35"/>
        </w:numPr>
      </w:pPr>
      <w:r w:rsidRPr="00F15ADB">
        <w:rPr>
          <w:b/>
        </w:rPr>
        <w:t xml:space="preserve">Celková </w:t>
      </w:r>
      <w:proofErr w:type="gramStart"/>
      <w:r w:rsidRPr="00F15ADB">
        <w:rPr>
          <w:b/>
        </w:rPr>
        <w:t xml:space="preserve">likvidita </w:t>
      </w:r>
      <w:r w:rsidRPr="00F15ADB">
        <w:t>- vyjadřuje</w:t>
      </w:r>
      <w:proofErr w:type="gramEnd"/>
      <w:r w:rsidRPr="00F15ADB">
        <w:t xml:space="preserve"> poměr, kterým je obec schopna krýt své krátkodobé závazky především prostředky na bankovních účtech a hotovostí. Za rizikovou hodnotu se považuje hodnota menší než 1.</w:t>
      </w:r>
    </w:p>
    <w:p w:rsidR="00A63C37" w:rsidRPr="00F15ADB" w:rsidRDefault="00A63C37" w:rsidP="00A63C37">
      <w:pPr>
        <w:pStyle w:val="Kaskda0"/>
        <w:numPr>
          <w:ilvl w:val="0"/>
          <w:numId w:val="35"/>
        </w:numPr>
      </w:pPr>
      <w:r w:rsidRPr="00F15ADB">
        <w:rPr>
          <w:b/>
        </w:rPr>
        <w:t xml:space="preserve">Platební schopnost I. </w:t>
      </w:r>
      <w:proofErr w:type="gramStart"/>
      <w:r w:rsidRPr="00F15ADB">
        <w:rPr>
          <w:b/>
        </w:rPr>
        <w:t>řádu</w:t>
      </w:r>
      <w:r w:rsidRPr="00F15ADB">
        <w:t xml:space="preserve"> - poměr</w:t>
      </w:r>
      <w:proofErr w:type="gramEnd"/>
      <w:r w:rsidRPr="00F15ADB">
        <w:t xml:space="preserve"> celkového dluhu k provoznímu přebytku vyjadřuje schopnost m</w:t>
      </w:r>
      <w:r>
        <w:t>unicipality</w:t>
      </w:r>
      <w:r w:rsidRPr="00F15ADB">
        <w:t xml:space="preserve"> splatit celkové závazky, pokud bude k jejich úhradě použito celé saldo provozního rozpočtu. Optimální hodnoty se pohybují pod hranicí 2, stabilní finanční zdraví ukazují ještě hodnoty do 6.</w:t>
      </w:r>
    </w:p>
    <w:p w:rsidR="00A63C37" w:rsidRPr="00F15ADB" w:rsidRDefault="00A63C37" w:rsidP="00A63C37">
      <w:pPr>
        <w:pStyle w:val="Kaskda0"/>
        <w:numPr>
          <w:ilvl w:val="0"/>
          <w:numId w:val="35"/>
        </w:numPr>
      </w:pPr>
      <w:r w:rsidRPr="00F15ADB">
        <w:rPr>
          <w:b/>
        </w:rPr>
        <w:t xml:space="preserve">Platební schopnost II. </w:t>
      </w:r>
      <w:proofErr w:type="gramStart"/>
      <w:r w:rsidRPr="00F15ADB">
        <w:rPr>
          <w:b/>
        </w:rPr>
        <w:t>řádu</w:t>
      </w:r>
      <w:r w:rsidRPr="00F15ADB">
        <w:t xml:space="preserve"> - poměr</w:t>
      </w:r>
      <w:proofErr w:type="gramEnd"/>
      <w:r w:rsidRPr="00F15ADB">
        <w:t xml:space="preserve"> ročních splátek dluhu k provoznímu přebytku. Výsledné hodnoty ukazují schopnost uhradit roční splátky dluhu z provozního přebytku. Pod 20</w:t>
      </w:r>
      <w:r>
        <w:t xml:space="preserve"> </w:t>
      </w:r>
      <w:r w:rsidRPr="00F15ADB">
        <w:t>%, jedná se o optimální stav, do hranice 4</w:t>
      </w:r>
      <w:r>
        <w:t xml:space="preserve">0 </w:t>
      </w:r>
      <w:r w:rsidRPr="00F15ADB">
        <w:t>% hodnoty provozního přebytku je stav uspokojivý.</w:t>
      </w:r>
    </w:p>
    <w:p w:rsidR="00A63C37" w:rsidRDefault="00A63C37" w:rsidP="00A63C37">
      <w:pPr>
        <w:pStyle w:val="Kaskda0"/>
        <w:numPr>
          <w:ilvl w:val="0"/>
          <w:numId w:val="35"/>
        </w:numPr>
      </w:pPr>
      <w:r w:rsidRPr="00F15ADB">
        <w:rPr>
          <w:b/>
        </w:rPr>
        <w:t xml:space="preserve">Finanční </w:t>
      </w:r>
      <w:proofErr w:type="gramStart"/>
      <w:r w:rsidRPr="00F15ADB">
        <w:rPr>
          <w:b/>
        </w:rPr>
        <w:t xml:space="preserve">zadluženost </w:t>
      </w:r>
      <w:r w:rsidRPr="00F15ADB">
        <w:t>- poměr</w:t>
      </w:r>
      <w:proofErr w:type="gramEnd"/>
      <w:r w:rsidRPr="00F15ADB">
        <w:t xml:space="preserve"> ročních splátek dluhu k běžným příjmům</w:t>
      </w:r>
      <w:r>
        <w:t>,</w:t>
      </w:r>
      <w:r w:rsidRPr="00F15ADB">
        <w:t xml:space="preserve"> vyjadřuje podíl běžných příjmů, které je potřeba vyčlenit na roční splátku dluhu. Hodnoty do 7</w:t>
      </w:r>
      <w:r>
        <w:t xml:space="preserve"> </w:t>
      </w:r>
      <w:r w:rsidRPr="00F15ADB">
        <w:t>% svědčí o dobrém finančním zdraví municipality, hodnoty nad 18</w:t>
      </w:r>
      <w:r>
        <w:t xml:space="preserve"> </w:t>
      </w:r>
      <w:r w:rsidRPr="00F15ADB">
        <w:t>% vyjadřují zvýšené riziko.</w:t>
      </w:r>
    </w:p>
    <w:p w:rsidR="00A63C37" w:rsidRPr="00F15ADB" w:rsidRDefault="00A63C37" w:rsidP="00A63C37">
      <w:pPr>
        <w:pStyle w:val="Kaskda0"/>
        <w:numPr>
          <w:ilvl w:val="0"/>
          <w:numId w:val="35"/>
        </w:numPr>
      </w:pPr>
      <w:r w:rsidRPr="00DB64C2">
        <w:rPr>
          <w:b/>
        </w:rPr>
        <w:t xml:space="preserve">Miniaturní </w:t>
      </w:r>
      <w:proofErr w:type="gramStart"/>
      <w:r w:rsidRPr="00DB64C2">
        <w:rPr>
          <w:b/>
        </w:rPr>
        <w:t>grafy</w:t>
      </w:r>
      <w:r w:rsidRPr="00DB64C2">
        <w:t xml:space="preserve"> - znázorňují</w:t>
      </w:r>
      <w:proofErr w:type="gramEnd"/>
      <w:r w:rsidRPr="00DB64C2">
        <w:t xml:space="preserve"> relativní pohyb v jednotlivých letech minulého období. Neodpovídají absolutním hodnotám, tudíž je nelze brát jako ukazatel podílu na celkové </w:t>
      </w:r>
      <w:r w:rsidRPr="00C379AC">
        <w:t xml:space="preserve">výši zobrazovaných hodnot. Osy jsou nastavené na pevné rozpětí </w:t>
      </w:r>
      <w:proofErr w:type="gramStart"/>
      <w:r w:rsidRPr="00C379AC">
        <w:t>0 - 100</w:t>
      </w:r>
      <w:proofErr w:type="gramEnd"/>
      <w:r w:rsidRPr="00C379AC">
        <w:t xml:space="preserve"> % a jednotlivé roky jsou převedeny na</w:t>
      </w:r>
      <w:r w:rsidRPr="00DB64C2">
        <w:t xml:space="preserve"> procenta, kde nejvyšší částka zobrazuje 100 %. </w:t>
      </w:r>
    </w:p>
    <w:p w:rsidR="00A63C37" w:rsidRDefault="00A63C37" w:rsidP="00A63C37">
      <w:pPr>
        <w:spacing w:before="0" w:after="200"/>
        <w:jc w:val="left"/>
        <w:rPr>
          <w:rFonts w:eastAsiaTheme="majorEastAsia" w:cstheme="majorBidi"/>
          <w:b/>
          <w:bCs/>
          <w:color w:val="2E3192"/>
          <w:sz w:val="28"/>
          <w:szCs w:val="28"/>
        </w:rPr>
      </w:pPr>
      <w:r>
        <w:br w:type="page"/>
      </w:r>
    </w:p>
    <w:p w:rsidR="00A63C37" w:rsidRPr="00F15ADB" w:rsidRDefault="00A63C37" w:rsidP="00A63C37">
      <w:pPr>
        <w:pStyle w:val="Nadpis1"/>
        <w:pageBreakBefore w:val="0"/>
        <w:numPr>
          <w:ilvl w:val="0"/>
          <w:numId w:val="0"/>
        </w:numPr>
        <w:ind w:left="431" w:hanging="431"/>
      </w:pPr>
      <w:bookmarkStart w:id="5" w:name="_Toc118978210"/>
      <w:r w:rsidRPr="00F15ADB">
        <w:lastRenderedPageBreak/>
        <w:t>Použité zkratky</w:t>
      </w:r>
      <w:bookmarkEnd w:id="5"/>
    </w:p>
    <w:p w:rsidR="00A63C37" w:rsidRDefault="00A63C37" w:rsidP="00A63C37">
      <w:pPr>
        <w:pStyle w:val="Kaskda0"/>
        <w:numPr>
          <w:ilvl w:val="0"/>
          <w:numId w:val="34"/>
        </w:numPr>
      </w:pPr>
      <w:r>
        <w:t>CDS – celková dluhová služba</w:t>
      </w:r>
    </w:p>
    <w:p w:rsidR="00A63C37" w:rsidRPr="00F15ADB" w:rsidRDefault="00A63C37" w:rsidP="00A63C37">
      <w:pPr>
        <w:pStyle w:val="Kaskda0"/>
        <w:numPr>
          <w:ilvl w:val="0"/>
          <w:numId w:val="34"/>
        </w:numPr>
      </w:pPr>
      <w:r w:rsidRPr="00F15ADB">
        <w:t>DPFO – daň z příjmů fyzických osob</w:t>
      </w:r>
    </w:p>
    <w:p w:rsidR="00A63C37" w:rsidRPr="00F15ADB" w:rsidRDefault="00A63C37" w:rsidP="00A63C37">
      <w:pPr>
        <w:pStyle w:val="Kaskda0"/>
        <w:numPr>
          <w:ilvl w:val="0"/>
          <w:numId w:val="34"/>
        </w:numPr>
      </w:pPr>
      <w:r w:rsidRPr="00F15ADB">
        <w:t>DPH – daň z přidané hodnoty</w:t>
      </w:r>
    </w:p>
    <w:p w:rsidR="00A63C37" w:rsidRPr="00F15ADB" w:rsidRDefault="00A63C37" w:rsidP="00A63C37">
      <w:pPr>
        <w:pStyle w:val="Kaskda0"/>
        <w:numPr>
          <w:ilvl w:val="0"/>
          <w:numId w:val="34"/>
        </w:numPr>
      </w:pPr>
      <w:r w:rsidRPr="00F15ADB">
        <w:t>DPPO – daň z příjmů právnických osob</w:t>
      </w:r>
    </w:p>
    <w:p w:rsidR="00A63C37" w:rsidRPr="00F15ADB" w:rsidRDefault="00A63C37" w:rsidP="00A63C37">
      <w:pPr>
        <w:pStyle w:val="Kaskda0"/>
        <w:numPr>
          <w:ilvl w:val="0"/>
          <w:numId w:val="34"/>
        </w:numPr>
      </w:pPr>
      <w:r w:rsidRPr="00F15ADB">
        <w:t>HČ – hospodářská (podnikatelská) činnost</w:t>
      </w:r>
    </w:p>
    <w:p w:rsidR="00A63C37" w:rsidRPr="00F15ADB" w:rsidRDefault="00A63C37" w:rsidP="00A63C37">
      <w:pPr>
        <w:pStyle w:val="Kaskda0"/>
        <w:numPr>
          <w:ilvl w:val="0"/>
          <w:numId w:val="34"/>
        </w:numPr>
      </w:pPr>
      <w:r w:rsidRPr="00F15ADB">
        <w:t>KV – kapitálové výnosy</w:t>
      </w:r>
    </w:p>
    <w:p w:rsidR="00A63C37" w:rsidRDefault="00A63C37" w:rsidP="00A63C37">
      <w:pPr>
        <w:pStyle w:val="Kaskda0"/>
        <w:numPr>
          <w:ilvl w:val="0"/>
          <w:numId w:val="34"/>
        </w:numPr>
      </w:pPr>
      <w:r w:rsidRPr="00F15ADB">
        <w:t>MF – ministerstvo financí</w:t>
      </w:r>
    </w:p>
    <w:p w:rsidR="00A63C37" w:rsidRPr="00F15ADB" w:rsidRDefault="00A63C37" w:rsidP="00A63C37">
      <w:pPr>
        <w:pStyle w:val="Kaskda0"/>
        <w:numPr>
          <w:ilvl w:val="0"/>
          <w:numId w:val="34"/>
        </w:numPr>
      </w:pPr>
      <w:r w:rsidRPr="00F15ADB">
        <w:t>OSVČ (SČ) – osoby samostatně výdělečně činné</w:t>
      </w:r>
    </w:p>
    <w:p w:rsidR="00A63C37" w:rsidRPr="00F15ADB" w:rsidRDefault="00A63C37" w:rsidP="00A63C37">
      <w:pPr>
        <w:pStyle w:val="Kaskda0"/>
        <w:numPr>
          <w:ilvl w:val="0"/>
          <w:numId w:val="34"/>
        </w:numPr>
      </w:pPr>
      <w:r w:rsidRPr="00F15ADB">
        <w:t>PO – příspěvková organizace</w:t>
      </w:r>
    </w:p>
    <w:p w:rsidR="00A63C37" w:rsidRPr="00F15ADB" w:rsidRDefault="00A63C37" w:rsidP="00A63C37">
      <w:pPr>
        <w:pStyle w:val="Kaskda0"/>
        <w:numPr>
          <w:ilvl w:val="0"/>
          <w:numId w:val="34"/>
        </w:numPr>
      </w:pPr>
      <w:r w:rsidRPr="00F15ADB">
        <w:t>PP – provozní přebytek</w:t>
      </w:r>
    </w:p>
    <w:p w:rsidR="00A63C37" w:rsidRPr="006E30BF" w:rsidRDefault="00A63C37" w:rsidP="00A63C37">
      <w:pPr>
        <w:pStyle w:val="Kaskda0"/>
        <w:numPr>
          <w:ilvl w:val="0"/>
          <w:numId w:val="34"/>
        </w:numPr>
      </w:pPr>
      <w:r w:rsidRPr="00F15ADB">
        <w:t xml:space="preserve">RS – schválený </w:t>
      </w:r>
      <w:r w:rsidRPr="006E30BF">
        <w:t>rozpočet</w:t>
      </w:r>
    </w:p>
    <w:p w:rsidR="00A63C37" w:rsidRPr="006E30BF" w:rsidRDefault="00A63C37" w:rsidP="00A63C37">
      <w:pPr>
        <w:pStyle w:val="Kaskda0"/>
        <w:numPr>
          <w:ilvl w:val="0"/>
          <w:numId w:val="34"/>
        </w:numPr>
      </w:pPr>
      <w:r w:rsidRPr="006E30BF">
        <w:t>RU – upravený rozpočet</w:t>
      </w:r>
    </w:p>
    <w:p w:rsidR="00A63C37" w:rsidRPr="006E30BF" w:rsidRDefault="00A63C37" w:rsidP="00A63C37">
      <w:pPr>
        <w:pStyle w:val="Kaskda0"/>
        <w:numPr>
          <w:ilvl w:val="0"/>
          <w:numId w:val="34"/>
        </w:numPr>
      </w:pPr>
      <w:r w:rsidRPr="006E30BF">
        <w:t>RUD – rozpočtové určení daní</w:t>
      </w:r>
    </w:p>
    <w:p w:rsidR="00A63C37" w:rsidRPr="00F15ADB" w:rsidRDefault="00A63C37" w:rsidP="00A63C37">
      <w:pPr>
        <w:pStyle w:val="Kaskda0"/>
        <w:numPr>
          <w:ilvl w:val="0"/>
          <w:numId w:val="34"/>
        </w:numPr>
      </w:pPr>
      <w:r>
        <w:t>SR – státní rozpočet</w:t>
      </w:r>
    </w:p>
    <w:p w:rsidR="00A63C37" w:rsidRPr="00F15ADB" w:rsidRDefault="00A63C37" w:rsidP="00A63C37">
      <w:pPr>
        <w:pStyle w:val="Kaskda0"/>
        <w:numPr>
          <w:ilvl w:val="0"/>
          <w:numId w:val="34"/>
        </w:numPr>
      </w:pPr>
      <w:r w:rsidRPr="00F15ADB">
        <w:t>SVR – střednědobý výhled rozpočtu</w:t>
      </w:r>
    </w:p>
    <w:p w:rsidR="00A63C37" w:rsidRPr="00F15ADB" w:rsidRDefault="00A63C37" w:rsidP="00A63C37">
      <w:pPr>
        <w:pStyle w:val="Kaskda0"/>
        <w:numPr>
          <w:ilvl w:val="0"/>
          <w:numId w:val="34"/>
        </w:numPr>
      </w:pPr>
      <w:r w:rsidRPr="00F15ADB">
        <w:t>UC – účetní skutečnost</w:t>
      </w:r>
    </w:p>
    <w:p w:rsidR="00A63C37" w:rsidRDefault="00A63C37" w:rsidP="00A63C37">
      <w:pPr>
        <w:pStyle w:val="Kaskda0"/>
        <w:numPr>
          <w:ilvl w:val="0"/>
          <w:numId w:val="34"/>
        </w:numPr>
      </w:pPr>
      <w:r w:rsidRPr="00F15ADB">
        <w:t>ÚSC – územní samosprávný celek</w:t>
      </w:r>
    </w:p>
    <w:p w:rsidR="00A63C37" w:rsidRDefault="00A63C37" w:rsidP="00A63C37">
      <w:pPr>
        <w:pStyle w:val="Kaskda0"/>
        <w:numPr>
          <w:ilvl w:val="0"/>
          <w:numId w:val="34"/>
        </w:numPr>
      </w:pPr>
      <w:r>
        <w:t>ZČ – závislá činnost</w:t>
      </w:r>
    </w:p>
    <w:p w:rsidR="00A63C37" w:rsidRDefault="00A63C37" w:rsidP="00A63C37">
      <w:pPr>
        <w:pStyle w:val="Kaskda0"/>
        <w:numPr>
          <w:ilvl w:val="0"/>
          <w:numId w:val="0"/>
        </w:numPr>
        <w:ind w:left="641" w:hanging="357"/>
      </w:pPr>
      <w:r>
        <w:br w:type="page"/>
      </w:r>
    </w:p>
    <w:p w:rsidR="00A63C37" w:rsidRPr="009318B4" w:rsidRDefault="00A63C37" w:rsidP="00A63C37">
      <w:pPr>
        <w:pStyle w:val="Nadpis1"/>
        <w:numPr>
          <w:ilvl w:val="0"/>
          <w:numId w:val="0"/>
        </w:numPr>
        <w:ind w:left="431" w:hanging="431"/>
      </w:pPr>
      <w:bookmarkStart w:id="6" w:name="_Toc118978211"/>
      <w:r w:rsidRPr="009318B4">
        <w:lastRenderedPageBreak/>
        <w:t>Úvod</w:t>
      </w:r>
      <w:bookmarkEnd w:id="2"/>
      <w:bookmarkEnd w:id="3"/>
      <w:bookmarkEnd w:id="6"/>
    </w:p>
    <w:p w:rsidR="00A63C37" w:rsidRPr="009318B4" w:rsidRDefault="00A63C37" w:rsidP="00A63C37">
      <w:r w:rsidRPr="009318B4">
        <w:t xml:space="preserve">Střednědobý výhled rozpočtu (dále také SVR) dle § 3 zákona č. 250/2000 Sb., o rozpočtových pravidlech územních rozpočtů, slouží pro střednědobé finanční plánování rozvoje hospodaření územních samosprávných celků (ÚSC). Sestavuje se na základě uzavřených smluvních vztahů a přijatých závazků zpravidla na dobu 2 až 5 let následujících po roce, na který se sestavuje rozpočet. Umožňuje ÚSC nastavit dlouhodobou udržitelnost financí, vymezit finanční možnosti, zajistit zdravý vývoj financí a schopnost ÚSC dostát svým závazkům. Obsah dokumentu přesahuje rámec zákonných náležitostí uvedených v § 3 zmíněného zákona. Analyzuje hospodaření ÚSC v minulosti, a je sestaven ve větší </w:t>
      </w:r>
      <w:proofErr w:type="gramStart"/>
      <w:r w:rsidRPr="009318B4">
        <w:t>podrobnosti,</w:t>
      </w:r>
      <w:proofErr w:type="gramEnd"/>
      <w:r w:rsidRPr="009318B4">
        <w:t xml:space="preserve"> než stanovuje zákon. Takto vytvořený SVR usnadňuje sestavení rozpočtu a koncepční a plánovité financování potřeb, zajišťuje přehled o možnostech hospodaření ÚSC v budoucím období a v neposlední řadě podává informace o využití návratného způsobu financování a dlouhodobý komplexní pohled na výsledek hospodaření a finanční situaci územního celku. Při čerpání finančních prostředků z EU je přínos střednědobého výhledu rozpočtu ještě markantnější.</w:t>
      </w:r>
    </w:p>
    <w:p w:rsidR="00A63C37" w:rsidRPr="009318B4" w:rsidRDefault="00A63C37" w:rsidP="00A63C37">
      <w:r w:rsidRPr="009318B4">
        <w:t>Střednědobý výhled rozpočtu je nástrojem sloužícím k plánování. Lze předpokládat, že</w:t>
      </w:r>
      <w:r>
        <w:t xml:space="preserve"> zejména v této turbulentní době</w:t>
      </w:r>
      <w:r w:rsidRPr="009318B4">
        <w:t xml:space="preserve"> bude docházet ke změnám a zpřesňování údajů v něm obsažených</w:t>
      </w:r>
      <w:r>
        <w:t xml:space="preserve"> (energie, služby a další údaje ovlivněné vysokou inflací)</w:t>
      </w:r>
      <w:r w:rsidRPr="009318B4">
        <w:t xml:space="preserve">, a to i s ohledem na jeho zpracovávání na delší časové období. Aby SVR plnil svou roli při řízení ÚSC, je třeba provádět průběžnou kontrolu a monitoring naplňování v </w:t>
      </w:r>
      <w:r w:rsidRPr="00C379AC">
        <w:t>něm obsažených ukazatelů. K vyhodnocování plnění SVR by mělo docházet alespoň jednou ročně. Pro zachování jeho efektivnosti, by měl být každoročně aktualizován a jeho platnost prodloužena o další rok se znalostí aktuálního stavu a vývoje hospodaření. Při dodržení těchto pravidel má samospráva možnost operativně reagovat a svými rozhodnutími</w:t>
      </w:r>
      <w:r w:rsidRPr="009318B4">
        <w:t xml:space="preserve"> korigovat hospodaření ÚSC. Podkladem pro tvorbu tohoto dokumentu jsou následující zdroje:</w:t>
      </w:r>
    </w:p>
    <w:p w:rsidR="00A63C37" w:rsidRPr="00D63542" w:rsidRDefault="00A63C37" w:rsidP="00A63C37">
      <w:pPr>
        <w:pStyle w:val="Kaskda0"/>
        <w:numPr>
          <w:ilvl w:val="0"/>
          <w:numId w:val="33"/>
        </w:numPr>
      </w:pPr>
      <w:r w:rsidRPr="009318B4">
        <w:t xml:space="preserve">Účetnictví a </w:t>
      </w:r>
      <w:r w:rsidRPr="00D63542">
        <w:t xml:space="preserve">rozpočty let </w:t>
      </w:r>
      <w:proofErr w:type="gramStart"/>
      <w:r w:rsidRPr="00D63542">
        <w:t>2017 - 2021</w:t>
      </w:r>
      <w:proofErr w:type="gramEnd"/>
    </w:p>
    <w:p w:rsidR="00A63C37" w:rsidRDefault="00A63C37" w:rsidP="00A63C37">
      <w:pPr>
        <w:pStyle w:val="Kaskda0"/>
        <w:numPr>
          <w:ilvl w:val="0"/>
          <w:numId w:val="33"/>
        </w:numPr>
      </w:pPr>
      <w:r w:rsidRPr="00D63542">
        <w:t>Platný rozpočet statutárního města (dále jen města) na rok 2022 (červenec) - výchozí dokument střednědobého výhledu</w:t>
      </w:r>
    </w:p>
    <w:p w:rsidR="00D02920" w:rsidRPr="00D63542" w:rsidRDefault="00D02920" w:rsidP="00A63C37">
      <w:pPr>
        <w:pStyle w:val="Kaskda0"/>
        <w:numPr>
          <w:ilvl w:val="0"/>
          <w:numId w:val="33"/>
        </w:numPr>
      </w:pPr>
      <w:r>
        <w:t>Návrh rozpočtu na rok 2023</w:t>
      </w:r>
    </w:p>
    <w:p w:rsidR="00A63C37" w:rsidRPr="00D63542" w:rsidRDefault="00A63C37" w:rsidP="00A63C37">
      <w:pPr>
        <w:pStyle w:val="Kaskda0"/>
        <w:numPr>
          <w:ilvl w:val="0"/>
          <w:numId w:val="33"/>
        </w:numPr>
      </w:pPr>
      <w:r w:rsidRPr="009318B4">
        <w:t xml:space="preserve">Provedená </w:t>
      </w:r>
      <w:r w:rsidRPr="00D63542">
        <w:t>analýza hospodaření města</w:t>
      </w:r>
    </w:p>
    <w:p w:rsidR="00A63C37" w:rsidRPr="00D63542" w:rsidRDefault="00A63C37" w:rsidP="00A63C37">
      <w:pPr>
        <w:pStyle w:val="Kaskda0"/>
        <w:numPr>
          <w:ilvl w:val="0"/>
          <w:numId w:val="33"/>
        </w:numPr>
      </w:pPr>
      <w:r w:rsidRPr="00D63542">
        <w:t xml:space="preserve">Dluhová </w:t>
      </w:r>
      <w:proofErr w:type="gramStart"/>
      <w:r w:rsidRPr="00D63542">
        <w:t>služba - splátkové</w:t>
      </w:r>
      <w:proofErr w:type="gramEnd"/>
      <w:r w:rsidRPr="00D63542">
        <w:t xml:space="preserve"> kalendáře stávajících nebo budoucích závazků (jistin a úroků)</w:t>
      </w:r>
    </w:p>
    <w:p w:rsidR="00A63C37" w:rsidRPr="00D63542" w:rsidRDefault="00A63C37" w:rsidP="00A63C37">
      <w:pPr>
        <w:pStyle w:val="Kaskda0"/>
        <w:numPr>
          <w:ilvl w:val="0"/>
          <w:numId w:val="33"/>
        </w:numPr>
      </w:pPr>
      <w:r w:rsidRPr="00D63542">
        <w:t xml:space="preserve">Predikce sdílených daní na roky </w:t>
      </w:r>
      <w:proofErr w:type="gramStart"/>
      <w:r w:rsidRPr="00D63542">
        <w:t>202</w:t>
      </w:r>
      <w:r>
        <w:t>3</w:t>
      </w:r>
      <w:r w:rsidRPr="00D63542">
        <w:t xml:space="preserve"> - 2025</w:t>
      </w:r>
      <w:proofErr w:type="gramEnd"/>
      <w:r w:rsidRPr="00D63542">
        <w:t xml:space="preserve"> z</w:t>
      </w:r>
      <w:r>
        <w:t xml:space="preserve"> navrženého</w:t>
      </w:r>
      <w:r w:rsidRPr="00D63542">
        <w:t xml:space="preserve"> státního rozpočtu a střednědobého výhledu rozpočtu státu</w:t>
      </w:r>
    </w:p>
    <w:p w:rsidR="00A63C37" w:rsidRPr="00796EE1" w:rsidRDefault="00A63C37" w:rsidP="00A63C37">
      <w:pPr>
        <w:pStyle w:val="Kaskda0"/>
        <w:numPr>
          <w:ilvl w:val="0"/>
          <w:numId w:val="33"/>
        </w:numPr>
      </w:pPr>
      <w:r w:rsidRPr="00796EE1">
        <w:t>Koeficienty odpovídající potřebám, povinnostem a ekonomickému hospodaření města dle předpokládaného vývoje ekonomiky státu</w:t>
      </w:r>
    </w:p>
    <w:p w:rsidR="00A63C37" w:rsidRPr="00796EE1" w:rsidRDefault="00A63C37" w:rsidP="00A63C37">
      <w:pPr>
        <w:pStyle w:val="Kaskda0"/>
        <w:numPr>
          <w:ilvl w:val="0"/>
          <w:numId w:val="33"/>
        </w:numPr>
      </w:pPr>
      <w:r w:rsidRPr="00796EE1">
        <w:t>Předpokládané nahodilé příjmy a výdaje</w:t>
      </w:r>
    </w:p>
    <w:p w:rsidR="00A63C37" w:rsidRPr="00796EE1" w:rsidRDefault="00A63C37" w:rsidP="00A63C37">
      <w:pPr>
        <w:pStyle w:val="Kaskda0"/>
        <w:numPr>
          <w:ilvl w:val="0"/>
          <w:numId w:val="33"/>
        </w:numPr>
      </w:pPr>
      <w:r w:rsidRPr="00796EE1">
        <w:t xml:space="preserve">Konzultace s odpovědnými pracovníky </w:t>
      </w:r>
      <w:r w:rsidRPr="009F6A64">
        <w:t>magistrátu města, zejména odboru ekonomiky</w:t>
      </w:r>
    </w:p>
    <w:p w:rsidR="00A63C37" w:rsidRDefault="00A63C37" w:rsidP="00A63C37">
      <w:pPr>
        <w:rPr>
          <w:highlight w:val="yellow"/>
        </w:rPr>
      </w:pPr>
    </w:p>
    <w:p w:rsidR="00A63C37" w:rsidRDefault="00A63C37" w:rsidP="00A63C37">
      <w:pPr>
        <w:rPr>
          <w:highlight w:val="yellow"/>
        </w:rPr>
        <w:sectPr w:rsidR="00A63C37" w:rsidSect="00D26773">
          <w:footerReference w:type="default" r:id="rId9"/>
          <w:headerReference w:type="first" r:id="rId10"/>
          <w:footerReference w:type="first" r:id="rId11"/>
          <w:pgSz w:w="11906" w:h="16838"/>
          <w:pgMar w:top="1417" w:right="849" w:bottom="1236" w:left="851" w:header="709" w:footer="280" w:gutter="0"/>
          <w:cols w:space="708"/>
          <w:titlePg/>
          <w:docGrid w:linePitch="360"/>
        </w:sectPr>
      </w:pPr>
    </w:p>
    <w:p w:rsidR="00A63C37" w:rsidRPr="009318B4" w:rsidRDefault="00A63C37" w:rsidP="00A63C37">
      <w:pPr>
        <w:pStyle w:val="Nadpis1"/>
      </w:pPr>
      <w:bookmarkStart w:id="7" w:name="_Toc118978212"/>
      <w:bookmarkStart w:id="8" w:name="_Toc62211716"/>
      <w:bookmarkEnd w:id="4"/>
      <w:r w:rsidRPr="009318B4">
        <w:lastRenderedPageBreak/>
        <w:t>Analýza hospodaření uplynulého období</w:t>
      </w:r>
      <w:bookmarkEnd w:id="7"/>
    </w:p>
    <w:p w:rsidR="00A63C37" w:rsidRDefault="00A63C37" w:rsidP="00A63C37">
      <w:r w:rsidRPr="00080619">
        <w:t>Analýza se zaměřuje na zhodnocení hospodaření v předcházejícím pětiletém období a na základě takto získaných poznatků je důležitým nástrojem modelování a tvorby střednědobého výhledu rozpočtu. Přínosem k reálnému sestavení SVR je analýza vývoje důl</w:t>
      </w:r>
      <w:r>
        <w:t>ežitých ekonomických ukazatelů:</w:t>
      </w:r>
    </w:p>
    <w:p w:rsidR="00A63C37" w:rsidRPr="00C379AC" w:rsidRDefault="00A63C37" w:rsidP="00A63C37">
      <w:pPr>
        <w:pStyle w:val="Odstavecseseznamem"/>
        <w:numPr>
          <w:ilvl w:val="0"/>
          <w:numId w:val="38"/>
        </w:numPr>
        <w:rPr>
          <w:rFonts w:asciiTheme="minorHAnsi" w:hAnsiTheme="minorHAnsi" w:cstheme="minorHAnsi"/>
          <w:sz w:val="22"/>
          <w:szCs w:val="22"/>
        </w:rPr>
      </w:pPr>
      <w:r w:rsidRPr="00C379AC">
        <w:rPr>
          <w:rFonts w:asciiTheme="minorHAnsi" w:hAnsiTheme="minorHAnsi" w:cstheme="minorHAnsi"/>
          <w:sz w:val="22"/>
          <w:szCs w:val="22"/>
        </w:rPr>
        <w:t>Bil</w:t>
      </w:r>
      <w:r>
        <w:rPr>
          <w:rFonts w:asciiTheme="minorHAnsi" w:hAnsiTheme="minorHAnsi" w:cstheme="minorHAnsi"/>
          <w:sz w:val="22"/>
          <w:szCs w:val="22"/>
        </w:rPr>
        <w:t>ance hospodaření (Saldo úplné)</w:t>
      </w:r>
    </w:p>
    <w:p w:rsidR="00A63C37" w:rsidRPr="00C379AC" w:rsidRDefault="00A63C37" w:rsidP="00A63C37">
      <w:pPr>
        <w:pStyle w:val="Odstavecseseznamem"/>
        <w:numPr>
          <w:ilvl w:val="0"/>
          <w:numId w:val="38"/>
        </w:numPr>
        <w:rPr>
          <w:rFonts w:asciiTheme="minorHAnsi" w:hAnsiTheme="minorHAnsi" w:cstheme="minorHAnsi"/>
          <w:sz w:val="22"/>
          <w:szCs w:val="22"/>
        </w:rPr>
      </w:pPr>
      <w:r>
        <w:rPr>
          <w:rFonts w:asciiTheme="minorHAnsi" w:hAnsiTheme="minorHAnsi" w:cstheme="minorHAnsi"/>
          <w:sz w:val="22"/>
          <w:szCs w:val="22"/>
        </w:rPr>
        <w:t>Saldo (bez financování)</w:t>
      </w:r>
    </w:p>
    <w:p w:rsidR="00A63C37" w:rsidRPr="00C379AC" w:rsidRDefault="00A63C37" w:rsidP="00A63C37">
      <w:pPr>
        <w:pStyle w:val="Odstavecseseznamem"/>
        <w:numPr>
          <w:ilvl w:val="0"/>
          <w:numId w:val="38"/>
        </w:numPr>
        <w:rPr>
          <w:rFonts w:asciiTheme="minorHAnsi" w:hAnsiTheme="minorHAnsi" w:cstheme="minorHAnsi"/>
          <w:sz w:val="22"/>
          <w:szCs w:val="22"/>
        </w:rPr>
      </w:pPr>
      <w:r>
        <w:rPr>
          <w:rFonts w:asciiTheme="minorHAnsi" w:hAnsiTheme="minorHAnsi" w:cstheme="minorHAnsi"/>
          <w:sz w:val="22"/>
          <w:szCs w:val="22"/>
        </w:rPr>
        <w:t>Provozní přebytek</w:t>
      </w:r>
    </w:p>
    <w:p w:rsidR="00A63C37" w:rsidRPr="00C379AC" w:rsidRDefault="00A63C37" w:rsidP="00A63C37">
      <w:pPr>
        <w:pStyle w:val="Odstavecseseznamem"/>
        <w:numPr>
          <w:ilvl w:val="0"/>
          <w:numId w:val="38"/>
        </w:numPr>
        <w:rPr>
          <w:rFonts w:asciiTheme="minorHAnsi" w:hAnsiTheme="minorHAnsi" w:cstheme="minorHAnsi"/>
          <w:sz w:val="22"/>
          <w:szCs w:val="22"/>
        </w:rPr>
      </w:pPr>
      <w:r w:rsidRPr="00C379AC">
        <w:rPr>
          <w:rFonts w:asciiTheme="minorHAnsi" w:hAnsiTheme="minorHAnsi" w:cstheme="minorHAnsi"/>
          <w:sz w:val="22"/>
          <w:szCs w:val="22"/>
        </w:rPr>
        <w:t>Ukazatel provozních úspor</w:t>
      </w:r>
    </w:p>
    <w:p w:rsidR="00A63C37" w:rsidRPr="00C379AC" w:rsidRDefault="00A63C37" w:rsidP="00A63C37">
      <w:pPr>
        <w:pStyle w:val="Odstavecseseznamem"/>
        <w:numPr>
          <w:ilvl w:val="0"/>
          <w:numId w:val="38"/>
        </w:numPr>
        <w:rPr>
          <w:rFonts w:asciiTheme="minorHAnsi" w:hAnsiTheme="minorHAnsi" w:cstheme="minorHAnsi"/>
          <w:sz w:val="22"/>
          <w:szCs w:val="22"/>
        </w:rPr>
      </w:pPr>
      <w:r w:rsidRPr="00C379AC">
        <w:rPr>
          <w:rFonts w:asciiTheme="minorHAnsi" w:hAnsiTheme="minorHAnsi" w:cstheme="minorHAnsi"/>
          <w:sz w:val="22"/>
          <w:szCs w:val="22"/>
        </w:rPr>
        <w:t>Ukazatel dluhové služby.</w:t>
      </w:r>
    </w:p>
    <w:p w:rsidR="00A63C37" w:rsidRPr="009318B4" w:rsidRDefault="00A63C37" w:rsidP="00A63C37">
      <w:r>
        <w:t>Tyto ukazatele jsou závislé</w:t>
      </w:r>
      <w:r w:rsidRPr="009318B4">
        <w:t xml:space="preserve"> na vývoji dvou základních hodnot rozpočtu – </w:t>
      </w:r>
      <w:r w:rsidRPr="00C379AC">
        <w:t>příjmů a výdajů. Pro sestavení střednědobého výhledu je pak důležitý i průběh minulosti</w:t>
      </w:r>
      <w:r w:rsidRPr="009318B4">
        <w:t xml:space="preserve"> a predikce </w:t>
      </w:r>
      <w:r w:rsidRPr="00871150">
        <w:t>budoucích hodnot nejdůležitější příjmové skupiny municipalit, a to sdílených daní (daně fyzických, právnických osob a DPH)</w:t>
      </w:r>
      <w:r>
        <w:t>.</w:t>
      </w:r>
    </w:p>
    <w:p w:rsidR="00A63C37" w:rsidRPr="009318B4" w:rsidRDefault="00A63C37" w:rsidP="00A63C37">
      <w:pPr>
        <w:pStyle w:val="Nadpis2"/>
      </w:pPr>
      <w:bookmarkStart w:id="9" w:name="_Toc62211715"/>
      <w:bookmarkStart w:id="10" w:name="_Toc118978213"/>
      <w:r w:rsidRPr="009318B4">
        <w:t>Příjmy</w:t>
      </w:r>
      <w:bookmarkEnd w:id="9"/>
      <w:bookmarkEnd w:id="10"/>
    </w:p>
    <w:p w:rsidR="00A63C37" w:rsidRPr="009318B4" w:rsidRDefault="00E8249A" w:rsidP="00A63C37">
      <w:r>
        <w:rPr>
          <w:rFonts w:ascii="Verdana" w:hAnsi="Verdana"/>
          <w:noProof/>
          <w:sz w:val="19"/>
          <w:highlight w:val="cyan"/>
          <w:lang w:eastAsia="cs-CZ"/>
        </w:rPr>
        <mc:AlternateContent>
          <mc:Choice Requires="wps">
            <w:drawing>
              <wp:anchor distT="0" distB="0" distL="114300" distR="114300" simplePos="0" relativeHeight="251861504" behindDoc="0" locked="0" layoutInCell="1" allowOverlap="1">
                <wp:simplePos x="0" y="0"/>
                <wp:positionH relativeFrom="page">
                  <wp:posOffset>539115</wp:posOffset>
                </wp:positionH>
                <wp:positionV relativeFrom="paragraph">
                  <wp:posOffset>1376680</wp:posOffset>
                </wp:positionV>
                <wp:extent cx="1403985" cy="866775"/>
                <wp:effectExtent l="0" t="0" r="0" b="0"/>
                <wp:wrapNone/>
                <wp:docPr id="675" name="Textové pole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03985" cy="866775"/>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DA6167" w:rsidRPr="00FF5C2F" w:rsidRDefault="00DA6167" w:rsidP="00A63C37">
                            <w:pPr>
                              <w:spacing w:after="0"/>
                              <w:jc w:val="left"/>
                              <w:rPr>
                                <w:rStyle w:val="Odkaznakoment"/>
                                <w:rFonts w:cstheme="minorHAnsi"/>
                                <w:i/>
                                <w:sz w:val="20"/>
                                <w:szCs w:val="20"/>
                              </w:rPr>
                            </w:pPr>
                            <w:r w:rsidRPr="00005E0E">
                              <w:rPr>
                                <w:rStyle w:val="Odkaznakoment"/>
                                <w:rFonts w:cstheme="minorHAnsi"/>
                                <w:i/>
                                <w:sz w:val="20"/>
                                <w:szCs w:val="20"/>
                              </w:rPr>
                              <w:t>Příjmy v roce 20</w:t>
                            </w:r>
                            <w:r>
                              <w:rPr>
                                <w:rStyle w:val="Odkaznakoment"/>
                                <w:rFonts w:cstheme="minorHAnsi"/>
                                <w:i/>
                                <w:sz w:val="20"/>
                                <w:szCs w:val="20"/>
                              </w:rPr>
                              <w:t>19</w:t>
                            </w:r>
                            <w:r w:rsidRPr="00005E0E">
                              <w:rPr>
                                <w:rStyle w:val="Odkaznakoment"/>
                                <w:rFonts w:cstheme="minorHAnsi"/>
                                <w:i/>
                                <w:sz w:val="20"/>
                                <w:szCs w:val="20"/>
                              </w:rPr>
                              <w:t xml:space="preserve"> ovlivněny vysokou </w:t>
                            </w:r>
                            <w:r w:rsidRPr="00FF5C2F">
                              <w:rPr>
                                <w:rStyle w:val="Odkaznakoment"/>
                                <w:rFonts w:cstheme="minorHAnsi"/>
                                <w:i/>
                                <w:sz w:val="20"/>
                                <w:szCs w:val="20"/>
                              </w:rPr>
                              <w:t>hodnotou investičních transferů</w:t>
                            </w:r>
                          </w:p>
                          <w:p w:rsidR="00DA6167" w:rsidRPr="00566FE3" w:rsidRDefault="00DA6167" w:rsidP="00A63C37">
                            <w:pPr>
                              <w:spacing w:before="0" w:after="0"/>
                              <w:jc w:val="left"/>
                              <w:rPr>
                                <w:rFonts w:cstheme="minorHAnsi"/>
                                <w:b/>
                                <w:i/>
                                <w:color w:val="548DD4" w:themeColor="text2" w:themeTint="99"/>
                                <w:sz w:val="28"/>
                                <w:szCs w:val="28"/>
                              </w:rPr>
                            </w:pPr>
                            <w:r w:rsidRPr="00FF5C2F">
                              <w:rPr>
                                <w:rFonts w:cstheme="minorHAnsi"/>
                                <w:b/>
                                <w:i/>
                                <w:color w:val="548DD4" w:themeColor="text2" w:themeTint="99"/>
                                <w:sz w:val="28"/>
                                <w:szCs w:val="28"/>
                              </w:rPr>
                              <w:t>103,3 mil. Kč</w:t>
                            </w:r>
                          </w:p>
                          <w:p w:rsidR="00DA6167" w:rsidRPr="001B58F3" w:rsidRDefault="00DA6167" w:rsidP="00A63C37">
                            <w:pPr>
                              <w:spacing w:after="0"/>
                              <w:jc w:val="left"/>
                              <w:rPr>
                                <w:rFonts w:cstheme="minorHAnsi"/>
                                <w:i/>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ové pole 47" o:spid="_x0000_s1026" type="#_x0000_t202" style="position:absolute;left:0;text-align:left;margin-left:42.45pt;margin-top:108.4pt;width:110.55pt;height:68.25pt;z-index:251861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" fillcolor="white [3201]" stroked="f" strokeweight=".5pt">
                <v:path arrowok="t"/>
                <v:textbox inset="0,0,0,0">
                  <w:txbxContent>
                    <w:p w:rsidR="00DA6167" w:rsidRPr="00FF5C2F" w:rsidRDefault="00DA6167" w:rsidP="00A63C37">
                      <w:pPr>
                        <w:spacing w:after="0"/>
                        <w:jc w:val="left"/>
                        <w:rPr>
                          <w:rStyle w:val="Odkaznakoment"/>
                          <w:rFonts w:cstheme="minorHAnsi"/>
                          <w:i/>
                          <w:sz w:val="20"/>
                          <w:szCs w:val="20"/>
                        </w:rPr>
                      </w:pPr>
                      <w:r w:rsidRPr="00005E0E">
                        <w:rPr>
                          <w:rStyle w:val="Odkaznakoment"/>
                          <w:rFonts w:cstheme="minorHAnsi"/>
                          <w:i/>
                          <w:sz w:val="20"/>
                          <w:szCs w:val="20"/>
                        </w:rPr>
                        <w:t>Příjmy v roce 20</w:t>
                      </w:r>
                      <w:r>
                        <w:rPr>
                          <w:rStyle w:val="Odkaznakoment"/>
                          <w:rFonts w:cstheme="minorHAnsi"/>
                          <w:i/>
                          <w:sz w:val="20"/>
                          <w:szCs w:val="20"/>
                        </w:rPr>
                        <w:t>19</w:t>
                      </w:r>
                      <w:r w:rsidRPr="00005E0E">
                        <w:rPr>
                          <w:rStyle w:val="Odkaznakoment"/>
                          <w:rFonts w:cstheme="minorHAnsi"/>
                          <w:i/>
                          <w:sz w:val="20"/>
                          <w:szCs w:val="20"/>
                        </w:rPr>
                        <w:t xml:space="preserve"> ovlivněny vysokou </w:t>
                      </w:r>
                      <w:r w:rsidRPr="00FF5C2F">
                        <w:rPr>
                          <w:rStyle w:val="Odkaznakoment"/>
                          <w:rFonts w:cstheme="minorHAnsi"/>
                          <w:i/>
                          <w:sz w:val="20"/>
                          <w:szCs w:val="20"/>
                        </w:rPr>
                        <w:t>hodnotou investičních transferů</w:t>
                      </w:r>
                    </w:p>
                    <w:p w:rsidR="00DA6167" w:rsidRPr="00566FE3" w:rsidRDefault="00DA6167" w:rsidP="00A63C37">
                      <w:pPr>
                        <w:spacing w:before="0" w:after="0"/>
                        <w:jc w:val="left"/>
                        <w:rPr>
                          <w:rFonts w:cstheme="minorHAnsi"/>
                          <w:b/>
                          <w:i/>
                          <w:color w:val="548DD4" w:themeColor="text2" w:themeTint="99"/>
                          <w:sz w:val="28"/>
                          <w:szCs w:val="28"/>
                        </w:rPr>
                      </w:pPr>
                      <w:r w:rsidRPr="00FF5C2F">
                        <w:rPr>
                          <w:rFonts w:cstheme="minorHAnsi"/>
                          <w:b/>
                          <w:i/>
                          <w:color w:val="548DD4" w:themeColor="text2" w:themeTint="99"/>
                          <w:sz w:val="28"/>
                          <w:szCs w:val="28"/>
                        </w:rPr>
                        <w:t>103,3 mil. Kč</w:t>
                      </w:r>
                    </w:p>
                    <w:p w:rsidR="00DA6167" w:rsidRPr="001B58F3" w:rsidRDefault="00DA6167" w:rsidP="00A63C37">
                      <w:pPr>
                        <w:spacing w:after="0"/>
                        <w:jc w:val="left"/>
                        <w:rPr>
                          <w:rFonts w:cstheme="minorHAnsi"/>
                          <w:i/>
                          <w:sz w:val="20"/>
                          <w:szCs w:val="20"/>
                        </w:rPr>
                      </w:pPr>
                    </w:p>
                  </w:txbxContent>
                </v:textbox>
                <w10:wrap anchorx="page"/>
              </v:shape>
            </w:pict>
          </mc:Fallback>
        </mc:AlternateContent>
      </w:r>
      <w:r w:rsidR="00A63C37" w:rsidRPr="009318B4">
        <w:t>Příjmy ÚSC jsou veškeré nenávratně inkasované prostředky, opětované i neopětované, včetně přijatých darů a dotací, a přijaté splátky půjček v rámci rozpočtové politiky. Příjmy jsou členěny na běžné a kapitálové. Běžné příjmy jsou tvořeny příjmy daňovými, nedaňovými a provozními dotacemi. Jedná se tedy o každoročně se opakující příjmy, které slouží k pokrytí běžných výdajů. Investiční příjmy, tj. příjmy z prodeje dlouhodobého a finančního majetku, a investiční dotace, mají charakter nahodilých příjmů a jsou určeny především k pokrytí investičních záměrů ÚSC.</w:t>
      </w:r>
    </w:p>
    <w:p w:rsidR="00A63C37" w:rsidRPr="007F7EE4" w:rsidRDefault="00A63C37" w:rsidP="00A63C37">
      <w:pPr>
        <w:pStyle w:val="Tabulka"/>
      </w:pPr>
      <w:bookmarkStart w:id="11" w:name="_Toc118977782"/>
      <w:r w:rsidRPr="007F7EE4">
        <w:t>Přehled vývoje příjmů</w:t>
      </w:r>
      <w:bookmarkEnd w:id="11"/>
    </w:p>
    <w:p w:rsidR="00A63C37" w:rsidRPr="009318B4" w:rsidRDefault="00A63C37" w:rsidP="00A63C37">
      <w:pPr>
        <w:pStyle w:val="Objekt"/>
      </w:pPr>
      <w:r>
        <w:rPr>
          <w:noProof/>
          <w:lang w:eastAsia="cs-CZ"/>
        </w:rPr>
        <w:drawing>
          <wp:inline distT="0" distB="0" distL="0" distR="0">
            <wp:extent cx="3970800" cy="1076400"/>
            <wp:effectExtent l="0" t="0" r="0" b="9525"/>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70800" cy="1076400"/>
                    </a:xfrm>
                    <a:prstGeom prst="rect">
                      <a:avLst/>
                    </a:prstGeom>
                    <a:noFill/>
                    <a:ln>
                      <a:noFill/>
                    </a:ln>
                  </pic:spPr>
                </pic:pic>
              </a:graphicData>
            </a:graphic>
          </wp:inline>
        </w:drawing>
      </w:r>
    </w:p>
    <w:p w:rsidR="00A63C37" w:rsidRPr="00976C03" w:rsidRDefault="00E8249A" w:rsidP="00A63C37">
      <w:r>
        <w:rPr>
          <w:rFonts w:ascii="Verdana" w:hAnsi="Verdana"/>
          <w:noProof/>
          <w:sz w:val="19"/>
          <w:lang w:eastAsia="cs-CZ"/>
        </w:rPr>
        <mc:AlternateContent>
          <mc:Choice Requires="wps">
            <w:drawing>
              <wp:anchor distT="0" distB="0" distL="114300" distR="114300" simplePos="0" relativeHeight="251862528" behindDoc="0" locked="0" layoutInCell="1" allowOverlap="1">
                <wp:simplePos x="0" y="0"/>
                <wp:positionH relativeFrom="page">
                  <wp:posOffset>541655</wp:posOffset>
                </wp:positionH>
                <wp:positionV relativeFrom="paragraph">
                  <wp:posOffset>0</wp:posOffset>
                </wp:positionV>
                <wp:extent cx="1403985" cy="1115695"/>
                <wp:effectExtent l="0" t="0" r="0" b="0"/>
                <wp:wrapNone/>
                <wp:docPr id="676" name="Textové pole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03985" cy="1115695"/>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DA6167" w:rsidRPr="00360F2F" w:rsidRDefault="00DA6167" w:rsidP="00A63C37">
                            <w:pPr>
                              <w:spacing w:after="0"/>
                              <w:jc w:val="left"/>
                              <w:rPr>
                                <w:rStyle w:val="Odkaznakoment"/>
                                <w:rFonts w:cstheme="minorHAnsi"/>
                                <w:i/>
                                <w:sz w:val="20"/>
                                <w:szCs w:val="20"/>
                              </w:rPr>
                            </w:pPr>
                            <w:r w:rsidRPr="0012215D">
                              <w:rPr>
                                <w:rStyle w:val="Odkaznakoment"/>
                                <w:rFonts w:cstheme="minorHAnsi"/>
                                <w:i/>
                                <w:sz w:val="20"/>
                                <w:szCs w:val="20"/>
                              </w:rPr>
                              <w:t>Oživení ekonomiky zapříčinilo nárůst daňových příjmů</w:t>
                            </w:r>
                            <w:r>
                              <w:rPr>
                                <w:rStyle w:val="Odkaznakoment"/>
                                <w:rFonts w:cstheme="minorHAnsi"/>
                                <w:i/>
                                <w:sz w:val="20"/>
                                <w:szCs w:val="20"/>
                              </w:rPr>
                              <w:t xml:space="preserve"> v roce 2021 </w:t>
                            </w:r>
                            <w:r w:rsidRPr="00360F2F">
                              <w:rPr>
                                <w:rStyle w:val="Odkaznakoment"/>
                                <w:rFonts w:cstheme="minorHAnsi"/>
                                <w:i/>
                                <w:sz w:val="20"/>
                                <w:szCs w:val="20"/>
                              </w:rPr>
                              <w:t>o</w:t>
                            </w:r>
                          </w:p>
                          <w:p w:rsidR="00DA6167" w:rsidRPr="0012215D" w:rsidRDefault="00DA6167" w:rsidP="00A63C37">
                            <w:pPr>
                              <w:spacing w:before="0" w:after="0"/>
                              <w:jc w:val="left"/>
                              <w:rPr>
                                <w:rFonts w:cstheme="minorHAnsi"/>
                                <w:b/>
                                <w:i/>
                                <w:color w:val="548DD4" w:themeColor="text2" w:themeTint="99"/>
                                <w:sz w:val="28"/>
                                <w:szCs w:val="28"/>
                              </w:rPr>
                            </w:pPr>
                            <w:r w:rsidRPr="00B7241E">
                              <w:rPr>
                                <w:b/>
                                <w:i/>
                                <w:color w:val="548DD4" w:themeColor="text2" w:themeTint="99"/>
                                <w:sz w:val="28"/>
                                <w:szCs w:val="28"/>
                              </w:rPr>
                              <w:t>85,1</w:t>
                            </w:r>
                            <w:r w:rsidRPr="00360F2F">
                              <w:rPr>
                                <w:rFonts w:cstheme="minorHAnsi"/>
                                <w:b/>
                                <w:i/>
                                <w:color w:val="548DD4" w:themeColor="text2" w:themeTint="99"/>
                                <w:sz w:val="28"/>
                                <w:szCs w:val="28"/>
                              </w:rPr>
                              <w:t xml:space="preserve"> mil Kč</w:t>
                            </w:r>
                          </w:p>
                        </w:txbxContent>
                      </wps:txbx>
                      <wps:bodyPr rot="0" vert="horz" wrap="square" lIns="0" tIns="0" rIns="0" bIns="0" anchor="t" anchorCtr="0" upright="1">
                        <a:noAutofit/>
                      </wps:bodyPr>
                    </wps:wsp>
                  </a:graphicData>
                </a:graphic>
                <wp14:sizeRelH relativeFrom="page">
                  <wp14:pctWidth>0</wp14:pctWidth>
                </wp14:sizeRelH>
                <wp14:sizeRelV relativeFrom="margin">
                  <wp14:pctHeight>0</wp14:pctHeight>
                </wp14:sizeRelV>
              </wp:anchor>
            </w:drawing>
          </mc:Choice>
          <mc:Fallback>
            <w:pict>
              <v:shape id="_x0000_s1027" type="#_x0000_t202" style="position:absolute;left:0;text-align:left;margin-left:42.65pt;margin-top:0;width:110.55pt;height:87.85pt;z-index:251862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" fillcolor="white [3201]" stroked="f" strokeweight=".5pt">
                <v:path arrowok="t"/>
                <v:textbox inset="0,0,0,0">
                  <w:txbxContent>
                    <w:p w:rsidR="00DA6167" w:rsidRPr="00360F2F" w:rsidRDefault="00DA6167" w:rsidP="00A63C37">
                      <w:pPr>
                        <w:spacing w:after="0"/>
                        <w:jc w:val="left"/>
                        <w:rPr>
                          <w:rStyle w:val="Odkaznakoment"/>
                          <w:rFonts w:cstheme="minorHAnsi"/>
                          <w:i/>
                          <w:sz w:val="20"/>
                          <w:szCs w:val="20"/>
                        </w:rPr>
                      </w:pPr>
                      <w:r w:rsidRPr="0012215D">
                        <w:rPr>
                          <w:rStyle w:val="Odkaznakoment"/>
                          <w:rFonts w:cstheme="minorHAnsi"/>
                          <w:i/>
                          <w:sz w:val="20"/>
                          <w:szCs w:val="20"/>
                        </w:rPr>
                        <w:t>Oživení ekonomiky zapříčinilo nárůst daňových příjmů</w:t>
                      </w:r>
                      <w:r>
                        <w:rPr>
                          <w:rStyle w:val="Odkaznakoment"/>
                          <w:rFonts w:cstheme="minorHAnsi"/>
                          <w:i/>
                          <w:sz w:val="20"/>
                          <w:szCs w:val="20"/>
                        </w:rPr>
                        <w:t xml:space="preserve"> v roce 2021 </w:t>
                      </w:r>
                      <w:r w:rsidRPr="00360F2F">
                        <w:rPr>
                          <w:rStyle w:val="Odkaznakoment"/>
                          <w:rFonts w:cstheme="minorHAnsi"/>
                          <w:i/>
                          <w:sz w:val="20"/>
                          <w:szCs w:val="20"/>
                        </w:rPr>
                        <w:t>o</w:t>
                      </w:r>
                    </w:p>
                    <w:p w:rsidR="00DA6167" w:rsidRPr="0012215D" w:rsidRDefault="00DA6167" w:rsidP="00A63C37">
                      <w:pPr>
                        <w:spacing w:before="0" w:after="0"/>
                        <w:jc w:val="left"/>
                        <w:rPr>
                          <w:rFonts w:cstheme="minorHAnsi"/>
                          <w:b/>
                          <w:i/>
                          <w:color w:val="548DD4" w:themeColor="text2" w:themeTint="99"/>
                          <w:sz w:val="28"/>
                          <w:szCs w:val="28"/>
                        </w:rPr>
                      </w:pPr>
                      <w:r w:rsidRPr="00B7241E">
                        <w:rPr>
                          <w:b/>
                          <w:i/>
                          <w:color w:val="548DD4" w:themeColor="text2" w:themeTint="99"/>
                          <w:sz w:val="28"/>
                          <w:szCs w:val="28"/>
                        </w:rPr>
                        <w:t>85,1</w:t>
                      </w:r>
                      <w:r w:rsidRPr="00360F2F">
                        <w:rPr>
                          <w:rFonts w:cstheme="minorHAnsi"/>
                          <w:b/>
                          <w:i/>
                          <w:color w:val="548DD4" w:themeColor="text2" w:themeTint="99"/>
                          <w:sz w:val="28"/>
                          <w:szCs w:val="28"/>
                        </w:rPr>
                        <w:t xml:space="preserve"> mil Kč</w:t>
                      </w:r>
                    </w:p>
                  </w:txbxContent>
                </v:textbox>
                <w10:wrap anchorx="page"/>
              </v:shape>
            </w:pict>
          </mc:Fallback>
        </mc:AlternateContent>
      </w:r>
      <w:r w:rsidR="00A63C37" w:rsidRPr="00976C03">
        <w:t>Příjmy za celé sledované období vykazují stoupající tendenci. Rostoucí trend přerušil rok 2020, kdy došlo k relativně významnému poklesu investičních příjmů (o 87,2 mil. Kč). Tento pokles byl zapříčiněn zejména nižšími přijatými investičními transfery (meziroční pokles o 73,7 mil. Kč), které</w:t>
      </w:r>
      <w:r w:rsidR="00A63C37">
        <w:t xml:space="preserve"> i</w:t>
      </w:r>
      <w:r w:rsidR="00A63C37" w:rsidRPr="00976C03">
        <w:t xml:space="preserve"> v roce 2021 pokračovaly v sestupné tendenci (pokles o 23,9 mil. Kč). </w:t>
      </w:r>
      <w:r w:rsidR="00A63C37">
        <w:t>V</w:t>
      </w:r>
      <w:r w:rsidR="00A63C37" w:rsidRPr="00976C03">
        <w:t xml:space="preserve"> provozní části příjmů je zřejmý rostoucí trend, ovšem v roce 2020 dochází ke změnám v relativním zastoupení jednotlivých tříd. Nejdůležitější daňové příjmy poklesly (o 46,4 mil. Kč), naopak výrazně posílily neinvestiční transfery (59,0 mil. Kč), kde na položce 4111 město evidovalo příjem kompenzačního bonusu (60,8 mil. Kč) v souvislosti s restriktivními opatřeními proti šíření </w:t>
      </w:r>
      <w:proofErr w:type="spellStart"/>
      <w:r w:rsidR="00A63C37" w:rsidRPr="00976C03">
        <w:t>koronaviru</w:t>
      </w:r>
      <w:proofErr w:type="spellEnd"/>
      <w:r w:rsidR="00A63C37" w:rsidRPr="00976C03">
        <w:t>. Oproti investičním příjmům ovšem příjmy provozní dokázaly navázat na rostoucí trend a v roce 2021 vzrostly na částku, která je ve sledovaném období maximem.</w:t>
      </w:r>
    </w:p>
    <w:p w:rsidR="00A63C37" w:rsidRPr="007E51BC" w:rsidRDefault="00A63C37" w:rsidP="00A63C37">
      <w:pPr>
        <w:rPr>
          <w:highlight w:val="yellow"/>
        </w:rPr>
      </w:pPr>
      <w:r w:rsidRPr="00706E37">
        <w:lastRenderedPageBreak/>
        <w:t xml:space="preserve">Rok </w:t>
      </w:r>
      <w:r>
        <w:t>2021</w:t>
      </w:r>
      <w:r w:rsidRPr="00706E37">
        <w:t xml:space="preserve"> se do podvědomí zapíše jako rok pokračující pandemie </w:t>
      </w:r>
      <w:proofErr w:type="spellStart"/>
      <w:r w:rsidRPr="00706E37">
        <w:t>koronaviru</w:t>
      </w:r>
      <w:proofErr w:type="spellEnd"/>
      <w:r w:rsidRPr="00706E37">
        <w:t>. Přímé dopady již nebyly tak tristní</w:t>
      </w:r>
      <w:r>
        <w:t xml:space="preserve"> a příjmy vykazovaly známky zotavení</w:t>
      </w:r>
      <w:r w:rsidRPr="00706E37">
        <w:t xml:space="preserve">, ale o to větší byly vedlejší vlivy této pandemie. Jednalo se zejména o narušení dodavatelsko-odběratelských vztahů, strmý nárůst cen energií a vysoká inflace. Přesto HDP meziročně </w:t>
      </w:r>
      <w:r>
        <w:t>vzrostl</w:t>
      </w:r>
      <w:r w:rsidRPr="00706E37">
        <w:t xml:space="preserve"> o 3,2 %, ale nedorovnal pokles roku 2020 (-5,8 %), tj. výkonost ekonomiky se nedostala na úroveň před </w:t>
      </w:r>
      <w:r w:rsidRPr="008F6FDF">
        <w:t xml:space="preserve">pandemickou krizí v roce 2019. Pro město </w:t>
      </w:r>
      <w:r>
        <w:t>Chomutov</w:t>
      </w:r>
      <w:r w:rsidRPr="008F6FDF">
        <w:t xml:space="preserve"> došlo k</w:t>
      </w:r>
      <w:r>
        <w:t xml:space="preserve"> meziročnímu</w:t>
      </w:r>
      <w:r w:rsidRPr="008F6FDF">
        <w:t xml:space="preserve"> </w:t>
      </w:r>
      <w:r>
        <w:t>nárůstu</w:t>
      </w:r>
      <w:r w:rsidRPr="008F6FDF">
        <w:t xml:space="preserve"> daňových příjmů o </w:t>
      </w:r>
      <w:r>
        <w:t>85,1</w:t>
      </w:r>
      <w:r w:rsidRPr="008F6FDF">
        <w:t xml:space="preserve"> mil. Kč.</w:t>
      </w:r>
    </w:p>
    <w:p w:rsidR="00A63C37" w:rsidRPr="00B6216F" w:rsidRDefault="00A63C37" w:rsidP="00A63C37">
      <w:r w:rsidRPr="00976C03">
        <w:t>Z uvedeného plyne, že největší vliv na meziroční vývoj celkových příjmů mají daňové příjmy, reprezentované zejména sdílenými daněmi, u kterých docházelo v minulém období k neustálému růstu, vyjma roku 2020. Investiční transfery, které jsou odvislé především</w:t>
      </w:r>
      <w:r w:rsidRPr="00003DDD">
        <w:t xml:space="preserve"> od vypisovaných dotačních titulů a jsou pro město přínosem, </w:t>
      </w:r>
      <w:r>
        <w:t>případně</w:t>
      </w:r>
      <w:r w:rsidRPr="00003DDD">
        <w:t xml:space="preserve"> kapitálové příjmy závislé na rozhodnutích zastupitelů, jsou příčinou nerovnoměrného vývoje celkových příjmů.</w:t>
      </w:r>
    </w:p>
    <w:p w:rsidR="00A63C37" w:rsidRPr="007F7EE4" w:rsidRDefault="00A63C37" w:rsidP="00A63C37">
      <w:pPr>
        <w:pStyle w:val="Graf0"/>
      </w:pPr>
      <w:bookmarkStart w:id="12" w:name="_Toc428351151"/>
      <w:bookmarkStart w:id="13" w:name="_Toc428357446"/>
      <w:bookmarkStart w:id="14" w:name="_Toc55981682"/>
      <w:bookmarkStart w:id="15" w:name="_Toc118977801"/>
      <w:r w:rsidRPr="007F7EE4">
        <w:t>Vývoj příjmů</w:t>
      </w:r>
      <w:bookmarkEnd w:id="12"/>
      <w:bookmarkEnd w:id="13"/>
      <w:bookmarkEnd w:id="14"/>
      <w:bookmarkEnd w:id="15"/>
    </w:p>
    <w:p w:rsidR="00A63C37" w:rsidRPr="0030771F" w:rsidRDefault="00A63C37" w:rsidP="00A63C37">
      <w:pPr>
        <w:pStyle w:val="Objekt"/>
      </w:pPr>
      <w:r>
        <w:rPr>
          <w:noProof/>
          <w:lang w:eastAsia="cs-CZ"/>
        </w:rPr>
        <w:drawing>
          <wp:inline distT="0" distB="0" distL="0" distR="0">
            <wp:extent cx="4860925" cy="1578248"/>
            <wp:effectExtent l="0" t="0" r="0" b="0"/>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60925" cy="1578248"/>
                    </a:xfrm>
                    <a:prstGeom prst="rect">
                      <a:avLst/>
                    </a:prstGeom>
                    <a:noFill/>
                    <a:ln>
                      <a:noFill/>
                    </a:ln>
                  </pic:spPr>
                </pic:pic>
              </a:graphicData>
            </a:graphic>
          </wp:inline>
        </w:drawing>
      </w:r>
    </w:p>
    <w:p w:rsidR="00A63C37" w:rsidRPr="0040645B" w:rsidRDefault="00A63C37" w:rsidP="00A63C37">
      <w:pPr>
        <w:rPr>
          <w:rFonts w:eastAsia="Times New Roman" w:cstheme="minorHAnsi"/>
          <w:szCs w:val="22"/>
          <w:lang w:eastAsia="cs-CZ"/>
        </w:rPr>
      </w:pPr>
      <w:r w:rsidRPr="00421C0A">
        <w:rPr>
          <w:rFonts w:eastAsia="Times New Roman"/>
          <w:lang w:eastAsia="cs-CZ"/>
        </w:rPr>
        <w:t xml:space="preserve">Hodnota celkových příjmů </w:t>
      </w:r>
      <w:r w:rsidRPr="00FA2A9D">
        <w:rPr>
          <w:rFonts w:eastAsia="Times New Roman"/>
          <w:lang w:eastAsia="cs-CZ"/>
        </w:rPr>
        <w:t xml:space="preserve">je v rámci běžných příjmů závislá zejména na vývoji ekonomiky státu a tím na inkasu sdílených daní. Podstatně menší vliv mají nedaňové příjmy a </w:t>
      </w:r>
      <w:r w:rsidRPr="00C511A1">
        <w:rPr>
          <w:rFonts w:eastAsia="Times New Roman"/>
          <w:lang w:eastAsia="cs-CZ"/>
        </w:rPr>
        <w:t xml:space="preserve">neinvestiční transfery. Meziroční vývoj příjmů je ovšem nezanedbatelně ovlivněn také realizací investičních záměrů a s tím souvisejícími obdrženými investičními dotacemi. </w:t>
      </w:r>
      <w:r w:rsidRPr="00C511A1">
        <w:rPr>
          <w:rFonts w:eastAsia="Times New Roman" w:cstheme="minorHAnsi"/>
          <w:szCs w:val="22"/>
          <w:lang w:eastAsia="cs-CZ"/>
        </w:rPr>
        <w:t xml:space="preserve">Toto lze dokumentovat nárůstem celkových příjmů v letech </w:t>
      </w:r>
      <w:proofErr w:type="gramStart"/>
      <w:r w:rsidRPr="00C511A1">
        <w:rPr>
          <w:rFonts w:eastAsia="Times New Roman" w:cstheme="minorHAnsi"/>
          <w:szCs w:val="22"/>
          <w:lang w:eastAsia="cs-CZ"/>
        </w:rPr>
        <w:t>2018 - 2019</w:t>
      </w:r>
      <w:proofErr w:type="gramEnd"/>
      <w:r w:rsidRPr="00C511A1">
        <w:rPr>
          <w:rFonts w:eastAsia="Times New Roman" w:cstheme="minorHAnsi"/>
          <w:szCs w:val="22"/>
          <w:lang w:eastAsia="cs-CZ"/>
        </w:rPr>
        <w:t xml:space="preserve">, kdy jich město obdrželo nejvíce. Jmenovitě se jedná zejména o dotace v rámci akce </w:t>
      </w:r>
      <w:r w:rsidRPr="00BB71CC">
        <w:rPr>
          <w:rFonts w:eastAsia="Times New Roman" w:cstheme="minorHAnsi"/>
          <w:szCs w:val="22"/>
          <w:lang w:eastAsia="cs-CZ"/>
        </w:rPr>
        <w:t>Kompetence v oborech na ZŠ</w:t>
      </w:r>
      <w:r w:rsidRPr="00C511A1">
        <w:rPr>
          <w:rFonts w:eastAsia="Times New Roman" w:cstheme="minorHAnsi"/>
          <w:szCs w:val="22"/>
          <w:lang w:eastAsia="cs-CZ"/>
        </w:rPr>
        <w:t xml:space="preserve"> (9,6, resp. 79,4 mil. Kč), Rekonstrukce objektu Školní </w:t>
      </w:r>
      <w:proofErr w:type="gramStart"/>
      <w:r w:rsidRPr="00C511A1">
        <w:rPr>
          <w:rFonts w:eastAsia="Times New Roman" w:cstheme="minorHAnsi"/>
          <w:szCs w:val="22"/>
          <w:lang w:eastAsia="cs-CZ"/>
        </w:rPr>
        <w:t>pěšina - dětská</w:t>
      </w:r>
      <w:proofErr w:type="gramEnd"/>
      <w:r w:rsidRPr="0040645B">
        <w:rPr>
          <w:rFonts w:eastAsia="Times New Roman" w:cstheme="minorHAnsi"/>
          <w:szCs w:val="22"/>
          <w:lang w:eastAsia="cs-CZ"/>
        </w:rPr>
        <w:t xml:space="preserve"> skupina (14,5 mil. Kč - 2018) a realizaci energetických opatření ZŠ Kadaňská (13,0 mil. Kč - 2019).</w:t>
      </w:r>
      <w:r>
        <w:rPr>
          <w:rFonts w:eastAsia="Times New Roman" w:cstheme="minorHAnsi"/>
          <w:szCs w:val="22"/>
          <w:lang w:eastAsia="cs-CZ"/>
        </w:rPr>
        <w:t xml:space="preserve"> </w:t>
      </w:r>
      <w:r w:rsidRPr="0040645B">
        <w:rPr>
          <w:rFonts w:eastAsia="Times New Roman" w:cstheme="minorHAnsi"/>
          <w:szCs w:val="22"/>
          <w:lang w:eastAsia="cs-CZ"/>
        </w:rPr>
        <w:t>Nejvyšší investiční dotací v posledním roce sledovaného období pak byla podpora Protipovodňového varovn</w:t>
      </w:r>
      <w:r>
        <w:rPr>
          <w:rFonts w:eastAsia="Times New Roman" w:cstheme="minorHAnsi"/>
          <w:szCs w:val="22"/>
          <w:lang w:eastAsia="cs-CZ"/>
        </w:rPr>
        <w:t>ého</w:t>
      </w:r>
      <w:r w:rsidRPr="0040645B">
        <w:rPr>
          <w:rFonts w:eastAsia="Times New Roman" w:cstheme="minorHAnsi"/>
          <w:szCs w:val="22"/>
          <w:lang w:eastAsia="cs-CZ"/>
        </w:rPr>
        <w:t xml:space="preserve"> a informační</w:t>
      </w:r>
      <w:r>
        <w:rPr>
          <w:rFonts w:eastAsia="Times New Roman" w:cstheme="minorHAnsi"/>
          <w:szCs w:val="22"/>
          <w:lang w:eastAsia="cs-CZ"/>
        </w:rPr>
        <w:t>ho</w:t>
      </w:r>
      <w:r w:rsidRPr="0040645B">
        <w:rPr>
          <w:rFonts w:eastAsia="Times New Roman" w:cstheme="minorHAnsi"/>
          <w:szCs w:val="22"/>
          <w:lang w:eastAsia="cs-CZ"/>
        </w:rPr>
        <w:t xml:space="preserve"> systém</w:t>
      </w:r>
      <w:r>
        <w:rPr>
          <w:rFonts w:eastAsia="Times New Roman" w:cstheme="minorHAnsi"/>
          <w:szCs w:val="22"/>
          <w:lang w:eastAsia="cs-CZ"/>
        </w:rPr>
        <w:t>u</w:t>
      </w:r>
      <w:r w:rsidRPr="0040645B">
        <w:rPr>
          <w:rFonts w:eastAsia="Times New Roman" w:cstheme="minorHAnsi"/>
          <w:szCs w:val="22"/>
          <w:lang w:eastAsia="cs-CZ"/>
        </w:rPr>
        <w:t xml:space="preserve"> (4,3 mil. Kč)</w:t>
      </w:r>
      <w:r>
        <w:rPr>
          <w:rFonts w:eastAsia="Times New Roman" w:cstheme="minorHAnsi"/>
          <w:szCs w:val="22"/>
          <w:lang w:eastAsia="cs-CZ"/>
        </w:rPr>
        <w:t>.</w:t>
      </w:r>
      <w:r w:rsidRPr="0040645B">
        <w:rPr>
          <w:rFonts w:eastAsia="Times New Roman" w:cstheme="minorHAnsi"/>
          <w:szCs w:val="22"/>
          <w:lang w:eastAsia="cs-CZ"/>
        </w:rPr>
        <w:t xml:space="preserve"> </w:t>
      </w:r>
    </w:p>
    <w:p w:rsidR="00A63C37" w:rsidRPr="004D0FAA" w:rsidRDefault="00E8249A" w:rsidP="00A63C37">
      <w:pPr>
        <w:pStyle w:val="Nadpis3"/>
      </w:pPr>
      <w:r>
        <w:rPr>
          <w:rStyle w:val="Nadpis3Char"/>
          <w:highlight w:val="cyan"/>
        </w:rPr>
        <mc:AlternateContent>
          <mc:Choice Requires="wps">
            <w:drawing>
              <wp:anchor distT="0" distB="0" distL="114300" distR="114300" simplePos="0" relativeHeight="251863552" behindDoc="0" locked="0" layoutInCell="1" allowOverlap="1">
                <wp:simplePos x="0" y="0"/>
                <wp:positionH relativeFrom="page">
                  <wp:posOffset>541655</wp:posOffset>
                </wp:positionH>
                <wp:positionV relativeFrom="paragraph">
                  <wp:posOffset>200025</wp:posOffset>
                </wp:positionV>
                <wp:extent cx="1403985" cy="906145"/>
                <wp:effectExtent l="0" t="0" r="0" b="0"/>
                <wp:wrapNone/>
                <wp:docPr id="678" name="Textové pole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03985" cy="906145"/>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DA6167" w:rsidRDefault="00DA6167" w:rsidP="00A63C37">
                            <w:pPr>
                              <w:spacing w:after="0"/>
                              <w:jc w:val="left"/>
                              <w:rPr>
                                <w:rStyle w:val="Odkaznakoment"/>
                                <w:rFonts w:cstheme="minorHAnsi"/>
                                <w:i/>
                                <w:sz w:val="20"/>
                                <w:szCs w:val="20"/>
                              </w:rPr>
                            </w:pPr>
                            <w:r>
                              <w:rPr>
                                <w:rStyle w:val="Odkaznakoment"/>
                                <w:rFonts w:cstheme="minorHAnsi"/>
                                <w:i/>
                                <w:sz w:val="20"/>
                                <w:szCs w:val="20"/>
                              </w:rPr>
                              <w:t xml:space="preserve">Zásadní skupinou příjmů jsou příjmy daňové, tvoří </w:t>
                            </w:r>
                          </w:p>
                          <w:p w:rsidR="00DA6167" w:rsidRPr="00480BCC" w:rsidRDefault="00DA6167" w:rsidP="00A63C37">
                            <w:pPr>
                              <w:spacing w:before="0" w:after="0"/>
                              <w:jc w:val="left"/>
                              <w:rPr>
                                <w:rFonts w:cstheme="minorHAnsi"/>
                                <w:b/>
                                <w:i/>
                                <w:color w:val="548DD4" w:themeColor="text2" w:themeTint="99"/>
                                <w:sz w:val="28"/>
                                <w:szCs w:val="28"/>
                              </w:rPr>
                            </w:pPr>
                            <w:r w:rsidRPr="00B7241E">
                              <w:rPr>
                                <w:b/>
                                <w:i/>
                                <w:color w:val="548DD4" w:themeColor="text2" w:themeTint="99"/>
                                <w:sz w:val="28"/>
                                <w:szCs w:val="28"/>
                              </w:rPr>
                              <w:t>73,8 %</w:t>
                            </w:r>
                            <w:r w:rsidRPr="00480BCC">
                              <w:rPr>
                                <w:rFonts w:cstheme="minorHAnsi"/>
                                <w:b/>
                                <w:i/>
                                <w:color w:val="548DD4" w:themeColor="text2" w:themeTint="99"/>
                                <w:sz w:val="28"/>
                                <w:szCs w:val="28"/>
                              </w:rPr>
                              <w:t xml:space="preserve"> </w:t>
                            </w:r>
                            <w:r>
                              <w:rPr>
                                <w:rStyle w:val="Odkaznakoment"/>
                                <w:rFonts w:cstheme="minorHAnsi"/>
                                <w:i/>
                                <w:sz w:val="20"/>
                                <w:szCs w:val="20"/>
                              </w:rPr>
                              <w:t>běžných příjmů</w:t>
                            </w:r>
                            <w:r w:rsidRPr="00480BCC">
                              <w:rPr>
                                <w:rFonts w:cstheme="minorHAnsi"/>
                                <w:b/>
                                <w:i/>
                                <w:color w:val="548DD4" w:themeColor="text2" w:themeTint="99"/>
                                <w:sz w:val="28"/>
                                <w:szCs w:val="28"/>
                              </w:rPr>
                              <w:t xml:space="preserve"> </w:t>
                            </w:r>
                          </w:p>
                          <w:p w:rsidR="00DA6167" w:rsidRPr="001B58F3" w:rsidRDefault="00DA6167" w:rsidP="00A63C37">
                            <w:pPr>
                              <w:spacing w:before="0" w:after="0"/>
                              <w:jc w:val="left"/>
                              <w:rPr>
                                <w:rFonts w:cstheme="minorHAnsi"/>
                                <w:i/>
                                <w:sz w:val="20"/>
                                <w:szCs w:val="20"/>
                              </w:rPr>
                            </w:pPr>
                            <w:r w:rsidRPr="00B7241E">
                              <w:rPr>
                                <w:b/>
                                <w:i/>
                                <w:color w:val="548DD4" w:themeColor="text2" w:themeTint="99"/>
                                <w:sz w:val="28"/>
                                <w:szCs w:val="28"/>
                              </w:rPr>
                              <w:t>70,4 %</w:t>
                            </w:r>
                            <w:r w:rsidRPr="00480BCC">
                              <w:rPr>
                                <w:rFonts w:cstheme="minorHAnsi"/>
                                <w:b/>
                                <w:i/>
                                <w:color w:val="548DD4" w:themeColor="text2" w:themeTint="99"/>
                                <w:sz w:val="28"/>
                                <w:szCs w:val="28"/>
                              </w:rPr>
                              <w:t xml:space="preserve"> </w:t>
                            </w:r>
                            <w:r>
                              <w:rPr>
                                <w:rStyle w:val="Odkaznakoment"/>
                                <w:rFonts w:cstheme="minorHAnsi"/>
                                <w:i/>
                                <w:sz w:val="20"/>
                                <w:szCs w:val="20"/>
                              </w:rPr>
                              <w:t>celkových příjmů</w:t>
                            </w:r>
                          </w:p>
                        </w:txbxContent>
                      </wps:txbx>
                      <wps:bodyPr rot="0" vert="horz" wrap="square" lIns="0" tIns="0" rIns="0" bIns="0" anchor="t" anchorCtr="0" upright="1">
                        <a:noAutofit/>
                      </wps:bodyPr>
                    </wps:wsp>
                  </a:graphicData>
                </a:graphic>
                <wp14:sizeRelH relativeFrom="page">
                  <wp14:pctWidth>0</wp14:pctWidth>
                </wp14:sizeRelH>
                <wp14:sizeRelV relativeFrom="margin">
                  <wp14:pctHeight>0</wp14:pctHeight>
                </wp14:sizeRelV>
              </wp:anchor>
            </w:drawing>
          </mc:Choice>
          <mc:Fallback>
            <w:pict>
              <v:shape id="_x0000_s1028" type="#_x0000_t202" style="position:absolute;left:0;text-align:left;margin-left:42.65pt;margin-top:15.75pt;width:110.55pt;height:71.35pt;z-index:251863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" fillcolor="white [3201]" stroked="f" strokeweight=".5pt">
                <v:path arrowok="t"/>
                <v:textbox inset="0,0,0,0">
                  <w:txbxContent>
                    <w:p w:rsidR="00DA6167" w:rsidRDefault="00DA6167" w:rsidP="00A63C37">
                      <w:pPr>
                        <w:spacing w:after="0"/>
                        <w:jc w:val="left"/>
                        <w:rPr>
                          <w:rStyle w:val="Odkaznakoment"/>
                          <w:rFonts w:cstheme="minorHAnsi"/>
                          <w:i/>
                          <w:sz w:val="20"/>
                          <w:szCs w:val="20"/>
                        </w:rPr>
                      </w:pPr>
                      <w:r>
                        <w:rPr>
                          <w:rStyle w:val="Odkaznakoment"/>
                          <w:rFonts w:cstheme="minorHAnsi"/>
                          <w:i/>
                          <w:sz w:val="20"/>
                          <w:szCs w:val="20"/>
                        </w:rPr>
                        <w:t xml:space="preserve">Zásadní skupinou příjmů jsou příjmy daňové, tvoří </w:t>
                      </w:r>
                    </w:p>
                    <w:p w:rsidR="00DA6167" w:rsidRPr="00480BCC" w:rsidRDefault="00DA6167" w:rsidP="00A63C37">
                      <w:pPr>
                        <w:spacing w:before="0" w:after="0"/>
                        <w:jc w:val="left"/>
                        <w:rPr>
                          <w:rFonts w:cstheme="minorHAnsi"/>
                          <w:b/>
                          <w:i/>
                          <w:color w:val="548DD4" w:themeColor="text2" w:themeTint="99"/>
                          <w:sz w:val="28"/>
                          <w:szCs w:val="28"/>
                        </w:rPr>
                      </w:pPr>
                      <w:r w:rsidRPr="00B7241E">
                        <w:rPr>
                          <w:b/>
                          <w:i/>
                          <w:color w:val="548DD4" w:themeColor="text2" w:themeTint="99"/>
                          <w:sz w:val="28"/>
                          <w:szCs w:val="28"/>
                        </w:rPr>
                        <w:t>73,8 %</w:t>
                      </w:r>
                      <w:r w:rsidRPr="00480BCC">
                        <w:rPr>
                          <w:rFonts w:cstheme="minorHAnsi"/>
                          <w:b/>
                          <w:i/>
                          <w:color w:val="548DD4" w:themeColor="text2" w:themeTint="99"/>
                          <w:sz w:val="28"/>
                          <w:szCs w:val="28"/>
                        </w:rPr>
                        <w:t xml:space="preserve"> </w:t>
                      </w:r>
                      <w:r>
                        <w:rPr>
                          <w:rStyle w:val="Odkaznakoment"/>
                          <w:rFonts w:cstheme="minorHAnsi"/>
                          <w:i/>
                          <w:sz w:val="20"/>
                          <w:szCs w:val="20"/>
                        </w:rPr>
                        <w:t>běžných příjmů</w:t>
                      </w:r>
                      <w:r w:rsidRPr="00480BCC">
                        <w:rPr>
                          <w:rFonts w:cstheme="minorHAnsi"/>
                          <w:b/>
                          <w:i/>
                          <w:color w:val="548DD4" w:themeColor="text2" w:themeTint="99"/>
                          <w:sz w:val="28"/>
                          <w:szCs w:val="28"/>
                        </w:rPr>
                        <w:t xml:space="preserve"> </w:t>
                      </w:r>
                    </w:p>
                    <w:p w:rsidR="00DA6167" w:rsidRPr="001B58F3" w:rsidRDefault="00DA6167" w:rsidP="00A63C37">
                      <w:pPr>
                        <w:spacing w:before="0" w:after="0"/>
                        <w:jc w:val="left"/>
                        <w:rPr>
                          <w:rFonts w:cstheme="minorHAnsi"/>
                          <w:i/>
                          <w:sz w:val="20"/>
                          <w:szCs w:val="20"/>
                        </w:rPr>
                      </w:pPr>
                      <w:r w:rsidRPr="00B7241E">
                        <w:rPr>
                          <w:b/>
                          <w:i/>
                          <w:color w:val="548DD4" w:themeColor="text2" w:themeTint="99"/>
                          <w:sz w:val="28"/>
                          <w:szCs w:val="28"/>
                        </w:rPr>
                        <w:t>70,4 %</w:t>
                      </w:r>
                      <w:r w:rsidRPr="00480BCC">
                        <w:rPr>
                          <w:rFonts w:cstheme="minorHAnsi"/>
                          <w:b/>
                          <w:i/>
                          <w:color w:val="548DD4" w:themeColor="text2" w:themeTint="99"/>
                          <w:sz w:val="28"/>
                          <w:szCs w:val="28"/>
                        </w:rPr>
                        <w:t xml:space="preserve"> </w:t>
                      </w:r>
                      <w:r>
                        <w:rPr>
                          <w:rStyle w:val="Odkaznakoment"/>
                          <w:rFonts w:cstheme="minorHAnsi"/>
                          <w:i/>
                          <w:sz w:val="20"/>
                          <w:szCs w:val="20"/>
                        </w:rPr>
                        <w:t>celkových příjmů</w:t>
                      </w:r>
                    </w:p>
                  </w:txbxContent>
                </v:textbox>
                <w10:wrap anchorx="page"/>
              </v:shape>
            </w:pict>
          </mc:Fallback>
        </mc:AlternateContent>
      </w:r>
      <w:r w:rsidR="00A63C37" w:rsidRPr="0040645B">
        <w:t xml:space="preserve"> </w:t>
      </w:r>
      <w:r w:rsidR="00A63C37">
        <w:t>D</w:t>
      </w:r>
      <w:r w:rsidR="00A63C37" w:rsidRPr="004D0FAA">
        <w:t>aňové příjmy</w:t>
      </w:r>
    </w:p>
    <w:p w:rsidR="00A63C37" w:rsidRPr="00421C0A" w:rsidRDefault="00A63C37" w:rsidP="00A63C37">
      <w:r w:rsidRPr="00421C0A">
        <w:t xml:space="preserve">Z následujících grafů, které porovnávají podíly jednotlivých příjmových skupin na běžných a celkových příjmech (vyjádření v procentech), je zřejmé, že nejdůležitější příjmovou skupinou jsou příjmy daňové. Daňové příjmy tvořily za posledních pět let v průměru </w:t>
      </w:r>
      <w:r>
        <w:t>73,8 %</w:t>
      </w:r>
      <w:r w:rsidRPr="00421C0A">
        <w:t xml:space="preserve"> příjmů běžných a </w:t>
      </w:r>
      <w:r>
        <w:t xml:space="preserve">70,4 % </w:t>
      </w:r>
      <w:r w:rsidRPr="00421C0A">
        <w:t>příjmů celkových.</w:t>
      </w:r>
    </w:p>
    <w:p w:rsidR="00A63C37" w:rsidRPr="00104086" w:rsidRDefault="00A63C37" w:rsidP="00A63C37">
      <w:pPr>
        <w:pStyle w:val="Graf0"/>
      </w:pPr>
      <w:bookmarkStart w:id="16" w:name="_Toc118977802"/>
      <w:r w:rsidRPr="00104086">
        <w:rPr>
          <w:noProof/>
          <w:lang w:eastAsia="cs-CZ"/>
        </w:rPr>
        <w:lastRenderedPageBreak/>
        <w:t xml:space="preserve">Meziroční podíl a </w:t>
      </w:r>
      <w:r>
        <w:rPr>
          <w:noProof/>
          <w:lang w:eastAsia="cs-CZ"/>
        </w:rPr>
        <w:t>pěti</w:t>
      </w:r>
      <w:r w:rsidRPr="00104086">
        <w:rPr>
          <w:noProof/>
          <w:lang w:eastAsia="cs-CZ"/>
        </w:rPr>
        <w:t>letý průměr daňových příjmů</w:t>
      </w:r>
      <w:bookmarkEnd w:id="16"/>
    </w:p>
    <w:p w:rsidR="00A63C37" w:rsidRPr="0030771F" w:rsidRDefault="00A63C37" w:rsidP="00A63C37">
      <w:pPr>
        <w:pStyle w:val="Objekt"/>
      </w:pPr>
      <w:r>
        <w:rPr>
          <w:noProof/>
          <w:lang w:eastAsia="cs-CZ"/>
        </w:rPr>
        <w:drawing>
          <wp:inline distT="0" distB="0" distL="0" distR="0">
            <wp:extent cx="4860925" cy="1604282"/>
            <wp:effectExtent l="0" t="0" r="0" b="0"/>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60925" cy="1604282"/>
                    </a:xfrm>
                    <a:prstGeom prst="rect">
                      <a:avLst/>
                    </a:prstGeom>
                    <a:noFill/>
                    <a:ln>
                      <a:noFill/>
                    </a:ln>
                  </pic:spPr>
                </pic:pic>
              </a:graphicData>
            </a:graphic>
          </wp:inline>
        </w:drawing>
      </w:r>
    </w:p>
    <w:p w:rsidR="00A63C37" w:rsidRPr="003D2538" w:rsidRDefault="00A63C37" w:rsidP="00A63C37">
      <w:r w:rsidRPr="003D2538">
        <w:t>Z předcházejícího grafu je patrná dominance daňových příjmů nad ostatními příjmovými skupinami. Nedaňové</w:t>
      </w:r>
      <w:r>
        <w:t xml:space="preserve">, </w:t>
      </w:r>
      <w:r w:rsidRPr="003D2538">
        <w:t xml:space="preserve">kapitálové příjmy a přijaté transfery se v průměru podílejí na běžných příjmech </w:t>
      </w:r>
      <w:r>
        <w:t>26,2 %</w:t>
      </w:r>
      <w:r w:rsidRPr="003D2538">
        <w:t xml:space="preserve"> a na celkových příjmech </w:t>
      </w:r>
      <w:r>
        <w:t>29,6 %</w:t>
      </w:r>
      <w:r w:rsidRPr="003D2538">
        <w:t>.</w:t>
      </w:r>
    </w:p>
    <w:p w:rsidR="00A63C37" w:rsidRPr="003D2538" w:rsidRDefault="00A63C37" w:rsidP="00A63C37">
      <w:r w:rsidRPr="003D2538">
        <w:t xml:space="preserve">Základ příjmové části rozpočtu města tvoří sdílené daně, které spadají do třídy daňových příjmů. Plnění rozpočtovaných příjmů v této oblasti je nutné věnovat náležitou pozornost. </w:t>
      </w:r>
    </w:p>
    <w:bookmarkStart w:id="17" w:name="_Toc428351150"/>
    <w:bookmarkStart w:id="18" w:name="_Toc428357445"/>
    <w:bookmarkStart w:id="19" w:name="_Toc55981680"/>
    <w:bookmarkStart w:id="20" w:name="_Toc118977803"/>
    <w:p w:rsidR="00A63C37" w:rsidRPr="007F7EE4" w:rsidRDefault="00E8249A" w:rsidP="00A63C37">
      <w:pPr>
        <w:pStyle w:val="Graf0"/>
      </w:pPr>
      <w:r>
        <w:rPr>
          <w:rFonts w:ascii="Verdana" w:hAnsi="Verdana"/>
          <w:noProof/>
          <w:sz w:val="19"/>
          <w:highlight w:val="cyan"/>
          <w:lang w:eastAsia="cs-CZ"/>
        </w:rPr>
        <mc:AlternateContent>
          <mc:Choice Requires="wps">
            <w:drawing>
              <wp:anchor distT="0" distB="0" distL="114300" distR="114300" simplePos="0" relativeHeight="251864576" behindDoc="0" locked="0" layoutInCell="1" allowOverlap="1">
                <wp:simplePos x="0" y="0"/>
                <wp:positionH relativeFrom="page">
                  <wp:posOffset>541655</wp:posOffset>
                </wp:positionH>
                <wp:positionV relativeFrom="paragraph">
                  <wp:posOffset>-69850</wp:posOffset>
                </wp:positionV>
                <wp:extent cx="1403985" cy="668655"/>
                <wp:effectExtent l="0" t="0" r="0" b="0"/>
                <wp:wrapNone/>
                <wp:docPr id="682" name="Textové pole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03985" cy="668655"/>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DA6167" w:rsidRDefault="00DA6167" w:rsidP="00A63C37">
                            <w:pPr>
                              <w:spacing w:after="0"/>
                              <w:jc w:val="left"/>
                              <w:rPr>
                                <w:rStyle w:val="Odkaznakoment"/>
                                <w:rFonts w:cstheme="minorHAnsi"/>
                                <w:i/>
                                <w:sz w:val="20"/>
                                <w:szCs w:val="20"/>
                              </w:rPr>
                            </w:pPr>
                            <w:r>
                              <w:rPr>
                                <w:rStyle w:val="Odkaznakoment"/>
                                <w:rFonts w:cstheme="minorHAnsi"/>
                                <w:i/>
                                <w:sz w:val="20"/>
                                <w:szCs w:val="20"/>
                              </w:rPr>
                              <w:t xml:space="preserve">Podíl sdílených daní na daňových příjmech </w:t>
                            </w:r>
                          </w:p>
                          <w:p w:rsidR="00DA6167" w:rsidRPr="008C27FC" w:rsidRDefault="00DA6167" w:rsidP="00A63C37">
                            <w:pPr>
                              <w:spacing w:before="0" w:after="0"/>
                              <w:jc w:val="left"/>
                              <w:rPr>
                                <w:rFonts w:cstheme="minorHAnsi"/>
                                <w:b/>
                                <w:i/>
                                <w:color w:val="548DD4" w:themeColor="text2" w:themeTint="99"/>
                                <w:sz w:val="28"/>
                                <w:szCs w:val="28"/>
                              </w:rPr>
                            </w:pPr>
                            <w:r w:rsidRPr="00B7241E">
                              <w:rPr>
                                <w:b/>
                                <w:i/>
                                <w:color w:val="548DD4" w:themeColor="text2" w:themeTint="99"/>
                                <w:sz w:val="28"/>
                                <w:szCs w:val="28"/>
                              </w:rPr>
                              <w:t>85,0 %</w:t>
                            </w:r>
                          </w:p>
                        </w:txbxContent>
                      </wps:txbx>
                      <wps:bodyPr rot="0" vert="horz" wrap="square" lIns="0" tIns="0" rIns="0" bIns="0" anchor="t" anchorCtr="0" upright="1">
                        <a:noAutofit/>
                      </wps:bodyPr>
                    </wps:wsp>
                  </a:graphicData>
                </a:graphic>
                <wp14:sizeRelH relativeFrom="page">
                  <wp14:pctWidth>0</wp14:pctWidth>
                </wp14:sizeRelH>
                <wp14:sizeRelV relativeFrom="margin">
                  <wp14:pctHeight>0</wp14:pctHeight>
                </wp14:sizeRelV>
              </wp:anchor>
            </w:drawing>
          </mc:Choice>
          <mc:Fallback>
            <w:pict>
              <v:shape id="_x0000_s1029" type="#_x0000_t202" style="position:absolute;left:0;text-align:left;margin-left:42.65pt;margin-top:-5.5pt;width:110.55pt;height:52.65pt;z-index:251864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" fillcolor="white [3201]" stroked="f" strokeweight=".5pt">
                <v:path arrowok="t"/>
                <v:textbox inset="0,0,0,0">
                  <w:txbxContent>
                    <w:p w:rsidR="00DA6167" w:rsidRDefault="00DA6167" w:rsidP="00A63C37">
                      <w:pPr>
                        <w:spacing w:after="0"/>
                        <w:jc w:val="left"/>
                        <w:rPr>
                          <w:rStyle w:val="Odkaznakoment"/>
                          <w:rFonts w:cstheme="minorHAnsi"/>
                          <w:i/>
                          <w:sz w:val="20"/>
                          <w:szCs w:val="20"/>
                        </w:rPr>
                      </w:pPr>
                      <w:r>
                        <w:rPr>
                          <w:rStyle w:val="Odkaznakoment"/>
                          <w:rFonts w:cstheme="minorHAnsi"/>
                          <w:i/>
                          <w:sz w:val="20"/>
                          <w:szCs w:val="20"/>
                        </w:rPr>
                        <w:t xml:space="preserve">Podíl sdílených daní na daňových příjmech </w:t>
                      </w:r>
                    </w:p>
                    <w:p w:rsidR="00DA6167" w:rsidRPr="008C27FC" w:rsidRDefault="00DA6167" w:rsidP="00A63C37">
                      <w:pPr>
                        <w:spacing w:before="0" w:after="0"/>
                        <w:jc w:val="left"/>
                        <w:rPr>
                          <w:rFonts w:cstheme="minorHAnsi"/>
                          <w:b/>
                          <w:i/>
                          <w:color w:val="548DD4" w:themeColor="text2" w:themeTint="99"/>
                          <w:sz w:val="28"/>
                          <w:szCs w:val="28"/>
                        </w:rPr>
                      </w:pPr>
                      <w:r w:rsidRPr="00B7241E">
                        <w:rPr>
                          <w:b/>
                          <w:i/>
                          <w:color w:val="548DD4" w:themeColor="text2" w:themeTint="99"/>
                          <w:sz w:val="28"/>
                          <w:szCs w:val="28"/>
                        </w:rPr>
                        <w:t>85,0 %</w:t>
                      </w:r>
                    </w:p>
                  </w:txbxContent>
                </v:textbox>
                <w10:wrap anchorx="page"/>
              </v:shape>
            </w:pict>
          </mc:Fallback>
        </mc:AlternateContent>
      </w:r>
      <w:r w:rsidR="00A63C37" w:rsidRPr="007F7EE4">
        <w:t>Vývoj sdílených daní</w:t>
      </w:r>
      <w:bookmarkEnd w:id="17"/>
      <w:bookmarkEnd w:id="18"/>
      <w:bookmarkEnd w:id="19"/>
      <w:bookmarkEnd w:id="20"/>
    </w:p>
    <w:p w:rsidR="00A63C37" w:rsidRPr="0030771F" w:rsidRDefault="00A63C37" w:rsidP="00A63C37">
      <w:pPr>
        <w:pStyle w:val="Objekt"/>
      </w:pPr>
      <w:r>
        <w:rPr>
          <w:noProof/>
          <w:lang w:eastAsia="cs-CZ"/>
        </w:rPr>
        <w:drawing>
          <wp:inline distT="0" distB="0" distL="0" distR="0">
            <wp:extent cx="4860925" cy="2014183"/>
            <wp:effectExtent l="0" t="0" r="0" b="0"/>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60925" cy="2014183"/>
                    </a:xfrm>
                    <a:prstGeom prst="rect">
                      <a:avLst/>
                    </a:prstGeom>
                    <a:noFill/>
                    <a:ln>
                      <a:noFill/>
                    </a:ln>
                  </pic:spPr>
                </pic:pic>
              </a:graphicData>
            </a:graphic>
          </wp:inline>
        </w:drawing>
      </w:r>
    </w:p>
    <w:p w:rsidR="00A63C37" w:rsidRPr="0030771F" w:rsidRDefault="00A63C37" w:rsidP="00A63C37">
      <w:pPr>
        <w:pStyle w:val="Poznmka"/>
        <w:spacing w:line="240" w:lineRule="auto"/>
      </w:pPr>
      <w:r w:rsidRPr="0030771F">
        <w:t xml:space="preserve">Poznámka: z důvodu přehlednosti a názvosloví z minulých let jsou </w:t>
      </w:r>
      <w:r>
        <w:t xml:space="preserve">dále </w:t>
      </w:r>
      <w:r w:rsidRPr="0030771F">
        <w:t>v textu použity zkratky pro položku</w:t>
      </w:r>
    </w:p>
    <w:p w:rsidR="00A63C37" w:rsidRPr="0030771F" w:rsidRDefault="00A63C37" w:rsidP="00A63C37">
      <w:pPr>
        <w:spacing w:before="0" w:after="0" w:line="240" w:lineRule="auto"/>
        <w:rPr>
          <w:i/>
          <w:vertAlign w:val="subscript"/>
        </w:rPr>
      </w:pPr>
      <w:r w:rsidRPr="0030771F">
        <w:rPr>
          <w:i/>
          <w:sz w:val="18"/>
          <w:szCs w:val="18"/>
        </w:rPr>
        <w:t>1111 (současný název DPFO placená plátci) 1111</w:t>
      </w:r>
      <w:r w:rsidRPr="0030771F">
        <w:rPr>
          <w:i/>
          <w:vertAlign w:val="subscript"/>
        </w:rPr>
        <w:t>ZČ (ze závislé činnosti)</w:t>
      </w:r>
    </w:p>
    <w:p w:rsidR="00A63C37" w:rsidRPr="0030771F" w:rsidRDefault="00A63C37" w:rsidP="00A63C37">
      <w:pPr>
        <w:spacing w:before="0" w:after="240" w:line="240" w:lineRule="auto"/>
        <w:rPr>
          <w:i/>
          <w:vertAlign w:val="subscript"/>
        </w:rPr>
      </w:pPr>
      <w:r w:rsidRPr="0030771F">
        <w:rPr>
          <w:i/>
          <w:sz w:val="18"/>
          <w:szCs w:val="18"/>
        </w:rPr>
        <w:t>1112 (současný název DPFO placená poplatníky) 1112</w:t>
      </w:r>
      <w:r w:rsidRPr="0030771F">
        <w:rPr>
          <w:i/>
          <w:vertAlign w:val="subscript"/>
        </w:rPr>
        <w:t>OSVČ (osob samostatně výdělečně činných)</w:t>
      </w:r>
    </w:p>
    <w:p w:rsidR="00A63C37" w:rsidRDefault="00A63C37" w:rsidP="00A63C37">
      <w:r>
        <w:t>Vývoj hodnot sdílených daní je ovlivňován jak změnami v zákoně o Rozpočtovém určení daní (RUD), tak aktuálním vývojem ekonomické situace. V</w:t>
      </w:r>
      <w:r w:rsidRPr="003D2538">
        <w:t> roce 2017 došlo ke zrušení inkasa 30</w:t>
      </w:r>
      <w:r>
        <w:t xml:space="preserve"> </w:t>
      </w:r>
      <w:r w:rsidRPr="003D2538">
        <w:t>% z </w:t>
      </w:r>
      <w:proofErr w:type="spellStart"/>
      <w:r w:rsidRPr="003D2538">
        <w:t>DPFO</w:t>
      </w:r>
      <w:r w:rsidRPr="003D2538">
        <w:rPr>
          <w:vertAlign w:val="subscript"/>
        </w:rPr>
        <w:t>osvč</w:t>
      </w:r>
      <w:proofErr w:type="spellEnd"/>
      <w:r w:rsidRPr="003D2538">
        <w:t xml:space="preserve"> a zároveň jako kompenzace byl navýšen podíl obcí na DPH z 20,43</w:t>
      </w:r>
      <w:r>
        <w:t xml:space="preserve"> </w:t>
      </w:r>
      <w:r w:rsidRPr="003D2538">
        <w:t>% na 21,4</w:t>
      </w:r>
      <w:r>
        <w:t xml:space="preserve"> </w:t>
      </w:r>
      <w:r w:rsidRPr="003D2538">
        <w:t>%, aby hned v </w:t>
      </w:r>
      <w:r w:rsidRPr="005E5C40">
        <w:t xml:space="preserve">následujícím roce byl tento podíl navýšen na 23,58 % a ještě navýšeno kritérium počtu žáků ze 7 % na 9 %. V roce 2021 došlo k opětovné změně zákona v důsledku přijetí tzv. daňového balíčku, který zrušil </w:t>
      </w:r>
      <w:proofErr w:type="spellStart"/>
      <w:r w:rsidRPr="005E5C40">
        <w:t>superhrubou</w:t>
      </w:r>
      <w:proofErr w:type="spellEnd"/>
      <w:r w:rsidRPr="005E5C40">
        <w:t xml:space="preserve"> mzdu. Tento výpadek je řešen zvýšením podílu ÚSC z 23,58 % na 25,84 % na přerozdělování celorepublikového inkasa u všech položek sdílených daní.</w:t>
      </w:r>
    </w:p>
    <w:p w:rsidR="00A63C37" w:rsidRPr="00902961" w:rsidRDefault="00A63C37" w:rsidP="00A63C37">
      <w:r>
        <w:t>C</w:t>
      </w:r>
      <w:r w:rsidRPr="005E5C40">
        <w:t>elosvětov</w:t>
      </w:r>
      <w:r>
        <w:t>á pandemie</w:t>
      </w:r>
      <w:r w:rsidRPr="005E5C40">
        <w:t xml:space="preserve"> </w:t>
      </w:r>
      <w:proofErr w:type="spellStart"/>
      <w:r w:rsidRPr="005E5C40">
        <w:t>Covid</w:t>
      </w:r>
      <w:proofErr w:type="spellEnd"/>
      <w:r w:rsidRPr="005E5C40">
        <w:t xml:space="preserve"> 19</w:t>
      </w:r>
      <w:r>
        <w:t xml:space="preserve"> vyvolala nutnost kompenzovat výpadky v postižených oblastech hospodářství</w:t>
      </w:r>
      <w:r w:rsidRPr="005E5C40">
        <w:t>.</w:t>
      </w:r>
      <w:r>
        <w:t xml:space="preserve"> Negativní dopady restriktivních opatření na hodnoty sdílených daní (na položku 1111 – </w:t>
      </w:r>
      <w:proofErr w:type="spellStart"/>
      <w:r w:rsidRPr="003D2538">
        <w:t>DPFO</w:t>
      </w:r>
      <w:r>
        <w:rPr>
          <w:vertAlign w:val="subscript"/>
        </w:rPr>
        <w:t>z</w:t>
      </w:r>
      <w:r w:rsidRPr="003D2538">
        <w:rPr>
          <w:vertAlign w:val="subscript"/>
        </w:rPr>
        <w:t>č</w:t>
      </w:r>
      <w:proofErr w:type="spellEnd"/>
      <w:r>
        <w:t xml:space="preserve">) byly ÚSC kompenzovány tzv. kompenzačním bonusem. Ten v roce 2020 činil 1 250 Kč na obyvatele a v roce 2021 byl stanoven </w:t>
      </w:r>
      <w:r w:rsidRPr="00973A21">
        <w:t xml:space="preserve">ve výši </w:t>
      </w:r>
      <w:r w:rsidRPr="00973A21">
        <w:rPr>
          <w:bCs/>
        </w:rPr>
        <w:t xml:space="preserve">80 </w:t>
      </w:r>
      <w:r w:rsidRPr="00973A21">
        <w:rPr>
          <w:bCs/>
        </w:rPr>
        <w:lastRenderedPageBreak/>
        <w:t>%</w:t>
      </w:r>
      <w:r w:rsidRPr="007D3888">
        <w:t xml:space="preserve"> jejich podílu na výplatách kompenzačního bonusu. Příspěvek b</w:t>
      </w:r>
      <w:r>
        <w:t>yl</w:t>
      </w:r>
      <w:r w:rsidRPr="007D3888">
        <w:t xml:space="preserve"> mezi ÚSC </w:t>
      </w:r>
      <w:r>
        <w:t>rozdělen</w:t>
      </w:r>
      <w:r w:rsidRPr="007D3888">
        <w:t xml:space="preserve"> podle procentních podílů v rámci RUD</w:t>
      </w:r>
      <w:r>
        <w:t>.</w:t>
      </w:r>
    </w:p>
    <w:p w:rsidR="00A63C37" w:rsidRDefault="00A63C37" w:rsidP="00A63C37">
      <w:r w:rsidRPr="001F2A69">
        <w:t xml:space="preserve">V kontextu výše zmíněného vývoje příjmů ze sdílených daní je třeba připomenout další historické okolnosti, které ovlivňovaly příjmovou i výdajovou stranu rozpočtu. V roce 2003 to byl vznik obcí s pověřeným obecním úřadem a obcí s přenesenou působností. V roce 2005 přešlo financování školství mimo rozpočty ÚSC. </w:t>
      </w:r>
      <w:r w:rsidRPr="00C379AC">
        <w:t>V roce 2009 zasáhla hospodaření municipalit finanční celosvětová krize, která byla citelná i v následujícím roce. Prozatím poslední velká změna čekala na municipality</w:t>
      </w:r>
      <w:r w:rsidRPr="001F2A69">
        <w:t xml:space="preserve"> v roce 2012, kdy výplata sociálních dávek přešla na úřady práce.</w:t>
      </w:r>
      <w:r>
        <w:t xml:space="preserve"> </w:t>
      </w:r>
    </w:p>
    <w:p w:rsidR="00A63C37" w:rsidRPr="007D3888" w:rsidRDefault="00A63C37" w:rsidP="00A63C37">
      <w:r w:rsidRPr="007D3888">
        <w:t xml:space="preserve">Sdílené daně predikované společností AQE </w:t>
      </w:r>
      <w:proofErr w:type="spellStart"/>
      <w:r w:rsidRPr="007D3888">
        <w:t>advisors</w:t>
      </w:r>
      <w:proofErr w:type="spellEnd"/>
      <w:r w:rsidRPr="007D3888">
        <w:t xml:space="preserve">, a.s. vycházejí z údajů platného státního rozpočtu na rok </w:t>
      </w:r>
      <w:r>
        <w:t>2022</w:t>
      </w:r>
      <w:r w:rsidRPr="007D3888">
        <w:t xml:space="preserve">, zákona č. 243/2000 Sb., o rozpočtovém určení daní územním samosprávným celkům a některým státním fondům a vyhlášky </w:t>
      </w:r>
      <w:r>
        <w:t xml:space="preserve">249/2022 </w:t>
      </w:r>
      <w:r w:rsidRPr="007D3888">
        <w:t>Sb., o podílu jednotlivých obcí na stanovených procentních částech celostátního hrubého výnosu daně z přidané hodnoty a daní z příjmů. Hodnoty pro výpočet sdílených daní jsou určeny následovně:</w:t>
      </w:r>
    </w:p>
    <w:p w:rsidR="00A63C37" w:rsidRPr="007F609C" w:rsidRDefault="00A63C37" w:rsidP="00A63C37">
      <w:pPr>
        <w:pStyle w:val="Objekt"/>
      </w:pPr>
      <w:r>
        <w:rPr>
          <w:noProof/>
          <w:lang w:eastAsia="cs-CZ"/>
        </w:rPr>
        <w:drawing>
          <wp:inline distT="0" distB="0" distL="0" distR="0">
            <wp:extent cx="2217600" cy="810000"/>
            <wp:effectExtent l="0" t="0" r="0" b="9525"/>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17600" cy="810000"/>
                    </a:xfrm>
                    <a:prstGeom prst="rect">
                      <a:avLst/>
                    </a:prstGeom>
                    <a:noFill/>
                    <a:ln>
                      <a:noFill/>
                    </a:ln>
                  </pic:spPr>
                </pic:pic>
              </a:graphicData>
            </a:graphic>
          </wp:inline>
        </w:drawing>
      </w:r>
    </w:p>
    <w:p w:rsidR="00A63C37" w:rsidRDefault="00A63C37" w:rsidP="00A63C37">
      <w:pPr>
        <w:pStyle w:val="Tabulka"/>
      </w:pPr>
      <w:bookmarkStart w:id="21" w:name="_Toc118977783"/>
      <w:r w:rsidRPr="00701261">
        <w:t>Predikce sdílených daní na aktuální rok</w:t>
      </w:r>
      <w:bookmarkEnd w:id="21"/>
    </w:p>
    <w:p w:rsidR="00A63C37" w:rsidRDefault="00E8249A" w:rsidP="00A63C37">
      <w:pPr>
        <w:pStyle w:val="Objekt"/>
        <w:spacing w:after="120"/>
      </w:pPr>
      <w:r>
        <w:rPr>
          <w:rFonts w:ascii="Verdana" w:hAnsi="Verdana"/>
          <w:noProof/>
          <w:sz w:val="19"/>
          <w:highlight w:val="cyan"/>
          <w:lang w:eastAsia="cs-CZ"/>
        </w:rPr>
        <mc:AlternateContent>
          <mc:Choice Requires="wps">
            <w:drawing>
              <wp:anchor distT="0" distB="0" distL="114300" distR="114300" simplePos="0" relativeHeight="251865600" behindDoc="0" locked="0" layoutInCell="1" allowOverlap="1">
                <wp:simplePos x="0" y="0"/>
                <wp:positionH relativeFrom="page">
                  <wp:posOffset>539115</wp:posOffset>
                </wp:positionH>
                <wp:positionV relativeFrom="paragraph">
                  <wp:posOffset>1289050</wp:posOffset>
                </wp:positionV>
                <wp:extent cx="1403985" cy="919480"/>
                <wp:effectExtent l="0" t="0" r="0" b="0"/>
                <wp:wrapNone/>
                <wp:docPr id="687" name="Textové pole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03985" cy="919480"/>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DA6167" w:rsidRPr="00370D4F" w:rsidRDefault="00DA6167" w:rsidP="00A63C37">
                            <w:pPr>
                              <w:spacing w:after="0"/>
                              <w:jc w:val="left"/>
                              <w:rPr>
                                <w:rFonts w:cstheme="minorHAnsi"/>
                                <w:i/>
                                <w:sz w:val="20"/>
                                <w:szCs w:val="20"/>
                              </w:rPr>
                            </w:pPr>
                            <w:r>
                              <w:rPr>
                                <w:rFonts w:cstheme="minorHAnsi"/>
                                <w:i/>
                                <w:color w:val="333333"/>
                                <w:sz w:val="20"/>
                                <w:szCs w:val="20"/>
                                <w:shd w:val="clear" w:color="auto" w:fill="FFFFFF"/>
                              </w:rPr>
                              <w:t>Meziroční růst sdílených daní oproti roku 2021 dle MF</w:t>
                            </w:r>
                          </w:p>
                          <w:p w:rsidR="00DA6167" w:rsidRPr="00AA44BA" w:rsidRDefault="00DA6167" w:rsidP="00A63C37">
                            <w:pPr>
                              <w:spacing w:before="0" w:after="0"/>
                              <w:jc w:val="left"/>
                              <w:rPr>
                                <w:rFonts w:cstheme="minorHAnsi"/>
                                <w:b/>
                                <w:i/>
                                <w:color w:val="548DD4" w:themeColor="text2" w:themeTint="99"/>
                                <w:sz w:val="28"/>
                                <w:szCs w:val="28"/>
                              </w:rPr>
                            </w:pPr>
                            <w:r w:rsidRPr="00B7241E">
                              <w:rPr>
                                <w:rFonts w:cstheme="minorHAnsi"/>
                                <w:b/>
                                <w:i/>
                                <w:color w:val="548DD4" w:themeColor="text2" w:themeTint="99"/>
                                <w:sz w:val="28"/>
                                <w:szCs w:val="28"/>
                              </w:rPr>
                              <w:t>82,5</w:t>
                            </w:r>
                            <w:r w:rsidRPr="00AA44BA">
                              <w:rPr>
                                <w:rFonts w:cstheme="minorHAnsi"/>
                                <w:b/>
                                <w:i/>
                                <w:color w:val="548DD4" w:themeColor="text2" w:themeTint="99"/>
                                <w:sz w:val="28"/>
                                <w:szCs w:val="28"/>
                              </w:rPr>
                              <w:t xml:space="preserve"> mil. Kč</w:t>
                            </w:r>
                          </w:p>
                        </w:txbxContent>
                      </wps:txbx>
                      <wps:bodyPr rot="0" vert="horz" wrap="square" lIns="0" tIns="0" rIns="0" bIns="0" anchor="t" anchorCtr="0" upright="1">
                        <a:noAutofit/>
                      </wps:bodyPr>
                    </wps:wsp>
                  </a:graphicData>
                </a:graphic>
                <wp14:sizeRelH relativeFrom="page">
                  <wp14:pctWidth>0</wp14:pctWidth>
                </wp14:sizeRelH>
                <wp14:sizeRelV relativeFrom="margin">
                  <wp14:pctHeight>0</wp14:pctHeight>
                </wp14:sizeRelV>
              </wp:anchor>
            </w:drawing>
          </mc:Choice>
          <mc:Fallback>
            <w:pict>
              <v:shape id="_x0000_s1030" type="#_x0000_t202" style="position:absolute;margin-left:42.45pt;margin-top:101.5pt;width:110.55pt;height:72.4pt;z-index:251865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" fillcolor="white [3201]" stroked="f" strokeweight=".5pt">
                <v:path arrowok="t"/>
                <v:textbox inset="0,0,0,0">
                  <w:txbxContent>
                    <w:p w:rsidR="00DA6167" w:rsidRPr="00370D4F" w:rsidRDefault="00DA6167" w:rsidP="00A63C37">
                      <w:pPr>
                        <w:spacing w:after="0"/>
                        <w:jc w:val="left"/>
                        <w:rPr>
                          <w:rFonts w:cstheme="minorHAnsi"/>
                          <w:i/>
                          <w:sz w:val="20"/>
                          <w:szCs w:val="20"/>
                        </w:rPr>
                      </w:pPr>
                      <w:r>
                        <w:rPr>
                          <w:rFonts w:cstheme="minorHAnsi"/>
                          <w:i/>
                          <w:color w:val="333333"/>
                          <w:sz w:val="20"/>
                          <w:szCs w:val="20"/>
                          <w:shd w:val="clear" w:color="auto" w:fill="FFFFFF"/>
                        </w:rPr>
                        <w:t>Meziroční růst sdílených daní oproti roku 2021 dle MF</w:t>
                      </w:r>
                    </w:p>
                    <w:p w:rsidR="00DA6167" w:rsidRPr="00AA44BA" w:rsidRDefault="00DA6167" w:rsidP="00A63C37">
                      <w:pPr>
                        <w:spacing w:before="0" w:after="0"/>
                        <w:jc w:val="left"/>
                        <w:rPr>
                          <w:rFonts w:cstheme="minorHAnsi"/>
                          <w:b/>
                          <w:i/>
                          <w:color w:val="548DD4" w:themeColor="text2" w:themeTint="99"/>
                          <w:sz w:val="28"/>
                          <w:szCs w:val="28"/>
                        </w:rPr>
                      </w:pPr>
                      <w:r w:rsidRPr="00B7241E">
                        <w:rPr>
                          <w:rFonts w:cstheme="minorHAnsi"/>
                          <w:b/>
                          <w:i/>
                          <w:color w:val="548DD4" w:themeColor="text2" w:themeTint="99"/>
                          <w:sz w:val="28"/>
                          <w:szCs w:val="28"/>
                        </w:rPr>
                        <w:t>82,5</w:t>
                      </w:r>
                      <w:r w:rsidRPr="00AA44BA">
                        <w:rPr>
                          <w:rFonts w:cstheme="minorHAnsi"/>
                          <w:b/>
                          <w:i/>
                          <w:color w:val="548DD4" w:themeColor="text2" w:themeTint="99"/>
                          <w:sz w:val="28"/>
                          <w:szCs w:val="28"/>
                        </w:rPr>
                        <w:t xml:space="preserve"> mil. Kč</w:t>
                      </w:r>
                    </w:p>
                  </w:txbxContent>
                </v:textbox>
                <w10:wrap anchorx="page"/>
              </v:shape>
            </w:pict>
          </mc:Fallback>
        </mc:AlternateContent>
      </w:r>
      <w:r w:rsidR="00A63C37">
        <w:rPr>
          <w:noProof/>
          <w:lang w:eastAsia="cs-CZ"/>
        </w:rPr>
        <w:drawing>
          <wp:inline distT="0" distB="0" distL="0" distR="0">
            <wp:extent cx="3117600" cy="1152000"/>
            <wp:effectExtent l="0" t="0" r="6985" b="0"/>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17600" cy="1152000"/>
                    </a:xfrm>
                    <a:prstGeom prst="rect">
                      <a:avLst/>
                    </a:prstGeom>
                    <a:noFill/>
                    <a:ln>
                      <a:noFill/>
                    </a:ln>
                  </pic:spPr>
                </pic:pic>
              </a:graphicData>
            </a:graphic>
          </wp:inline>
        </w:drawing>
      </w:r>
    </w:p>
    <w:p w:rsidR="00A63C37" w:rsidRPr="00A408CA" w:rsidRDefault="00A63C37" w:rsidP="00A63C37">
      <w:r w:rsidRPr="007D3888">
        <w:t xml:space="preserve">Druhý sloupec tabulky uvádí očekávanou skutečnost sdílených daní dle předpokládaného plnění státního rozpočtu na rok </w:t>
      </w:r>
      <w:r>
        <w:t>2022</w:t>
      </w:r>
      <w:r w:rsidRPr="007D3888">
        <w:t>. Třetí sloupec zachycuje kon</w:t>
      </w:r>
      <w:r>
        <w:t xml:space="preserve">krétní predikci pro město </w:t>
      </w:r>
      <w:proofErr w:type="gramStart"/>
      <w:r>
        <w:t>Chomutov</w:t>
      </w:r>
      <w:r w:rsidRPr="007D3888">
        <w:t xml:space="preserve"> - pravděpodobně</w:t>
      </w:r>
      <w:proofErr w:type="gramEnd"/>
      <w:r w:rsidRPr="007D3888">
        <w:t xml:space="preserve"> dosažitelný objem financí plynoucí ze sdílených daní roku </w:t>
      </w:r>
      <w:r>
        <w:t>2022</w:t>
      </w:r>
      <w:r w:rsidRPr="007D3888">
        <w:t xml:space="preserve">. Čtvrtý sloupec obsahuje údaje sdílených daní dle upraveného rozpočtu města. </w:t>
      </w:r>
      <w:r w:rsidRPr="008F6FDF">
        <w:t>Poslední sloupec tabulky zobrazuje odchylku mezi maximální predikovanou hodnotou SD, vycházející z hodnot SR a hodnotou rozpočtovanou městem.</w:t>
      </w:r>
      <w:r>
        <w:t xml:space="preserve"> </w:t>
      </w:r>
      <w:r w:rsidRPr="007D3888">
        <w:t xml:space="preserve">Ze srovnání třetího a čtvrtého sloupce vidíme, že rozpočet města má </w:t>
      </w:r>
      <w:r>
        <w:t>nižší</w:t>
      </w:r>
      <w:r w:rsidRPr="007D3888">
        <w:t xml:space="preserve"> hodnoty než tato výchozí predikce (o </w:t>
      </w:r>
      <w:r>
        <w:t>6,2 %</w:t>
      </w:r>
      <w:r w:rsidRPr="007D3888">
        <w:t xml:space="preserve"> oproti predikci MF ČR). </w:t>
      </w:r>
      <w:r w:rsidRPr="00D331B9">
        <w:t xml:space="preserve">Při optimálním výběru sdílených daní </w:t>
      </w:r>
      <w:r>
        <w:t>tedy</w:t>
      </w:r>
      <w:r w:rsidRPr="00D331B9">
        <w:t xml:space="preserve"> do rozpočtu </w:t>
      </w:r>
      <w:r>
        <w:t>přiteče dalších</w:t>
      </w:r>
      <w:r w:rsidRPr="00D331B9">
        <w:t xml:space="preserve"> </w:t>
      </w:r>
      <w:r>
        <w:t xml:space="preserve">52,5 mil. Kč. </w:t>
      </w:r>
      <w:r w:rsidRPr="00A408CA">
        <w:t>V </w:t>
      </w:r>
      <w:r w:rsidRPr="00A57C5A">
        <w:t xml:space="preserve">důsledku neustále se měnícího ekonomického vývoje, spojeného s rostoucí inflací, nárůstem cen energií a vývojem na Ukrajině, došlo od počátku letošního roku již </w:t>
      </w:r>
      <w:r w:rsidRPr="005E7C14">
        <w:t>třikrát</w:t>
      </w:r>
      <w:r>
        <w:t xml:space="preserve"> </w:t>
      </w:r>
      <w:r w:rsidRPr="00A57C5A">
        <w:t>ke změně</w:t>
      </w:r>
      <w:r w:rsidR="00FE3A69">
        <w:t xml:space="preserve"> predikce daňových příjmů.</w:t>
      </w:r>
    </w:p>
    <w:p w:rsidR="00A63C37" w:rsidRPr="00543D0F" w:rsidRDefault="00A63C37" w:rsidP="00A63C37">
      <w:r w:rsidRPr="00A408CA">
        <w:t>Nejen uvedené hodnoty sdílených daní ale i následně navržený</w:t>
      </w:r>
      <w:r w:rsidRPr="00543D0F">
        <w:t xml:space="preserve"> střednědobý výhled rozpočtu jsou zatíženy určitou mírou nejistoty s ohledem na budoucí vývoj ekonomiky. Ten je ovlivňován celou řadou regionálních i globálních faktorů, jako je již zmíněná pandemie. Nově se přidala energetická krize a rostoucí inflace, které jsou v poslední době umocněny ruskou agresí proti Ukrajině. Všechny tyto faktory mají přímý dopad nejen na aktuální rozpočet města, ale také na jeho střednědobé plánování.</w:t>
      </w:r>
    </w:p>
    <w:p w:rsidR="00A63C37" w:rsidRPr="00CB6EE3" w:rsidRDefault="00A63C37" w:rsidP="00A63C37">
      <w:pPr>
        <w:spacing w:after="240"/>
      </w:pPr>
      <w:r w:rsidRPr="00CB6EE3">
        <w:lastRenderedPageBreak/>
        <w:t xml:space="preserve">Z výše popsaných důvodů je důležité pravidelně sledovat vývoj sdílených daní a při jakékoliv odchylce od hodnot rozpočtu na </w:t>
      </w:r>
      <w:r w:rsidRPr="00A57C5A">
        <w:t>tento vývoj adekvátně reagovat</w:t>
      </w:r>
      <w:r w:rsidRPr="00CB6EE3">
        <w:t>.</w:t>
      </w:r>
    </w:p>
    <w:p w:rsidR="00A63C37" w:rsidRPr="002D4487" w:rsidRDefault="00E8249A" w:rsidP="00A63C37">
      <w:r>
        <w:rPr>
          <w:rFonts w:ascii="Verdana" w:hAnsi="Verdana"/>
          <w:b/>
          <w:noProof/>
          <w:sz w:val="19"/>
          <w:highlight w:val="cyan"/>
          <w:lang w:eastAsia="cs-CZ"/>
        </w:rPr>
        <mc:AlternateContent>
          <mc:Choice Requires="wps">
            <w:drawing>
              <wp:anchor distT="0" distB="0" distL="114300" distR="114300" simplePos="0" relativeHeight="251885056" behindDoc="0" locked="0" layoutInCell="1" allowOverlap="1">
                <wp:simplePos x="0" y="0"/>
                <wp:positionH relativeFrom="page">
                  <wp:posOffset>540385</wp:posOffset>
                </wp:positionH>
                <wp:positionV relativeFrom="paragraph">
                  <wp:posOffset>0</wp:posOffset>
                </wp:positionV>
                <wp:extent cx="1403985" cy="1440180"/>
                <wp:effectExtent l="0" t="0" r="0" b="0"/>
                <wp:wrapNone/>
                <wp:docPr id="20" name="Textové pole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03985" cy="1440180"/>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DA6167" w:rsidRPr="00193D74" w:rsidRDefault="00DA6167" w:rsidP="00A63C37">
                            <w:pPr>
                              <w:jc w:val="center"/>
                              <w:rPr>
                                <w:rFonts w:cstheme="minorHAnsi"/>
                                <w:sz w:val="20"/>
                                <w:szCs w:val="20"/>
                              </w:rPr>
                            </w:pPr>
                            <w:r w:rsidRPr="00285D17">
                              <w:rPr>
                                <w:noProof/>
                                <w:lang w:eastAsia="cs-CZ"/>
                              </w:rPr>
                              <w:drawing>
                                <wp:inline distT="0" distB="0" distL="0" distR="0">
                                  <wp:extent cx="1339850" cy="1163955"/>
                                  <wp:effectExtent l="0" t="0" r="0" b="0"/>
                                  <wp:docPr id="723" name="Obrázek 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39850" cy="116395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margin">
                  <wp14:pctHeight>0</wp14:pctHeight>
                </wp14:sizeRelV>
              </wp:anchor>
            </w:drawing>
          </mc:Choice>
          <mc:Fallback>
            <w:pict>
              <v:shape id="_x0000_s1031" type="#_x0000_t202" style="position:absolute;left:0;text-align:left;margin-left:42.55pt;margin-top:0;width:110.55pt;height:113.4pt;z-index:251885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" fillcolor="white [3201]" stroked="f" strokeweight=".5pt">
                <v:path arrowok="t"/>
                <v:textbox inset="0,0,0,0">
                  <w:txbxContent>
                    <w:p w:rsidR="00DA6167" w:rsidRPr="00193D74" w:rsidRDefault="00DA6167" w:rsidP="00A63C37">
                      <w:pPr>
                        <w:jc w:val="center"/>
                        <w:rPr>
                          <w:rFonts w:cstheme="minorHAnsi"/>
                          <w:sz w:val="20"/>
                          <w:szCs w:val="20"/>
                        </w:rPr>
                      </w:pPr>
                      <w:r w:rsidRPr="00285D17">
                        <w:rPr>
                          <w:noProof/>
                          <w:lang w:eastAsia="cs-CZ"/>
                        </w:rPr>
                        <w:drawing>
                          <wp:inline distT="0" distB="0" distL="0" distR="0">
                            <wp:extent cx="1339850" cy="1163955"/>
                            <wp:effectExtent l="0" t="0" r="0" b="0"/>
                            <wp:docPr id="723" name="Obrázek 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39850" cy="1163955"/>
                                    </a:xfrm>
                                    <a:prstGeom prst="rect">
                                      <a:avLst/>
                                    </a:prstGeom>
                                    <a:noFill/>
                                    <a:ln>
                                      <a:noFill/>
                                    </a:ln>
                                  </pic:spPr>
                                </pic:pic>
                              </a:graphicData>
                            </a:graphic>
                          </wp:inline>
                        </w:drawing>
                      </w:r>
                    </w:p>
                  </w:txbxContent>
                </v:textbox>
                <w10:wrap anchorx="page"/>
              </v:shape>
            </w:pict>
          </mc:Fallback>
        </mc:AlternateContent>
      </w:r>
      <w:r w:rsidR="00A63C37" w:rsidRPr="002A3769">
        <w:rPr>
          <w:b/>
        </w:rPr>
        <w:t xml:space="preserve">Ostatní daňové </w:t>
      </w:r>
      <w:proofErr w:type="gramStart"/>
      <w:r w:rsidR="00A63C37" w:rsidRPr="002A3769">
        <w:rPr>
          <w:b/>
        </w:rPr>
        <w:t>příjmy</w:t>
      </w:r>
      <w:r w:rsidR="00A63C37" w:rsidRPr="002A3769">
        <w:t xml:space="preserve"> - Kromě</w:t>
      </w:r>
      <w:proofErr w:type="gramEnd"/>
      <w:r w:rsidR="00A63C37" w:rsidRPr="002A3769">
        <w:t xml:space="preserve"> sdílených daní jsou dalšími významnými daňovými příjmy</w:t>
      </w:r>
      <w:r w:rsidR="00A63C37">
        <w:t xml:space="preserve"> -</w:t>
      </w:r>
      <w:r w:rsidR="00A63C37" w:rsidRPr="002A3769">
        <w:t xml:space="preserve"> </w:t>
      </w:r>
      <w:r w:rsidR="00A63C37">
        <w:t>Příjmy z daně z nemovitých věcí</w:t>
      </w:r>
      <w:r w:rsidR="00A63C37" w:rsidRPr="00AA44BA">
        <w:t xml:space="preserve"> (položka </w:t>
      </w:r>
      <w:r w:rsidR="00A63C37">
        <w:t>1511</w:t>
      </w:r>
      <w:r w:rsidR="00A63C37" w:rsidRPr="00AA44BA">
        <w:t xml:space="preserve"> - v průměru je příjem do rozpočtu </w:t>
      </w:r>
      <w:r w:rsidR="00A63C37">
        <w:t>66,9</w:t>
      </w:r>
      <w:r w:rsidR="00A63C37" w:rsidRPr="00AA44BA">
        <w:t xml:space="preserve"> mil. Kč), </w:t>
      </w:r>
      <w:r w:rsidR="00A63C37" w:rsidRPr="00A81B15">
        <w:t>Příj</w:t>
      </w:r>
      <w:r w:rsidR="00A63C37">
        <w:t xml:space="preserve">my </w:t>
      </w:r>
      <w:r w:rsidR="00A63C37" w:rsidRPr="00A81B15">
        <w:t>ze správních poplatků</w:t>
      </w:r>
      <w:r w:rsidR="00A63C37" w:rsidRPr="0019734F">
        <w:t xml:space="preserve"> (</w:t>
      </w:r>
      <w:r w:rsidR="00A63C37">
        <w:t xml:space="preserve">položka 1361 - </w:t>
      </w:r>
      <w:r w:rsidR="00A63C37" w:rsidRPr="0019734F">
        <w:t xml:space="preserve">v průměru </w:t>
      </w:r>
      <w:r w:rsidR="00A63C37">
        <w:t>14,2</w:t>
      </w:r>
      <w:r w:rsidR="00A63C37" w:rsidRPr="0019734F">
        <w:t xml:space="preserve"> mil. Kč)</w:t>
      </w:r>
      <w:r w:rsidR="00A63C37">
        <w:t xml:space="preserve"> a</w:t>
      </w:r>
      <w:r w:rsidR="00A63C37" w:rsidRPr="0019734F">
        <w:t xml:space="preserve"> </w:t>
      </w:r>
      <w:r w:rsidR="00A63C37">
        <w:t>Poplatky za obecní systém odpadového hospodářství a za odkládání komunálního odpadu z nemovitých věci</w:t>
      </w:r>
      <w:r w:rsidR="00A63C37" w:rsidRPr="008D0541">
        <w:t xml:space="preserve"> (</w:t>
      </w:r>
      <w:r w:rsidR="00A63C37">
        <w:t xml:space="preserve">položka 1345 - </w:t>
      </w:r>
      <w:r w:rsidR="00A63C37" w:rsidRPr="008D0541">
        <w:t xml:space="preserve">v průměru </w:t>
      </w:r>
      <w:r w:rsidR="00A63C37">
        <w:t>14,1</w:t>
      </w:r>
      <w:r w:rsidR="00A63C37" w:rsidRPr="008D0541">
        <w:t xml:space="preserve"> </w:t>
      </w:r>
      <w:r w:rsidR="00A63C37" w:rsidRPr="00D331B9">
        <w:t>mil. Kč)</w:t>
      </w:r>
      <w:r w:rsidR="00A63C37">
        <w:t>. S odstupem</w:t>
      </w:r>
      <w:r w:rsidR="00A63C37" w:rsidRPr="00D331B9">
        <w:t xml:space="preserve"> </w:t>
      </w:r>
      <w:r w:rsidR="00A63C37">
        <w:t>následují</w:t>
      </w:r>
      <w:r w:rsidR="00A63C37" w:rsidRPr="00D331B9">
        <w:t xml:space="preserve"> </w:t>
      </w:r>
      <w:r w:rsidR="00A63C37">
        <w:t>Příjmy z poplatku ze psů</w:t>
      </w:r>
      <w:r w:rsidR="00A63C37" w:rsidRPr="00D331B9">
        <w:t xml:space="preserve"> (položka</w:t>
      </w:r>
      <w:r w:rsidR="00A63C37">
        <w:t xml:space="preserve"> </w:t>
      </w:r>
      <w:proofErr w:type="gramStart"/>
      <w:r w:rsidR="00A63C37">
        <w:t xml:space="preserve">1341 - </w:t>
      </w:r>
      <w:r w:rsidR="00A63C37" w:rsidRPr="008D0541">
        <w:t>v</w:t>
      </w:r>
      <w:proofErr w:type="gramEnd"/>
      <w:r w:rsidR="00A63C37" w:rsidRPr="008D0541">
        <w:t xml:space="preserve"> průměru </w:t>
      </w:r>
      <w:r w:rsidR="00A63C37">
        <w:t>1,7</w:t>
      </w:r>
      <w:r w:rsidR="00A63C37" w:rsidRPr="008D0541">
        <w:t xml:space="preserve"> mil. Kč). </w:t>
      </w:r>
      <w:r w:rsidR="00A63C37" w:rsidRPr="00967EC9">
        <w:t xml:space="preserve">Významný přínos do rozpočtu města mají </w:t>
      </w:r>
      <w:r w:rsidR="00A63C37">
        <w:t xml:space="preserve">také </w:t>
      </w:r>
      <w:r w:rsidR="00A63C37" w:rsidRPr="00967EC9">
        <w:t>finanční prostředky plynoucí z hazardu vybírané státem na základě Loterijního zákona a následně přerozdělované jednotlivým obcím</w:t>
      </w:r>
      <w:r w:rsidR="00A63C37">
        <w:t xml:space="preserve"> (položka 1381 a </w:t>
      </w:r>
      <w:proofErr w:type="gramStart"/>
      <w:r w:rsidR="00A63C37">
        <w:t>1385 – v</w:t>
      </w:r>
      <w:proofErr w:type="gramEnd"/>
      <w:r w:rsidR="00A63C37">
        <w:t> </w:t>
      </w:r>
      <w:r w:rsidR="00A63C37" w:rsidRPr="00967EC9">
        <w:t>průměr</w:t>
      </w:r>
      <w:r w:rsidR="00A63C37">
        <w:t>u</w:t>
      </w:r>
      <w:r w:rsidR="00A63C37" w:rsidRPr="00967EC9">
        <w:t xml:space="preserve"> </w:t>
      </w:r>
      <w:r w:rsidR="00A63C37">
        <w:t>5,7</w:t>
      </w:r>
      <w:r w:rsidR="00A63C37" w:rsidRPr="00967EC9">
        <w:t xml:space="preserve"> mil. Kč).</w:t>
      </w:r>
    </w:p>
    <w:p w:rsidR="00A63C37" w:rsidRPr="004D0FAA" w:rsidRDefault="00A63C37" w:rsidP="00A63C37">
      <w:pPr>
        <w:pStyle w:val="Nadpis3"/>
      </w:pPr>
      <w:r w:rsidRPr="004D0FAA">
        <w:t>Nedaňové příjmy</w:t>
      </w:r>
    </w:p>
    <w:p w:rsidR="00A63C37" w:rsidRPr="00D01576" w:rsidRDefault="00E8249A" w:rsidP="00A63C37">
      <w:r>
        <w:rPr>
          <w:rFonts w:ascii="Verdana" w:hAnsi="Verdana"/>
          <w:b/>
          <w:noProof/>
          <w:sz w:val="19"/>
          <w:highlight w:val="cyan"/>
          <w:lang w:eastAsia="cs-CZ"/>
        </w:rPr>
        <mc:AlternateContent>
          <mc:Choice Requires="wps">
            <w:drawing>
              <wp:anchor distT="0" distB="0" distL="114300" distR="114300" simplePos="0" relativeHeight="251884032" behindDoc="0" locked="0" layoutInCell="1" allowOverlap="1">
                <wp:simplePos x="0" y="0"/>
                <wp:positionH relativeFrom="page">
                  <wp:posOffset>540385</wp:posOffset>
                </wp:positionH>
                <wp:positionV relativeFrom="paragraph">
                  <wp:posOffset>0</wp:posOffset>
                </wp:positionV>
                <wp:extent cx="1403985" cy="1440180"/>
                <wp:effectExtent l="0" t="0" r="0" b="0"/>
                <wp:wrapNone/>
                <wp:docPr id="695" name="Textové pole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03985" cy="1440180"/>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DA6167" w:rsidRPr="00193D74" w:rsidRDefault="00DA6167" w:rsidP="00A63C37">
                            <w:pPr>
                              <w:jc w:val="center"/>
                              <w:rPr>
                                <w:rFonts w:cstheme="minorHAnsi"/>
                                <w:sz w:val="20"/>
                                <w:szCs w:val="20"/>
                              </w:rPr>
                            </w:pPr>
                            <w:r w:rsidRPr="00285D17">
                              <w:rPr>
                                <w:noProof/>
                                <w:lang w:eastAsia="cs-CZ"/>
                              </w:rPr>
                              <w:drawing>
                                <wp:inline distT="0" distB="0" distL="0" distR="0">
                                  <wp:extent cx="1339850" cy="1168400"/>
                                  <wp:effectExtent l="0" t="0" r="0" b="0"/>
                                  <wp:docPr id="718" name="Obrázek 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39850" cy="11684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margin">
                  <wp14:pctHeight>0</wp14:pctHeight>
                </wp14:sizeRelV>
              </wp:anchor>
            </w:drawing>
          </mc:Choice>
          <mc:Fallback>
            <w:pict>
              <v:shape id="_x0000_s1032" type="#_x0000_t202" style="position:absolute;left:0;text-align:left;margin-left:42.55pt;margin-top:0;width:110.55pt;height:113.4pt;z-index:251884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" fillcolor="white [3201]" stroked="f" strokeweight=".5pt">
                <v:path arrowok="t"/>
                <v:textbox inset="0,0,0,0">
                  <w:txbxContent>
                    <w:p w:rsidR="00DA6167" w:rsidRPr="00193D74" w:rsidRDefault="00DA6167" w:rsidP="00A63C37">
                      <w:pPr>
                        <w:jc w:val="center"/>
                        <w:rPr>
                          <w:rFonts w:cstheme="minorHAnsi"/>
                          <w:sz w:val="20"/>
                          <w:szCs w:val="20"/>
                        </w:rPr>
                      </w:pPr>
                      <w:r w:rsidRPr="00285D17">
                        <w:rPr>
                          <w:noProof/>
                          <w:lang w:eastAsia="cs-CZ"/>
                        </w:rPr>
                        <w:drawing>
                          <wp:inline distT="0" distB="0" distL="0" distR="0">
                            <wp:extent cx="1339850" cy="1168400"/>
                            <wp:effectExtent l="0" t="0" r="0" b="0"/>
                            <wp:docPr id="718" name="Obrázek 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39850" cy="1168400"/>
                                    </a:xfrm>
                                    <a:prstGeom prst="rect">
                                      <a:avLst/>
                                    </a:prstGeom>
                                    <a:noFill/>
                                    <a:ln>
                                      <a:noFill/>
                                    </a:ln>
                                  </pic:spPr>
                                </pic:pic>
                              </a:graphicData>
                            </a:graphic>
                          </wp:inline>
                        </w:drawing>
                      </w:r>
                    </w:p>
                  </w:txbxContent>
                </v:textbox>
                <w10:wrap anchorx="page"/>
              </v:shape>
            </w:pict>
          </mc:Fallback>
        </mc:AlternateContent>
      </w:r>
      <w:r w:rsidR="00A63C37" w:rsidRPr="00D01576">
        <w:t xml:space="preserve">Relativně méně výrazný podíl na objemu běžných, resp. celkových příjmů, mají příjmy nedaňové. V průměru sledovaného období dosahují </w:t>
      </w:r>
      <w:r w:rsidR="00A63C37">
        <w:t>10,0 %</w:t>
      </w:r>
      <w:r w:rsidR="00A63C37" w:rsidRPr="00D01576">
        <w:t xml:space="preserve"> příjmů běžných, resp. </w:t>
      </w:r>
      <w:r w:rsidR="00A63C37">
        <w:t>9,6 %</w:t>
      </w:r>
      <w:r w:rsidR="00A63C37" w:rsidRPr="00D01576">
        <w:t xml:space="preserve"> příjmů celkových. Nejdůležitější položky v této kategorii příjmů jsou </w:t>
      </w:r>
      <w:r w:rsidR="00A63C37">
        <w:t>Příjmy z poskytování služeb, výrobků, prací, výkonů a práv</w:t>
      </w:r>
      <w:r w:rsidR="00A63C37" w:rsidRPr="00D01576">
        <w:t xml:space="preserve"> (</w:t>
      </w:r>
      <w:r w:rsidR="00A63C37">
        <w:t xml:space="preserve">položka 2111 - </w:t>
      </w:r>
      <w:r w:rsidR="00A63C37" w:rsidRPr="00D01576">
        <w:t xml:space="preserve">v průměru </w:t>
      </w:r>
      <w:r w:rsidR="00A63C37">
        <w:t>28,4</w:t>
      </w:r>
      <w:r w:rsidR="00A63C37" w:rsidRPr="00D01576">
        <w:t xml:space="preserve"> mil. Kč), </w:t>
      </w:r>
      <w:r w:rsidR="00A63C37">
        <w:t>Příjem sankčních plateb přijatých od jiných osob</w:t>
      </w:r>
      <w:r w:rsidR="00A63C37" w:rsidRPr="00D01576">
        <w:t xml:space="preserve"> (</w:t>
      </w:r>
      <w:r w:rsidR="00A63C37">
        <w:t xml:space="preserve">položka 2212 - </w:t>
      </w:r>
      <w:r w:rsidR="00A63C37" w:rsidRPr="00D01576">
        <w:t xml:space="preserve">v průměru </w:t>
      </w:r>
      <w:r w:rsidR="00A63C37">
        <w:t xml:space="preserve">16,2 </w:t>
      </w:r>
      <w:r w:rsidR="00A63C37" w:rsidRPr="00D01576">
        <w:t xml:space="preserve">mil. Kč), </w:t>
      </w:r>
      <w:r w:rsidR="00A63C37">
        <w:t>Ostatní přijaté vratky transferů a podobné příjmy</w:t>
      </w:r>
      <w:r w:rsidR="00A63C37" w:rsidRPr="00D01576">
        <w:t xml:space="preserve"> (</w:t>
      </w:r>
      <w:r w:rsidR="00A63C37">
        <w:t xml:space="preserve">položka 2229 - </w:t>
      </w:r>
      <w:r w:rsidR="00A63C37" w:rsidRPr="00D01576">
        <w:t xml:space="preserve">v průměru </w:t>
      </w:r>
      <w:r w:rsidR="00A63C37">
        <w:t>13,0</w:t>
      </w:r>
      <w:r w:rsidR="00A63C37" w:rsidRPr="00D01576">
        <w:t xml:space="preserve"> mil. Kč), </w:t>
      </w:r>
      <w:r w:rsidR="00A63C37">
        <w:t>Příjmy z pronájmu nebo pachtu ostatních nemovitých věcí a jejich částí</w:t>
      </w:r>
      <w:r w:rsidR="00A63C37" w:rsidRPr="00D01576">
        <w:t xml:space="preserve"> (</w:t>
      </w:r>
      <w:r w:rsidR="00A63C37">
        <w:t xml:space="preserve">položka 2132 - </w:t>
      </w:r>
      <w:r w:rsidR="00A63C37" w:rsidRPr="00D01576">
        <w:t xml:space="preserve">v průměru </w:t>
      </w:r>
      <w:r w:rsidR="00A63C37">
        <w:t>10,6</w:t>
      </w:r>
      <w:r w:rsidR="00A63C37" w:rsidRPr="00D01576">
        <w:t xml:space="preserve"> mil. Kč) a </w:t>
      </w:r>
      <w:r w:rsidR="00A63C37">
        <w:t>Ostatní příjmy z výnosů finančního majetku</w:t>
      </w:r>
      <w:r w:rsidR="00A63C37" w:rsidRPr="00D01576">
        <w:t xml:space="preserve"> (</w:t>
      </w:r>
      <w:r w:rsidR="00A63C37">
        <w:t xml:space="preserve">položka 2149 - </w:t>
      </w:r>
      <w:r w:rsidR="00A63C37" w:rsidRPr="00D01576">
        <w:t xml:space="preserve">v průměru </w:t>
      </w:r>
      <w:r w:rsidR="00A63C37">
        <w:t>8,8</w:t>
      </w:r>
      <w:r w:rsidR="00A63C37" w:rsidRPr="00D01576">
        <w:t xml:space="preserve"> mil. Kč).</w:t>
      </w:r>
    </w:p>
    <w:p w:rsidR="00A63C37" w:rsidRPr="007F7EE4" w:rsidRDefault="00A63C37" w:rsidP="00A63C37">
      <w:pPr>
        <w:pStyle w:val="Graf0"/>
      </w:pPr>
      <w:bookmarkStart w:id="22" w:name="_Toc118977804"/>
      <w:r w:rsidRPr="00104086">
        <w:rPr>
          <w:noProof/>
          <w:lang w:eastAsia="cs-CZ"/>
        </w:rPr>
        <w:t xml:space="preserve">Meziroční podíl a </w:t>
      </w:r>
      <w:r>
        <w:rPr>
          <w:noProof/>
          <w:lang w:eastAsia="cs-CZ"/>
        </w:rPr>
        <w:t>pěti</w:t>
      </w:r>
      <w:r w:rsidRPr="00104086">
        <w:rPr>
          <w:noProof/>
          <w:lang w:eastAsia="cs-CZ"/>
        </w:rPr>
        <w:t xml:space="preserve">letý průměr </w:t>
      </w:r>
      <w:r w:rsidRPr="007F7EE4">
        <w:t>nedaňových příjmů</w:t>
      </w:r>
      <w:bookmarkEnd w:id="22"/>
    </w:p>
    <w:p w:rsidR="00A63C37" w:rsidRPr="007F609C" w:rsidRDefault="00A63C37" w:rsidP="00A63C37">
      <w:pPr>
        <w:pStyle w:val="Objekt"/>
      </w:pPr>
      <w:r>
        <w:rPr>
          <w:noProof/>
          <w:lang w:eastAsia="cs-CZ"/>
        </w:rPr>
        <w:drawing>
          <wp:inline distT="0" distB="0" distL="0" distR="0">
            <wp:extent cx="4860925" cy="1604282"/>
            <wp:effectExtent l="0" t="0" r="0" b="0"/>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60925" cy="1604282"/>
                    </a:xfrm>
                    <a:prstGeom prst="rect">
                      <a:avLst/>
                    </a:prstGeom>
                    <a:noFill/>
                    <a:ln>
                      <a:noFill/>
                    </a:ln>
                  </pic:spPr>
                </pic:pic>
              </a:graphicData>
            </a:graphic>
          </wp:inline>
        </w:drawing>
      </w:r>
    </w:p>
    <w:p w:rsidR="00A63C37" w:rsidRPr="004D0FAA" w:rsidRDefault="00A63C37" w:rsidP="00A63C37">
      <w:pPr>
        <w:pStyle w:val="Nadpis3"/>
      </w:pPr>
      <w:r w:rsidRPr="004D0FAA">
        <w:t>Kapitálové příjmy</w:t>
      </w:r>
    </w:p>
    <w:p w:rsidR="00A63C37" w:rsidRPr="004F4117" w:rsidRDefault="00E8249A" w:rsidP="00A63C37">
      <w:pPr>
        <w:rPr>
          <w:highlight w:val="yellow"/>
        </w:rPr>
      </w:pPr>
      <w:r>
        <w:rPr>
          <w:rFonts w:ascii="Verdana" w:hAnsi="Verdana"/>
          <w:noProof/>
          <w:sz w:val="19"/>
          <w:highlight w:val="cyan"/>
          <w:lang w:eastAsia="cs-CZ"/>
        </w:rPr>
        <mc:AlternateContent>
          <mc:Choice Requires="wps">
            <w:drawing>
              <wp:anchor distT="0" distB="0" distL="114300" distR="114300" simplePos="0" relativeHeight="251866624" behindDoc="0" locked="0" layoutInCell="1" allowOverlap="1">
                <wp:simplePos x="0" y="0"/>
                <wp:positionH relativeFrom="page">
                  <wp:posOffset>539115</wp:posOffset>
                </wp:positionH>
                <wp:positionV relativeFrom="paragraph">
                  <wp:posOffset>-1270</wp:posOffset>
                </wp:positionV>
                <wp:extent cx="1403985" cy="591820"/>
                <wp:effectExtent l="0" t="0" r="0" b="0"/>
                <wp:wrapNone/>
                <wp:docPr id="696" name="Textové pole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03985" cy="591820"/>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DA6167" w:rsidRPr="00BB5B52" w:rsidRDefault="00DA6167" w:rsidP="00A63C37">
                            <w:pPr>
                              <w:spacing w:before="0" w:after="0"/>
                              <w:jc w:val="left"/>
                              <w:rPr>
                                <w:rStyle w:val="Odkaznakoment"/>
                                <w:rFonts w:cstheme="minorHAnsi"/>
                                <w:i/>
                                <w:sz w:val="20"/>
                                <w:szCs w:val="20"/>
                              </w:rPr>
                            </w:pPr>
                            <w:r w:rsidRPr="00BB5B52">
                              <w:rPr>
                                <w:rStyle w:val="Odkaznakoment"/>
                                <w:rFonts w:cstheme="minorHAnsi"/>
                                <w:i/>
                                <w:sz w:val="20"/>
                                <w:szCs w:val="20"/>
                              </w:rPr>
                              <w:t xml:space="preserve">Nejvyšší jsou kapitálové příjmy v roce </w:t>
                            </w:r>
                            <w:r w:rsidRPr="00B7241E">
                              <w:rPr>
                                <w:i/>
                                <w:sz w:val="20"/>
                                <w:szCs w:val="20"/>
                              </w:rPr>
                              <w:t>2019</w:t>
                            </w:r>
                            <w:r w:rsidRPr="00BB5B52">
                              <w:rPr>
                                <w:rStyle w:val="Odkaznakoment"/>
                                <w:rFonts w:cstheme="minorHAnsi"/>
                                <w:i/>
                                <w:sz w:val="20"/>
                                <w:szCs w:val="20"/>
                              </w:rPr>
                              <w:t xml:space="preserve"> </w:t>
                            </w:r>
                          </w:p>
                          <w:p w:rsidR="00DA6167" w:rsidRPr="004F15E3" w:rsidRDefault="00DA6167" w:rsidP="00A63C37">
                            <w:pPr>
                              <w:spacing w:before="0"/>
                              <w:jc w:val="left"/>
                              <w:rPr>
                                <w:rFonts w:cstheme="minorHAnsi"/>
                                <w:b/>
                                <w:i/>
                                <w:color w:val="548DD4" w:themeColor="text2" w:themeTint="99"/>
                                <w:sz w:val="28"/>
                                <w:szCs w:val="28"/>
                              </w:rPr>
                            </w:pPr>
                            <w:r w:rsidRPr="00B7241E">
                              <w:rPr>
                                <w:b/>
                                <w:i/>
                                <w:color w:val="548DD4" w:themeColor="text2" w:themeTint="99"/>
                                <w:sz w:val="28"/>
                                <w:szCs w:val="28"/>
                              </w:rPr>
                              <w:t>29,8</w:t>
                            </w:r>
                            <w:r w:rsidRPr="00BB5B52">
                              <w:rPr>
                                <w:rStyle w:val="Odkaznakoment"/>
                                <w:rFonts w:cstheme="minorHAnsi"/>
                                <w:b/>
                                <w:i/>
                                <w:color w:val="548DD4" w:themeColor="text2" w:themeTint="99"/>
                                <w:sz w:val="28"/>
                                <w:szCs w:val="28"/>
                              </w:rPr>
                              <w:t xml:space="preserve"> mil. Kč</w:t>
                            </w:r>
                          </w:p>
                          <w:p w:rsidR="00DA6167" w:rsidRPr="001B58F3" w:rsidRDefault="00DA6167" w:rsidP="00A63C37">
                            <w:pPr>
                              <w:spacing w:after="0"/>
                              <w:jc w:val="left"/>
                              <w:rPr>
                                <w:rFonts w:cstheme="minorHAnsi"/>
                                <w:i/>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margin">
                  <wp14:pctHeight>0</wp14:pctHeight>
                </wp14:sizeRelV>
              </wp:anchor>
            </w:drawing>
          </mc:Choice>
          <mc:Fallback>
            <w:pict>
              <v:shape id="_x0000_s1033" type="#_x0000_t202" style="position:absolute;left:0;text-align:left;margin-left:42.45pt;margin-top:-.1pt;width:110.55pt;height:46.6pt;z-index:251866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" fillcolor="white [3201]" stroked="f" strokeweight=".5pt">
                <v:path arrowok="t"/>
                <v:textbox inset="0,0,0,0">
                  <w:txbxContent>
                    <w:p w:rsidR="00DA6167" w:rsidRPr="00BB5B52" w:rsidRDefault="00DA6167" w:rsidP="00A63C37">
                      <w:pPr>
                        <w:spacing w:before="0" w:after="0"/>
                        <w:jc w:val="left"/>
                        <w:rPr>
                          <w:rStyle w:val="Odkaznakoment"/>
                          <w:rFonts w:cstheme="minorHAnsi"/>
                          <w:i/>
                          <w:sz w:val="20"/>
                          <w:szCs w:val="20"/>
                        </w:rPr>
                      </w:pPr>
                      <w:r w:rsidRPr="00BB5B52">
                        <w:rPr>
                          <w:rStyle w:val="Odkaznakoment"/>
                          <w:rFonts w:cstheme="minorHAnsi"/>
                          <w:i/>
                          <w:sz w:val="20"/>
                          <w:szCs w:val="20"/>
                        </w:rPr>
                        <w:t xml:space="preserve">Nejvyšší jsou kapitálové příjmy v roce </w:t>
                      </w:r>
                      <w:r w:rsidRPr="00B7241E">
                        <w:rPr>
                          <w:i/>
                          <w:sz w:val="20"/>
                          <w:szCs w:val="20"/>
                        </w:rPr>
                        <w:t>2019</w:t>
                      </w:r>
                      <w:r w:rsidRPr="00BB5B52">
                        <w:rPr>
                          <w:rStyle w:val="Odkaznakoment"/>
                          <w:rFonts w:cstheme="minorHAnsi"/>
                          <w:i/>
                          <w:sz w:val="20"/>
                          <w:szCs w:val="20"/>
                        </w:rPr>
                        <w:t xml:space="preserve"> </w:t>
                      </w:r>
                    </w:p>
                    <w:p w:rsidR="00DA6167" w:rsidRPr="004F15E3" w:rsidRDefault="00DA6167" w:rsidP="00A63C37">
                      <w:pPr>
                        <w:spacing w:before="0"/>
                        <w:jc w:val="left"/>
                        <w:rPr>
                          <w:rFonts w:cstheme="minorHAnsi"/>
                          <w:b/>
                          <w:i/>
                          <w:color w:val="548DD4" w:themeColor="text2" w:themeTint="99"/>
                          <w:sz w:val="28"/>
                          <w:szCs w:val="28"/>
                        </w:rPr>
                      </w:pPr>
                      <w:r w:rsidRPr="00B7241E">
                        <w:rPr>
                          <w:b/>
                          <w:i/>
                          <w:color w:val="548DD4" w:themeColor="text2" w:themeTint="99"/>
                          <w:sz w:val="28"/>
                          <w:szCs w:val="28"/>
                        </w:rPr>
                        <w:t>29,8</w:t>
                      </w:r>
                      <w:r w:rsidRPr="00BB5B52">
                        <w:rPr>
                          <w:rStyle w:val="Odkaznakoment"/>
                          <w:rFonts w:cstheme="minorHAnsi"/>
                          <w:b/>
                          <w:i/>
                          <w:color w:val="548DD4" w:themeColor="text2" w:themeTint="99"/>
                          <w:sz w:val="28"/>
                          <w:szCs w:val="28"/>
                        </w:rPr>
                        <w:t xml:space="preserve"> mil. Kč</w:t>
                      </w:r>
                    </w:p>
                    <w:p w:rsidR="00DA6167" w:rsidRPr="001B58F3" w:rsidRDefault="00DA6167" w:rsidP="00A63C37">
                      <w:pPr>
                        <w:spacing w:after="0"/>
                        <w:jc w:val="left"/>
                        <w:rPr>
                          <w:rFonts w:cstheme="minorHAnsi"/>
                          <w:i/>
                          <w:sz w:val="20"/>
                          <w:szCs w:val="20"/>
                        </w:rPr>
                      </w:pPr>
                    </w:p>
                  </w:txbxContent>
                </v:textbox>
                <w10:wrap anchorx="page"/>
              </v:shape>
            </w:pict>
          </mc:Fallback>
        </mc:AlternateContent>
      </w:r>
      <w:r w:rsidR="00A63C37" w:rsidRPr="00731F2B">
        <w:t xml:space="preserve">Kapitálové příjmy se na celkových příjmech </w:t>
      </w:r>
      <w:r w:rsidR="00A63C37" w:rsidRPr="00913908">
        <w:t>podílejí nejnižší částkou (v průměru 16,0 mil. Kč) s vývojem, který je závislý na potřebách</w:t>
      </w:r>
      <w:r w:rsidR="00A63C37" w:rsidRPr="00731F2B">
        <w:t xml:space="preserve"> a možnostech města. V průměru sledovaného období dosahují </w:t>
      </w:r>
      <w:r w:rsidR="00A63C37">
        <w:t>1,4 %</w:t>
      </w:r>
      <w:r w:rsidR="00A63C37" w:rsidRPr="00731F2B">
        <w:t xml:space="preserve"> příjmů </w:t>
      </w:r>
      <w:r w:rsidR="00A63C37">
        <w:t>celkových.</w:t>
      </w:r>
    </w:p>
    <w:p w:rsidR="00A63C37" w:rsidRPr="007F7EE4" w:rsidRDefault="00A63C37" w:rsidP="00A63C37">
      <w:pPr>
        <w:pStyle w:val="Graf0"/>
      </w:pPr>
      <w:bookmarkStart w:id="23" w:name="_Toc118977805"/>
      <w:r w:rsidRPr="00104086">
        <w:rPr>
          <w:noProof/>
          <w:lang w:eastAsia="cs-CZ"/>
        </w:rPr>
        <w:lastRenderedPageBreak/>
        <w:t xml:space="preserve">Meziroční podíl a </w:t>
      </w:r>
      <w:r>
        <w:rPr>
          <w:noProof/>
          <w:lang w:eastAsia="cs-CZ"/>
        </w:rPr>
        <w:t>pěti</w:t>
      </w:r>
      <w:r w:rsidRPr="00104086">
        <w:rPr>
          <w:noProof/>
          <w:lang w:eastAsia="cs-CZ"/>
        </w:rPr>
        <w:t xml:space="preserve">letý průměr </w:t>
      </w:r>
      <w:r w:rsidRPr="007F7EE4">
        <w:t>kapitálových příjmů</w:t>
      </w:r>
      <w:bookmarkEnd w:id="23"/>
    </w:p>
    <w:p w:rsidR="00A63C37" w:rsidRPr="007F609C" w:rsidRDefault="00A63C37" w:rsidP="00A63C37">
      <w:pPr>
        <w:pStyle w:val="Objekt"/>
      </w:pPr>
      <w:r>
        <w:rPr>
          <w:noProof/>
          <w:lang w:eastAsia="cs-CZ"/>
        </w:rPr>
        <w:drawing>
          <wp:inline distT="0" distB="0" distL="0" distR="0">
            <wp:extent cx="4860925" cy="1604282"/>
            <wp:effectExtent l="0" t="0" r="0" b="0"/>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60925" cy="1604282"/>
                    </a:xfrm>
                    <a:prstGeom prst="rect">
                      <a:avLst/>
                    </a:prstGeom>
                    <a:noFill/>
                    <a:ln>
                      <a:noFill/>
                    </a:ln>
                  </pic:spPr>
                </pic:pic>
              </a:graphicData>
            </a:graphic>
          </wp:inline>
        </w:drawing>
      </w:r>
    </w:p>
    <w:p w:rsidR="00A63C37" w:rsidRPr="004D0FAA" w:rsidRDefault="00E8249A" w:rsidP="00A63C37">
      <w:pPr>
        <w:pStyle w:val="Nadpis3"/>
      </w:pPr>
      <w:r>
        <w:rPr>
          <w:rFonts w:ascii="Verdana" w:hAnsi="Verdana"/>
          <w:sz w:val="19"/>
          <w:highlight w:val="cyan"/>
        </w:rPr>
        <mc:AlternateContent>
          <mc:Choice Requires="wps">
            <w:drawing>
              <wp:anchor distT="0" distB="0" distL="114300" distR="114300" simplePos="0" relativeHeight="251867648" behindDoc="0" locked="0" layoutInCell="1" allowOverlap="1">
                <wp:simplePos x="0" y="0"/>
                <wp:positionH relativeFrom="page">
                  <wp:posOffset>541655</wp:posOffset>
                </wp:positionH>
                <wp:positionV relativeFrom="paragraph">
                  <wp:posOffset>274955</wp:posOffset>
                </wp:positionV>
                <wp:extent cx="1403985" cy="1316355"/>
                <wp:effectExtent l="0" t="0" r="0" b="0"/>
                <wp:wrapNone/>
                <wp:docPr id="700" name="Textové pole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03985" cy="1316355"/>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DA6167" w:rsidRPr="00A42FF2" w:rsidRDefault="00DA6167" w:rsidP="00A63C37">
                            <w:pPr>
                              <w:spacing w:after="0"/>
                              <w:jc w:val="left"/>
                              <w:rPr>
                                <w:rFonts w:cstheme="minorHAnsi"/>
                                <w:i/>
                                <w:sz w:val="20"/>
                                <w:szCs w:val="20"/>
                              </w:rPr>
                            </w:pPr>
                            <w:r>
                              <w:rPr>
                                <w:rFonts w:cstheme="minorHAnsi"/>
                                <w:i/>
                                <w:sz w:val="20"/>
                                <w:szCs w:val="20"/>
                              </w:rPr>
                              <w:t>Celkové příjmy jsou v průměru tvořeny podílem</w:t>
                            </w:r>
                          </w:p>
                          <w:p w:rsidR="00DA6167" w:rsidRDefault="00DA6167" w:rsidP="00A63C37">
                            <w:pPr>
                              <w:spacing w:before="0" w:after="0"/>
                              <w:jc w:val="left"/>
                              <w:rPr>
                                <w:rFonts w:cstheme="minorHAnsi"/>
                                <w:b/>
                                <w:i/>
                                <w:color w:val="548DD4" w:themeColor="text2" w:themeTint="99"/>
                                <w:sz w:val="28"/>
                                <w:szCs w:val="28"/>
                              </w:rPr>
                            </w:pPr>
                            <w:r w:rsidRPr="00B7241E">
                              <w:rPr>
                                <w:b/>
                                <w:i/>
                                <w:color w:val="548DD4" w:themeColor="text2" w:themeTint="99"/>
                                <w:sz w:val="28"/>
                                <w:szCs w:val="28"/>
                              </w:rPr>
                              <w:t>15,4 %</w:t>
                            </w:r>
                            <w:r>
                              <w:rPr>
                                <w:rFonts w:cstheme="minorHAnsi"/>
                                <w:b/>
                                <w:i/>
                                <w:color w:val="548DD4" w:themeColor="text2" w:themeTint="99"/>
                                <w:sz w:val="28"/>
                                <w:szCs w:val="28"/>
                              </w:rPr>
                              <w:t xml:space="preserve"> </w:t>
                            </w:r>
                          </w:p>
                          <w:p w:rsidR="00DA6167" w:rsidRPr="00A42FF2" w:rsidRDefault="00DA6167" w:rsidP="00A63C37">
                            <w:pPr>
                              <w:spacing w:before="0" w:after="0"/>
                              <w:jc w:val="left"/>
                              <w:rPr>
                                <w:rFonts w:cstheme="minorHAnsi"/>
                                <w:i/>
                                <w:sz w:val="20"/>
                                <w:szCs w:val="20"/>
                              </w:rPr>
                            </w:pPr>
                            <w:r>
                              <w:rPr>
                                <w:rFonts w:cstheme="minorHAnsi"/>
                                <w:i/>
                                <w:sz w:val="20"/>
                                <w:szCs w:val="20"/>
                              </w:rPr>
                              <w:t xml:space="preserve">neinvestičními transfery </w:t>
                            </w:r>
                          </w:p>
                          <w:p w:rsidR="00DA6167" w:rsidRDefault="00DA6167" w:rsidP="00A63C37">
                            <w:pPr>
                              <w:spacing w:before="0" w:after="0"/>
                              <w:jc w:val="left"/>
                              <w:rPr>
                                <w:rFonts w:cstheme="minorHAnsi"/>
                                <w:b/>
                                <w:i/>
                                <w:color w:val="548DD4" w:themeColor="text2" w:themeTint="99"/>
                                <w:sz w:val="28"/>
                                <w:szCs w:val="28"/>
                              </w:rPr>
                            </w:pPr>
                            <w:r w:rsidRPr="00B7241E">
                              <w:rPr>
                                <w:b/>
                                <w:i/>
                                <w:color w:val="548DD4" w:themeColor="text2" w:themeTint="99"/>
                                <w:sz w:val="28"/>
                                <w:szCs w:val="28"/>
                              </w:rPr>
                              <w:t>3,2 %</w:t>
                            </w:r>
                            <w:r>
                              <w:rPr>
                                <w:rFonts w:cstheme="minorHAnsi"/>
                                <w:b/>
                                <w:i/>
                                <w:color w:val="548DD4" w:themeColor="text2" w:themeTint="99"/>
                                <w:sz w:val="28"/>
                                <w:szCs w:val="28"/>
                              </w:rPr>
                              <w:t xml:space="preserve"> </w:t>
                            </w:r>
                          </w:p>
                          <w:p w:rsidR="00DA6167" w:rsidRPr="00C642D3" w:rsidRDefault="00DA6167" w:rsidP="00A63C37">
                            <w:pPr>
                              <w:spacing w:before="0" w:after="0"/>
                              <w:jc w:val="left"/>
                              <w:rPr>
                                <w:rFonts w:cstheme="minorHAnsi"/>
                                <w:i/>
                                <w:sz w:val="20"/>
                                <w:szCs w:val="20"/>
                              </w:rPr>
                            </w:pPr>
                            <w:r>
                              <w:rPr>
                                <w:rFonts w:cstheme="minorHAnsi"/>
                                <w:i/>
                                <w:sz w:val="20"/>
                                <w:szCs w:val="20"/>
                              </w:rPr>
                              <w:t>investičními transfery</w:t>
                            </w:r>
                          </w:p>
                          <w:p w:rsidR="00DA6167" w:rsidRPr="001B58F3" w:rsidRDefault="00DA6167" w:rsidP="00A63C37">
                            <w:pPr>
                              <w:spacing w:after="0"/>
                              <w:jc w:val="left"/>
                              <w:rPr>
                                <w:rFonts w:cstheme="minorHAnsi"/>
                                <w:i/>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margin">
                  <wp14:pctHeight>0</wp14:pctHeight>
                </wp14:sizeRelV>
              </wp:anchor>
            </w:drawing>
          </mc:Choice>
          <mc:Fallback>
            <w:pict>
              <v:shape id="_x0000_s1034" type="#_x0000_t202" style="position:absolute;left:0;text-align:left;margin-left:42.65pt;margin-top:21.65pt;width:110.55pt;height:103.65pt;z-index:251867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" fillcolor="white [3201]" stroked="f" strokeweight=".5pt">
                <v:path arrowok="t"/>
                <v:textbox inset="0,0,0,0">
                  <w:txbxContent>
                    <w:p w:rsidR="00DA6167" w:rsidRPr="00A42FF2" w:rsidRDefault="00DA6167" w:rsidP="00A63C37">
                      <w:pPr>
                        <w:spacing w:after="0"/>
                        <w:jc w:val="left"/>
                        <w:rPr>
                          <w:rFonts w:cstheme="minorHAnsi"/>
                          <w:i/>
                          <w:sz w:val="20"/>
                          <w:szCs w:val="20"/>
                        </w:rPr>
                      </w:pPr>
                      <w:r>
                        <w:rPr>
                          <w:rFonts w:cstheme="minorHAnsi"/>
                          <w:i/>
                          <w:sz w:val="20"/>
                          <w:szCs w:val="20"/>
                        </w:rPr>
                        <w:t>Celkové příjmy jsou v průměru tvořeny podílem</w:t>
                      </w:r>
                    </w:p>
                    <w:p w:rsidR="00DA6167" w:rsidRDefault="00DA6167" w:rsidP="00A63C37">
                      <w:pPr>
                        <w:spacing w:before="0" w:after="0"/>
                        <w:jc w:val="left"/>
                        <w:rPr>
                          <w:rFonts w:cstheme="minorHAnsi"/>
                          <w:b/>
                          <w:i/>
                          <w:color w:val="548DD4" w:themeColor="text2" w:themeTint="99"/>
                          <w:sz w:val="28"/>
                          <w:szCs w:val="28"/>
                        </w:rPr>
                      </w:pPr>
                      <w:r w:rsidRPr="00B7241E">
                        <w:rPr>
                          <w:b/>
                          <w:i/>
                          <w:color w:val="548DD4" w:themeColor="text2" w:themeTint="99"/>
                          <w:sz w:val="28"/>
                          <w:szCs w:val="28"/>
                        </w:rPr>
                        <w:t>15,4 %</w:t>
                      </w:r>
                      <w:r>
                        <w:rPr>
                          <w:rFonts w:cstheme="minorHAnsi"/>
                          <w:b/>
                          <w:i/>
                          <w:color w:val="548DD4" w:themeColor="text2" w:themeTint="99"/>
                          <w:sz w:val="28"/>
                          <w:szCs w:val="28"/>
                        </w:rPr>
                        <w:t xml:space="preserve"> </w:t>
                      </w:r>
                    </w:p>
                    <w:p w:rsidR="00DA6167" w:rsidRPr="00A42FF2" w:rsidRDefault="00DA6167" w:rsidP="00A63C37">
                      <w:pPr>
                        <w:spacing w:before="0" w:after="0"/>
                        <w:jc w:val="left"/>
                        <w:rPr>
                          <w:rFonts w:cstheme="minorHAnsi"/>
                          <w:i/>
                          <w:sz w:val="20"/>
                          <w:szCs w:val="20"/>
                        </w:rPr>
                      </w:pPr>
                      <w:r>
                        <w:rPr>
                          <w:rFonts w:cstheme="minorHAnsi"/>
                          <w:i/>
                          <w:sz w:val="20"/>
                          <w:szCs w:val="20"/>
                        </w:rPr>
                        <w:t xml:space="preserve">neinvestičními transfery </w:t>
                      </w:r>
                    </w:p>
                    <w:p w:rsidR="00DA6167" w:rsidRDefault="00DA6167" w:rsidP="00A63C37">
                      <w:pPr>
                        <w:spacing w:before="0" w:after="0"/>
                        <w:jc w:val="left"/>
                        <w:rPr>
                          <w:rFonts w:cstheme="minorHAnsi"/>
                          <w:b/>
                          <w:i/>
                          <w:color w:val="548DD4" w:themeColor="text2" w:themeTint="99"/>
                          <w:sz w:val="28"/>
                          <w:szCs w:val="28"/>
                        </w:rPr>
                      </w:pPr>
                      <w:r w:rsidRPr="00B7241E">
                        <w:rPr>
                          <w:b/>
                          <w:i/>
                          <w:color w:val="548DD4" w:themeColor="text2" w:themeTint="99"/>
                          <w:sz w:val="28"/>
                          <w:szCs w:val="28"/>
                        </w:rPr>
                        <w:t>3,2 %</w:t>
                      </w:r>
                      <w:r>
                        <w:rPr>
                          <w:rFonts w:cstheme="minorHAnsi"/>
                          <w:b/>
                          <w:i/>
                          <w:color w:val="548DD4" w:themeColor="text2" w:themeTint="99"/>
                          <w:sz w:val="28"/>
                          <w:szCs w:val="28"/>
                        </w:rPr>
                        <w:t xml:space="preserve"> </w:t>
                      </w:r>
                    </w:p>
                    <w:p w:rsidR="00DA6167" w:rsidRPr="00C642D3" w:rsidRDefault="00DA6167" w:rsidP="00A63C37">
                      <w:pPr>
                        <w:spacing w:before="0" w:after="0"/>
                        <w:jc w:val="left"/>
                        <w:rPr>
                          <w:rFonts w:cstheme="minorHAnsi"/>
                          <w:i/>
                          <w:sz w:val="20"/>
                          <w:szCs w:val="20"/>
                        </w:rPr>
                      </w:pPr>
                      <w:r>
                        <w:rPr>
                          <w:rFonts w:cstheme="minorHAnsi"/>
                          <w:i/>
                          <w:sz w:val="20"/>
                          <w:szCs w:val="20"/>
                        </w:rPr>
                        <w:t>investičními transfery</w:t>
                      </w:r>
                    </w:p>
                    <w:p w:rsidR="00DA6167" w:rsidRPr="001B58F3" w:rsidRDefault="00DA6167" w:rsidP="00A63C37">
                      <w:pPr>
                        <w:spacing w:after="0"/>
                        <w:jc w:val="left"/>
                        <w:rPr>
                          <w:rFonts w:cstheme="minorHAnsi"/>
                          <w:i/>
                          <w:sz w:val="20"/>
                          <w:szCs w:val="20"/>
                        </w:rPr>
                      </w:pPr>
                    </w:p>
                  </w:txbxContent>
                </v:textbox>
                <w10:wrap anchorx="page"/>
              </v:shape>
            </w:pict>
          </mc:Fallback>
        </mc:AlternateContent>
      </w:r>
      <w:r w:rsidR="00A63C37" w:rsidRPr="004D0FAA">
        <w:t>Přijaté transfery</w:t>
      </w:r>
    </w:p>
    <w:p w:rsidR="00A63C37" w:rsidRDefault="00A63C37" w:rsidP="00A63C37">
      <w:r w:rsidRPr="00C73801">
        <w:t xml:space="preserve">Důležitou složkou příjmů jsou také transfery (dotace). Na celkovém objemu příjmů </w:t>
      </w:r>
      <w:r>
        <w:t xml:space="preserve">dosahují </w:t>
      </w:r>
      <w:r w:rsidRPr="008F69AC">
        <w:t xml:space="preserve">ve sledovaném období průměrně </w:t>
      </w:r>
      <w:r>
        <w:t>16,2 %</w:t>
      </w:r>
      <w:r w:rsidRPr="00C73801">
        <w:t xml:space="preserve"> příjmů běžných, resp. </w:t>
      </w:r>
      <w:r>
        <w:t xml:space="preserve">18,7 % </w:t>
      </w:r>
      <w:r w:rsidRPr="00C73801">
        <w:t>příjmů celkových.</w:t>
      </w:r>
    </w:p>
    <w:p w:rsidR="00A63C37" w:rsidRPr="00C73801" w:rsidRDefault="00A63C37" w:rsidP="00A63C37">
      <w:r w:rsidRPr="00C73801">
        <w:t>Jejich nevýhodou, kromě položky „Neinvestiční přijaté transfery ze státního rozpočtu v rámci souhrnného dotačního vztahu“, je jejich nep</w:t>
      </w:r>
      <w:r>
        <w:t xml:space="preserve">ravidelnost a </w:t>
      </w:r>
      <w:proofErr w:type="spellStart"/>
      <w:r>
        <w:t>nenárokovatelnost</w:t>
      </w:r>
      <w:proofErr w:type="spellEnd"/>
      <w:r w:rsidRPr="008D4254">
        <w:t xml:space="preserve">. </w:t>
      </w:r>
      <w:r w:rsidRPr="00C73801">
        <w:t>Další jejich nevýhodou je jejich zúčtovatelnost – nespotřebované finanční prostředky se zpravidla vracejí poskytovateli dotace. Pro další vyhodnocování hospodaření a pro snazší sestavování střednědobého výhledu rozdělujeme transfery na neinvestiční a investiční.</w:t>
      </w:r>
    </w:p>
    <w:p w:rsidR="00A63C37" w:rsidRPr="007F2E51" w:rsidRDefault="00E8249A" w:rsidP="00A63C37">
      <w:r>
        <w:rPr>
          <w:rFonts w:ascii="Verdana" w:hAnsi="Verdana"/>
          <w:b/>
          <w:noProof/>
          <w:sz w:val="19"/>
          <w:highlight w:val="cyan"/>
          <w:lang w:eastAsia="cs-CZ"/>
        </w:rPr>
        <mc:AlternateContent>
          <mc:Choice Requires="wps">
            <w:drawing>
              <wp:anchor distT="0" distB="0" distL="114300" distR="114300" simplePos="0" relativeHeight="251886080" behindDoc="0" locked="0" layoutInCell="1" allowOverlap="1">
                <wp:simplePos x="0" y="0"/>
                <wp:positionH relativeFrom="page">
                  <wp:posOffset>540385</wp:posOffset>
                </wp:positionH>
                <wp:positionV relativeFrom="paragraph">
                  <wp:posOffset>0</wp:posOffset>
                </wp:positionV>
                <wp:extent cx="1403985" cy="1440180"/>
                <wp:effectExtent l="0" t="0" r="0" b="0"/>
                <wp:wrapNone/>
                <wp:docPr id="22" name="Textové pole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03985" cy="1440180"/>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DA6167" w:rsidRPr="00193D74" w:rsidRDefault="00DA6167" w:rsidP="00A63C37">
                            <w:pPr>
                              <w:jc w:val="center"/>
                              <w:rPr>
                                <w:rFonts w:cstheme="minorHAnsi"/>
                                <w:sz w:val="20"/>
                                <w:szCs w:val="20"/>
                              </w:rPr>
                            </w:pPr>
                            <w:r w:rsidRPr="00913908">
                              <w:rPr>
                                <w:noProof/>
                                <w:lang w:eastAsia="cs-CZ"/>
                              </w:rPr>
                              <w:drawing>
                                <wp:inline distT="0" distB="0" distL="0" distR="0">
                                  <wp:extent cx="1339850" cy="1168400"/>
                                  <wp:effectExtent l="0" t="0" r="0" b="0"/>
                                  <wp:docPr id="725" name="Obrázek 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9850" cy="11684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margin">
                  <wp14:pctHeight>0</wp14:pctHeight>
                </wp14:sizeRelV>
              </wp:anchor>
            </w:drawing>
          </mc:Choice>
          <mc:Fallback>
            <w:pict>
              <v:shape id="_x0000_s1035" type="#_x0000_t202" style="position:absolute;left:0;text-align:left;margin-left:42.55pt;margin-top:0;width:110.55pt;height:113.4pt;z-index:251886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" fillcolor="white [3201]" stroked="f" strokeweight=".5pt">
                <v:path arrowok="t"/>
                <v:textbox inset="0,0,0,0">
                  <w:txbxContent>
                    <w:p w:rsidR="00DA6167" w:rsidRPr="00193D74" w:rsidRDefault="00DA6167" w:rsidP="00A63C37">
                      <w:pPr>
                        <w:jc w:val="center"/>
                        <w:rPr>
                          <w:rFonts w:cstheme="minorHAnsi"/>
                          <w:sz w:val="20"/>
                          <w:szCs w:val="20"/>
                        </w:rPr>
                      </w:pPr>
                      <w:r w:rsidRPr="00913908">
                        <w:rPr>
                          <w:noProof/>
                          <w:lang w:eastAsia="cs-CZ"/>
                        </w:rPr>
                        <w:drawing>
                          <wp:inline distT="0" distB="0" distL="0" distR="0">
                            <wp:extent cx="1339850" cy="1168400"/>
                            <wp:effectExtent l="0" t="0" r="0" b="0"/>
                            <wp:docPr id="725" name="Obrázek 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39850" cy="1168400"/>
                                    </a:xfrm>
                                    <a:prstGeom prst="rect">
                                      <a:avLst/>
                                    </a:prstGeom>
                                    <a:noFill/>
                                    <a:ln>
                                      <a:noFill/>
                                    </a:ln>
                                  </pic:spPr>
                                </pic:pic>
                              </a:graphicData>
                            </a:graphic>
                          </wp:inline>
                        </w:drawing>
                      </w:r>
                    </w:p>
                  </w:txbxContent>
                </v:textbox>
                <w10:wrap anchorx="page"/>
              </v:shape>
            </w:pict>
          </mc:Fallback>
        </mc:AlternateContent>
      </w:r>
      <w:r w:rsidR="00A63C37" w:rsidRPr="007F2E51">
        <w:rPr>
          <w:b/>
        </w:rPr>
        <w:t xml:space="preserve">Přijaté neinvestiční </w:t>
      </w:r>
      <w:proofErr w:type="gramStart"/>
      <w:r w:rsidR="00A63C37" w:rsidRPr="007F2E51">
        <w:rPr>
          <w:b/>
        </w:rPr>
        <w:t>transfery</w:t>
      </w:r>
      <w:r w:rsidR="00A63C37" w:rsidRPr="007F2E51">
        <w:t xml:space="preserve"> - V</w:t>
      </w:r>
      <w:proofErr w:type="gramEnd"/>
      <w:r w:rsidR="00A63C37" w:rsidRPr="007F2E51">
        <w:t xml:space="preserve"> neinvestiční části se jedná zejména o </w:t>
      </w:r>
      <w:r w:rsidR="00A63C37">
        <w:t>Ostatní neinvestiční přijaté transfery ze státního rozpočtu</w:t>
      </w:r>
      <w:r w:rsidR="00A63C37" w:rsidRPr="007F2E51">
        <w:t xml:space="preserve"> (</w:t>
      </w:r>
      <w:r w:rsidR="00A63C37">
        <w:t xml:space="preserve">položka 4116 - </w:t>
      </w:r>
      <w:r w:rsidR="00A63C37" w:rsidRPr="007F2E51">
        <w:t xml:space="preserve">v průměru </w:t>
      </w:r>
      <w:r w:rsidR="00A63C37">
        <w:t>72,8</w:t>
      </w:r>
      <w:r w:rsidR="00A63C37" w:rsidRPr="008D4254">
        <w:t xml:space="preserve"> mil</w:t>
      </w:r>
      <w:r w:rsidR="00A63C37" w:rsidRPr="007F2E51">
        <w:t>. Kč ročně)</w:t>
      </w:r>
      <w:r w:rsidR="00A63C37">
        <w:t xml:space="preserve"> a Neinvestiční přijaté transfery ze státního rozpočtu v rámci souhrnného dotačního vztahu (položka 4112 - v průměru 51,7 mil. Kč)</w:t>
      </w:r>
      <w:r w:rsidR="00A63C37" w:rsidRPr="007F2E51">
        <w:t xml:space="preserve">. Nezanedbatelnými položkami jsou také </w:t>
      </w:r>
      <w:r w:rsidR="00A63C37">
        <w:t>Neinvestiční přijaté transfery od krajů</w:t>
      </w:r>
      <w:r w:rsidR="00A63C37" w:rsidRPr="007F2E51">
        <w:t xml:space="preserve"> (</w:t>
      </w:r>
      <w:r w:rsidR="00A63C37">
        <w:t xml:space="preserve">položka </w:t>
      </w:r>
      <w:proofErr w:type="gramStart"/>
      <w:r w:rsidR="00A63C37">
        <w:t xml:space="preserve">4122 - </w:t>
      </w:r>
      <w:r w:rsidR="00A63C37" w:rsidRPr="007F2E51">
        <w:t>v</w:t>
      </w:r>
      <w:proofErr w:type="gramEnd"/>
      <w:r w:rsidR="00A63C37" w:rsidRPr="007F2E51">
        <w:t xml:space="preserve"> průměru </w:t>
      </w:r>
      <w:r w:rsidR="00A63C37">
        <w:t>35,4</w:t>
      </w:r>
      <w:r w:rsidR="00A63C37" w:rsidRPr="007F2E51">
        <w:t xml:space="preserve"> mil. Kč ročně)</w:t>
      </w:r>
      <w:r w:rsidR="00A63C37">
        <w:t xml:space="preserve"> a</w:t>
      </w:r>
      <w:r w:rsidR="00A63C37" w:rsidRPr="007F2E51">
        <w:t xml:space="preserve"> </w:t>
      </w:r>
      <w:r w:rsidR="00A63C37">
        <w:t xml:space="preserve">Neinvestiční přijaté transfery z všeobecné pokladní správy státního rozpočtu </w:t>
      </w:r>
      <w:r w:rsidR="00A63C37" w:rsidRPr="007F2E51">
        <w:t>(</w:t>
      </w:r>
      <w:r w:rsidR="00A63C37">
        <w:t>položka 4111 - v průměru 16,0 mil. Kč).</w:t>
      </w:r>
    </w:p>
    <w:p w:rsidR="00A63C37" w:rsidRPr="008A4F0A" w:rsidRDefault="00A63C37" w:rsidP="00A63C37">
      <w:r w:rsidRPr="008A4F0A">
        <w:rPr>
          <w:b/>
        </w:rPr>
        <w:t xml:space="preserve">Přijaté investiční </w:t>
      </w:r>
      <w:proofErr w:type="gramStart"/>
      <w:r w:rsidRPr="008A4F0A">
        <w:rPr>
          <w:b/>
        </w:rPr>
        <w:t>transfery</w:t>
      </w:r>
      <w:r w:rsidRPr="008A4F0A">
        <w:t xml:space="preserve"> - Pro</w:t>
      </w:r>
      <w:proofErr w:type="gramEnd"/>
      <w:r w:rsidRPr="008A4F0A">
        <w:t xml:space="preserve"> rozvoj města jsou také důležité dotace investiční, jejichž maxima dosáhlo město v roce </w:t>
      </w:r>
      <w:r>
        <w:t>2019</w:t>
      </w:r>
      <w:r w:rsidRPr="008A4F0A">
        <w:t xml:space="preserve"> (</w:t>
      </w:r>
      <w:r>
        <w:t>103,3</w:t>
      </w:r>
      <w:r w:rsidRPr="008A4F0A">
        <w:t xml:space="preserve"> mil. Kč). Investiční aktivita města v letech </w:t>
      </w:r>
      <w:proofErr w:type="gramStart"/>
      <w:r>
        <w:t>2017 - 2021</w:t>
      </w:r>
      <w:proofErr w:type="gramEnd"/>
      <w:r w:rsidRPr="008A4F0A">
        <w:t xml:space="preserve"> </w:t>
      </w:r>
      <w:r w:rsidRPr="002D3467">
        <w:t>je vyjádřena částkou 1 110,9 mil. Kč, z toho 186,7 mil. Kč bylo hrazeno z dotací (tj. 16,8 %). Výše investičních výdajů kulminovala v roce 2018, kdy město proinvestovalo 287,1 mil. Kč (16,2 % nákladů pokryly investiční dotace). Naopak v roce 2017 byly investiční transfery nejnižší (1,6 mil. Kč), přičemž výše kapitálových výdajů dosahovala zvýšené hodnoty 215,8 mil. Kč (krytí investičními dotacemi bylo 0,8 %).</w:t>
      </w:r>
    </w:p>
    <w:p w:rsidR="00A63C37" w:rsidRPr="007F7EE4" w:rsidRDefault="00A63C37" w:rsidP="00A63C37">
      <w:pPr>
        <w:pStyle w:val="Graf0"/>
      </w:pPr>
      <w:bookmarkStart w:id="24" w:name="_Toc118977806"/>
      <w:r w:rsidRPr="00104086">
        <w:rPr>
          <w:noProof/>
          <w:lang w:eastAsia="cs-CZ"/>
        </w:rPr>
        <w:t xml:space="preserve">Meziroční podíl a </w:t>
      </w:r>
      <w:r>
        <w:rPr>
          <w:noProof/>
          <w:lang w:eastAsia="cs-CZ"/>
        </w:rPr>
        <w:t>pěti</w:t>
      </w:r>
      <w:r w:rsidRPr="00104086">
        <w:rPr>
          <w:noProof/>
          <w:lang w:eastAsia="cs-CZ"/>
        </w:rPr>
        <w:t xml:space="preserve">letý průměr </w:t>
      </w:r>
      <w:r w:rsidRPr="007F7EE4">
        <w:t>přijatých transferů</w:t>
      </w:r>
      <w:bookmarkEnd w:id="24"/>
    </w:p>
    <w:p w:rsidR="00A63C37" w:rsidRPr="007F609C" w:rsidRDefault="00A63C37" w:rsidP="00A63C37">
      <w:pPr>
        <w:pStyle w:val="Objekt"/>
      </w:pPr>
      <w:r>
        <w:rPr>
          <w:noProof/>
          <w:lang w:eastAsia="cs-CZ"/>
        </w:rPr>
        <w:drawing>
          <wp:inline distT="0" distB="0" distL="0" distR="0">
            <wp:extent cx="4860925" cy="1604282"/>
            <wp:effectExtent l="0" t="0" r="0" b="0"/>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60925" cy="1604282"/>
                    </a:xfrm>
                    <a:prstGeom prst="rect">
                      <a:avLst/>
                    </a:prstGeom>
                    <a:noFill/>
                    <a:ln>
                      <a:noFill/>
                    </a:ln>
                  </pic:spPr>
                </pic:pic>
              </a:graphicData>
            </a:graphic>
          </wp:inline>
        </w:drawing>
      </w:r>
    </w:p>
    <w:p w:rsidR="00A63C37" w:rsidRPr="008A4F0A" w:rsidRDefault="00A63C37" w:rsidP="00A63C37">
      <w:pPr>
        <w:pStyle w:val="Nadpis2"/>
      </w:pPr>
      <w:bookmarkStart w:id="25" w:name="_Toc118978214"/>
      <w:bookmarkStart w:id="26" w:name="_Toc62211717"/>
      <w:bookmarkEnd w:id="8"/>
      <w:r w:rsidRPr="008A4F0A">
        <w:lastRenderedPageBreak/>
        <w:t>Výdaje</w:t>
      </w:r>
      <w:bookmarkEnd w:id="25"/>
    </w:p>
    <w:p w:rsidR="00A63C37" w:rsidRPr="00724EBF" w:rsidRDefault="00E8249A" w:rsidP="00A63C37">
      <w:r>
        <w:rPr>
          <w:rFonts w:ascii="Verdana" w:hAnsi="Verdana"/>
          <w:noProof/>
          <w:sz w:val="19"/>
          <w:highlight w:val="cyan"/>
          <w:lang w:eastAsia="cs-CZ"/>
        </w:rPr>
        <mc:AlternateContent>
          <mc:Choice Requires="wps">
            <w:drawing>
              <wp:anchor distT="0" distB="0" distL="114300" distR="114300" simplePos="0" relativeHeight="251868672" behindDoc="0" locked="0" layoutInCell="1" allowOverlap="1">
                <wp:simplePos x="0" y="0"/>
                <wp:positionH relativeFrom="page">
                  <wp:posOffset>537845</wp:posOffset>
                </wp:positionH>
                <wp:positionV relativeFrom="paragraph">
                  <wp:posOffset>1381125</wp:posOffset>
                </wp:positionV>
                <wp:extent cx="1403985" cy="1198245"/>
                <wp:effectExtent l="0" t="0" r="0" b="0"/>
                <wp:wrapNone/>
                <wp:docPr id="706" name="Textové pole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03985" cy="1198245"/>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DA6167" w:rsidRPr="00857444" w:rsidRDefault="00DA6167" w:rsidP="00A63C37">
                            <w:pPr>
                              <w:jc w:val="left"/>
                              <w:rPr>
                                <w:rStyle w:val="Odkaznakoment"/>
                                <w:rFonts w:cstheme="minorHAnsi"/>
                                <w:i/>
                                <w:sz w:val="20"/>
                                <w:szCs w:val="20"/>
                              </w:rPr>
                            </w:pPr>
                            <w:r w:rsidRPr="00857444">
                              <w:rPr>
                                <w:rStyle w:val="Odkaznakoment"/>
                                <w:rFonts w:cstheme="minorHAnsi"/>
                                <w:i/>
                                <w:sz w:val="20"/>
                                <w:szCs w:val="20"/>
                              </w:rPr>
                              <w:t xml:space="preserve">Největší dynamiku růstu </w:t>
                            </w:r>
                            <w:r>
                              <w:rPr>
                                <w:rStyle w:val="Odkaznakoment"/>
                                <w:rFonts w:cstheme="minorHAnsi"/>
                                <w:i/>
                                <w:sz w:val="20"/>
                                <w:szCs w:val="20"/>
                              </w:rPr>
                              <w:t xml:space="preserve">ve sledovaném období </w:t>
                            </w:r>
                            <w:r w:rsidRPr="00857444">
                              <w:rPr>
                                <w:rStyle w:val="Odkaznakoment"/>
                                <w:rFonts w:cstheme="minorHAnsi"/>
                                <w:i/>
                                <w:sz w:val="20"/>
                                <w:szCs w:val="20"/>
                              </w:rPr>
                              <w:t xml:space="preserve">zaznamenaly </w:t>
                            </w:r>
                            <w:r w:rsidRPr="00B7241E">
                              <w:rPr>
                                <w:i/>
                                <w:sz w:val="20"/>
                                <w:szCs w:val="20"/>
                              </w:rPr>
                              <w:t>Neinvestiční transfery veřejnoprávním</w:t>
                            </w:r>
                            <w:r>
                              <w:t xml:space="preserve"> subjektům</w:t>
                            </w:r>
                            <w:r w:rsidRPr="00857444">
                              <w:rPr>
                                <w:rStyle w:val="Odkaznakoment"/>
                                <w:rFonts w:cstheme="minorHAnsi"/>
                                <w:i/>
                                <w:sz w:val="20"/>
                                <w:szCs w:val="20"/>
                              </w:rPr>
                              <w:t xml:space="preserve"> (</w:t>
                            </w:r>
                            <w:r>
                              <w:rPr>
                                <w:rStyle w:val="Odkaznakoment"/>
                                <w:rFonts w:cstheme="minorHAnsi"/>
                                <w:i/>
                                <w:sz w:val="20"/>
                                <w:szCs w:val="20"/>
                              </w:rPr>
                              <w:t xml:space="preserve">nárůst </w:t>
                            </w:r>
                            <w:r w:rsidRPr="00857444">
                              <w:rPr>
                                <w:rStyle w:val="Odkaznakoment"/>
                                <w:rFonts w:cstheme="minorHAnsi"/>
                                <w:i/>
                                <w:sz w:val="20"/>
                                <w:szCs w:val="20"/>
                              </w:rPr>
                              <w:t>o</w:t>
                            </w:r>
                            <w:r w:rsidRPr="00005E0E">
                              <w:rPr>
                                <w:rStyle w:val="Odkaznakoment"/>
                                <w:rFonts w:cstheme="minorHAnsi"/>
                                <w:sz w:val="20"/>
                                <w:szCs w:val="20"/>
                              </w:rPr>
                              <w:t xml:space="preserve"> </w:t>
                            </w:r>
                            <w:r w:rsidRPr="00B7241E">
                              <w:rPr>
                                <w:i/>
                              </w:rPr>
                              <w:t>60,1 %</w:t>
                            </w:r>
                            <w:r w:rsidRPr="00857444">
                              <w:rPr>
                                <w:rStyle w:val="Odkaznakoment"/>
                                <w:rFonts w:cstheme="minorHAnsi"/>
                                <w:i/>
                                <w:sz w:val="20"/>
                                <w:szCs w:val="20"/>
                              </w:rPr>
                              <w:t>)</w:t>
                            </w:r>
                          </w:p>
                          <w:p w:rsidR="00DA6167" w:rsidRPr="001B58F3" w:rsidRDefault="00DA6167" w:rsidP="00A63C37">
                            <w:pPr>
                              <w:spacing w:after="0"/>
                              <w:jc w:val="left"/>
                              <w:rPr>
                                <w:rFonts w:cstheme="minorHAnsi"/>
                                <w:i/>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margin">
                  <wp14:pctHeight>0</wp14:pctHeight>
                </wp14:sizeRelV>
              </wp:anchor>
            </w:drawing>
          </mc:Choice>
          <mc:Fallback>
            <w:pict>
              <v:shape id="_x0000_s1036" type="#_x0000_t202" style="position:absolute;left:0;text-align:left;margin-left:42.35pt;margin-top:108.75pt;width:110.55pt;height:94.35pt;z-index:251868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" fillcolor="white [3201]" stroked="f" strokeweight=".5pt">
                <v:path arrowok="t"/>
                <v:textbox inset="0,0,0,0">
                  <w:txbxContent>
                    <w:p w:rsidR="00DA6167" w:rsidRPr="00857444" w:rsidRDefault="00DA6167" w:rsidP="00A63C37">
                      <w:pPr>
                        <w:jc w:val="left"/>
                        <w:rPr>
                          <w:rStyle w:val="Odkaznakoment"/>
                          <w:rFonts w:cstheme="minorHAnsi"/>
                          <w:i/>
                          <w:sz w:val="20"/>
                          <w:szCs w:val="20"/>
                        </w:rPr>
                      </w:pPr>
                      <w:r w:rsidRPr="00857444">
                        <w:rPr>
                          <w:rStyle w:val="Odkaznakoment"/>
                          <w:rFonts w:cstheme="minorHAnsi"/>
                          <w:i/>
                          <w:sz w:val="20"/>
                          <w:szCs w:val="20"/>
                        </w:rPr>
                        <w:t xml:space="preserve">Největší dynamiku růstu </w:t>
                      </w:r>
                      <w:r>
                        <w:rPr>
                          <w:rStyle w:val="Odkaznakoment"/>
                          <w:rFonts w:cstheme="minorHAnsi"/>
                          <w:i/>
                          <w:sz w:val="20"/>
                          <w:szCs w:val="20"/>
                        </w:rPr>
                        <w:t xml:space="preserve">ve sledovaném období </w:t>
                      </w:r>
                      <w:r w:rsidRPr="00857444">
                        <w:rPr>
                          <w:rStyle w:val="Odkaznakoment"/>
                          <w:rFonts w:cstheme="minorHAnsi"/>
                          <w:i/>
                          <w:sz w:val="20"/>
                          <w:szCs w:val="20"/>
                        </w:rPr>
                        <w:t xml:space="preserve">zaznamenaly </w:t>
                      </w:r>
                      <w:r w:rsidRPr="00B7241E">
                        <w:rPr>
                          <w:i/>
                          <w:sz w:val="20"/>
                          <w:szCs w:val="20"/>
                        </w:rPr>
                        <w:t>Neinvestiční transfery veřejnoprávním</w:t>
                      </w:r>
                      <w:r>
                        <w:t xml:space="preserve"> subjektům</w:t>
                      </w:r>
                      <w:r w:rsidRPr="00857444">
                        <w:rPr>
                          <w:rStyle w:val="Odkaznakoment"/>
                          <w:rFonts w:cstheme="minorHAnsi"/>
                          <w:i/>
                          <w:sz w:val="20"/>
                          <w:szCs w:val="20"/>
                        </w:rPr>
                        <w:t xml:space="preserve"> (</w:t>
                      </w:r>
                      <w:r>
                        <w:rPr>
                          <w:rStyle w:val="Odkaznakoment"/>
                          <w:rFonts w:cstheme="minorHAnsi"/>
                          <w:i/>
                          <w:sz w:val="20"/>
                          <w:szCs w:val="20"/>
                        </w:rPr>
                        <w:t xml:space="preserve">nárůst </w:t>
                      </w:r>
                      <w:r w:rsidRPr="00857444">
                        <w:rPr>
                          <w:rStyle w:val="Odkaznakoment"/>
                          <w:rFonts w:cstheme="minorHAnsi"/>
                          <w:i/>
                          <w:sz w:val="20"/>
                          <w:szCs w:val="20"/>
                        </w:rPr>
                        <w:t>o</w:t>
                      </w:r>
                      <w:r w:rsidRPr="00005E0E">
                        <w:rPr>
                          <w:rStyle w:val="Odkaznakoment"/>
                          <w:rFonts w:cstheme="minorHAnsi"/>
                          <w:sz w:val="20"/>
                          <w:szCs w:val="20"/>
                        </w:rPr>
                        <w:t xml:space="preserve"> </w:t>
                      </w:r>
                      <w:r w:rsidRPr="00B7241E">
                        <w:rPr>
                          <w:i/>
                        </w:rPr>
                        <w:t>60,1 %</w:t>
                      </w:r>
                      <w:r w:rsidRPr="00857444">
                        <w:rPr>
                          <w:rStyle w:val="Odkaznakoment"/>
                          <w:rFonts w:cstheme="minorHAnsi"/>
                          <w:i/>
                          <w:sz w:val="20"/>
                          <w:szCs w:val="20"/>
                        </w:rPr>
                        <w:t>)</w:t>
                      </w:r>
                    </w:p>
                    <w:p w:rsidR="00DA6167" w:rsidRPr="001B58F3" w:rsidRDefault="00DA6167" w:rsidP="00A63C37">
                      <w:pPr>
                        <w:spacing w:after="0"/>
                        <w:jc w:val="left"/>
                        <w:rPr>
                          <w:rFonts w:cstheme="minorHAnsi"/>
                          <w:i/>
                          <w:sz w:val="20"/>
                          <w:szCs w:val="20"/>
                        </w:rPr>
                      </w:pPr>
                    </w:p>
                  </w:txbxContent>
                </v:textbox>
                <w10:wrap anchorx="page"/>
              </v:shape>
            </w:pict>
          </mc:Fallback>
        </mc:AlternateContent>
      </w:r>
      <w:r w:rsidR="00A63C37" w:rsidRPr="008A4F0A">
        <w:rPr>
          <w:b/>
        </w:rPr>
        <w:t>Výdaje</w:t>
      </w:r>
      <w:r w:rsidR="00A63C37" w:rsidRPr="008A4F0A">
        <w:t xml:space="preserve"> jsou veškeré nenávratné platby na běžné (neinvestiční) i kapitálové (investiční) účely, opětované i neopětované, a poskytované návratné platby (půjčky) v rámci rozpočtové politiky. Běžné (nebo také provozní) výdaje musí ÚSC vynaložit ze zákona nebo těmito výdaji </w:t>
      </w:r>
      <w:r w:rsidR="00A63C37" w:rsidRPr="00A57C5A">
        <w:t>financovat provozní aktivity. Realizace záměrů a potřeb ÚSC včetně naplňování volebního programu se uskutečňuje prostřednictvím výdajů. ÚSC k těmto cílům používá veřejné prostředky, proto musí finanční prostředky před vynaložením důkladně analyzovat.</w:t>
      </w:r>
    </w:p>
    <w:p w:rsidR="00A63C37" w:rsidRPr="00724EBF" w:rsidRDefault="00A63C37" w:rsidP="00A63C37">
      <w:pPr>
        <w:pStyle w:val="Tabulka"/>
      </w:pPr>
      <w:bookmarkStart w:id="27" w:name="_Toc118977784"/>
      <w:r w:rsidRPr="00724EBF">
        <w:t>Rekapitulace výdajů</w:t>
      </w:r>
      <w:bookmarkEnd w:id="27"/>
    </w:p>
    <w:p w:rsidR="00A63C37" w:rsidRPr="00724EBF" w:rsidRDefault="00A63C37" w:rsidP="00A63C37">
      <w:pPr>
        <w:pStyle w:val="Objekt"/>
      </w:pPr>
      <w:r>
        <w:rPr>
          <w:noProof/>
          <w:lang w:eastAsia="cs-CZ"/>
        </w:rPr>
        <w:drawing>
          <wp:inline distT="0" distB="0" distL="0" distR="0">
            <wp:extent cx="3970800" cy="1076400"/>
            <wp:effectExtent l="0" t="0" r="0" b="9525"/>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970800" cy="1076400"/>
                    </a:xfrm>
                    <a:prstGeom prst="rect">
                      <a:avLst/>
                    </a:prstGeom>
                    <a:noFill/>
                    <a:ln>
                      <a:noFill/>
                    </a:ln>
                  </pic:spPr>
                </pic:pic>
              </a:graphicData>
            </a:graphic>
          </wp:inline>
        </w:drawing>
      </w:r>
    </w:p>
    <w:p w:rsidR="00A63C37" w:rsidRDefault="00A63C37" w:rsidP="00A63C37">
      <w:pPr>
        <w:rPr>
          <w:highlight w:val="yellow"/>
        </w:rPr>
      </w:pPr>
      <w:r w:rsidRPr="00D63542">
        <w:t xml:space="preserve">Běžné výdaje se od roku </w:t>
      </w:r>
      <w:r w:rsidRPr="00505D58">
        <w:t>2017</w:t>
      </w:r>
      <w:r w:rsidRPr="00D63542">
        <w:t xml:space="preserve"> meziročně zvyšují, s výjimkou roku 2020. Meziroční růst je důsledkem zejména navyšování transferů veřejnoprávním subjektům a „legislativního“ zvyšování mezd zaměstnanců úřadu i příspěvkových organizací, resp. odměn členů zastupitelstva. </w:t>
      </w:r>
      <w:r w:rsidRPr="0089263B">
        <w:t xml:space="preserve">Kapitálové výdaje mají oproti tomu charakter nahodilý a pohybují se v rozmezí od </w:t>
      </w:r>
      <w:r>
        <w:t>12,7 %</w:t>
      </w:r>
      <w:r w:rsidRPr="0089263B">
        <w:t xml:space="preserve"> až </w:t>
      </w:r>
      <w:r>
        <w:t>24,6 %</w:t>
      </w:r>
      <w:r w:rsidRPr="0089263B">
        <w:t xml:space="preserve"> celkových výdajů. Jejich výše se odvíjí od potřeb města a vypisovaných dotačních titulů a jsou </w:t>
      </w:r>
      <w:r w:rsidRPr="009E7BF8">
        <w:t>reprezentovány zejména výdaji na budovy, haly a stavby (položka 6121). Např. v roce 2020 směřovaly investice zejména do oblasti pozemních komunikací a souvisejících aktivit.</w:t>
      </w:r>
      <w:r w:rsidRPr="00E74FF6">
        <w:t xml:space="preserve"> </w:t>
      </w:r>
      <w:r w:rsidRPr="009E7BF8">
        <w:t>Mezi významné investiční akce lze řadit například projekty již uváděné v souvislosti s obdrženými investičními dotacemi, tedy projekty Kompetence v oborech na ZŠ (21,2 mil. Kč – 2018 a 60,2 mil. Kč – 2019) a ZŠ Kadaňská energetická opatření (20,0 mil. Kč – 2018 a 13,0 mil. Kč – 2019). Další velké akce byl</w:t>
      </w:r>
      <w:r>
        <w:t>y realizovány v roce 2018 - odk</w:t>
      </w:r>
      <w:r w:rsidRPr="009E7BF8">
        <w:t>up budov v areálu Kamencového jezera (26,1 mil. Kč) a 2019 - Rekonstrukce restaurace</w:t>
      </w:r>
      <w:r w:rsidRPr="00976D4D">
        <w:t xml:space="preserve"> Dřevák KJ</w:t>
      </w:r>
      <w:r>
        <w:t xml:space="preserve"> (</w:t>
      </w:r>
      <w:r w:rsidRPr="00976D4D">
        <w:t>25</w:t>
      </w:r>
      <w:r>
        <w:t xml:space="preserve">,2 mil. Kč). V roce 2021 pak mezi největší realizované akce patří </w:t>
      </w:r>
      <w:proofErr w:type="spellStart"/>
      <w:proofErr w:type="gramStart"/>
      <w:r w:rsidRPr="009E7BF8">
        <w:t>Aquasvět</w:t>
      </w:r>
      <w:proofErr w:type="spellEnd"/>
      <w:r w:rsidRPr="009E7BF8">
        <w:t xml:space="preserve"> - reko</w:t>
      </w:r>
      <w:r>
        <w:t>nstrukce</w:t>
      </w:r>
      <w:proofErr w:type="gramEnd"/>
      <w:r w:rsidRPr="009E7BF8">
        <w:t xml:space="preserve"> hydroizolace - etapa I</w:t>
      </w:r>
      <w:r>
        <w:t xml:space="preserve"> (</w:t>
      </w:r>
      <w:r w:rsidRPr="009E7BF8">
        <w:t>18</w:t>
      </w:r>
      <w:r>
        <w:t xml:space="preserve">,5 mil. Kč) a </w:t>
      </w:r>
      <w:r w:rsidRPr="009E7BF8">
        <w:t>Bazén ZŠ Hornická</w:t>
      </w:r>
      <w:r>
        <w:t xml:space="preserve"> (</w:t>
      </w:r>
      <w:r w:rsidRPr="009E7BF8">
        <w:t>15</w:t>
      </w:r>
      <w:r>
        <w:t xml:space="preserve">,0 mil. Kč). </w:t>
      </w:r>
    </w:p>
    <w:p w:rsidR="00A63C37" w:rsidRPr="005910FE" w:rsidRDefault="00A63C37" w:rsidP="00A63C37">
      <w:r w:rsidRPr="005910FE">
        <w:rPr>
          <w:shd w:val="clear" w:color="auto" w:fill="B6DDE8" w:themeFill="accent5" w:themeFillTint="66"/>
        </w:rPr>
        <w:t xml:space="preserve"> </w:t>
      </w:r>
    </w:p>
    <w:bookmarkStart w:id="28" w:name="_Toc428351153"/>
    <w:bookmarkStart w:id="29" w:name="_Toc428357448"/>
    <w:bookmarkStart w:id="30" w:name="_Toc55981684"/>
    <w:bookmarkStart w:id="31" w:name="_Toc118977807"/>
    <w:p w:rsidR="00A63C37" w:rsidRPr="007F7EE4" w:rsidRDefault="00E8249A" w:rsidP="00A63C37">
      <w:pPr>
        <w:pStyle w:val="Graf0"/>
      </w:pPr>
      <w:r>
        <w:rPr>
          <w:rFonts w:ascii="Verdana" w:hAnsi="Verdana"/>
          <w:noProof/>
          <w:sz w:val="19"/>
          <w:highlight w:val="cyan"/>
          <w:lang w:eastAsia="cs-CZ"/>
        </w:rPr>
        <mc:AlternateContent>
          <mc:Choice Requires="wps">
            <w:drawing>
              <wp:anchor distT="0" distB="0" distL="114300" distR="114300" simplePos="0" relativeHeight="251869696" behindDoc="0" locked="0" layoutInCell="1" allowOverlap="1">
                <wp:simplePos x="0" y="0"/>
                <wp:positionH relativeFrom="page">
                  <wp:posOffset>539115</wp:posOffset>
                </wp:positionH>
                <wp:positionV relativeFrom="paragraph">
                  <wp:posOffset>0</wp:posOffset>
                </wp:positionV>
                <wp:extent cx="1403985" cy="713105"/>
                <wp:effectExtent l="0" t="0" r="0" b="0"/>
                <wp:wrapNone/>
                <wp:docPr id="709" name="Textové pole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03985" cy="713105"/>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DA6167" w:rsidRPr="00370D4F" w:rsidRDefault="00DA6167" w:rsidP="00A63C37">
                            <w:pPr>
                              <w:spacing w:before="0" w:after="0"/>
                              <w:jc w:val="left"/>
                              <w:rPr>
                                <w:rStyle w:val="Odkaznakoment"/>
                                <w:rFonts w:cstheme="minorHAnsi"/>
                                <w:i/>
                                <w:sz w:val="20"/>
                                <w:szCs w:val="20"/>
                              </w:rPr>
                            </w:pPr>
                            <w:r>
                              <w:rPr>
                                <w:rStyle w:val="Odkaznakoment"/>
                                <w:rFonts w:cstheme="minorHAnsi"/>
                                <w:i/>
                                <w:sz w:val="20"/>
                                <w:szCs w:val="20"/>
                              </w:rPr>
                              <w:t>Za 5 let celkem město proinvestovalo</w:t>
                            </w:r>
                          </w:p>
                          <w:p w:rsidR="00DA6167" w:rsidRPr="00D63542" w:rsidRDefault="00DA6167" w:rsidP="00A63C37">
                            <w:pPr>
                              <w:spacing w:before="0" w:after="0"/>
                              <w:rPr>
                                <w:rFonts w:cstheme="minorHAnsi"/>
                                <w:b/>
                                <w:i/>
                                <w:color w:val="548DD4" w:themeColor="text2" w:themeTint="99"/>
                                <w:sz w:val="28"/>
                                <w:szCs w:val="28"/>
                              </w:rPr>
                            </w:pPr>
                            <w:r w:rsidRPr="00D63542">
                              <w:rPr>
                                <w:rFonts w:cstheme="minorHAnsi"/>
                                <w:b/>
                                <w:i/>
                                <w:color w:val="548DD4" w:themeColor="text2" w:themeTint="99"/>
                                <w:sz w:val="28"/>
                                <w:szCs w:val="28"/>
                              </w:rPr>
                              <w:t>1 110,9 mil. Kč</w:t>
                            </w:r>
                          </w:p>
                          <w:p w:rsidR="00DA6167" w:rsidRPr="001B58F3" w:rsidRDefault="00DA6167" w:rsidP="00A63C37">
                            <w:pPr>
                              <w:spacing w:after="0"/>
                              <w:jc w:val="left"/>
                              <w:rPr>
                                <w:rFonts w:cstheme="minorHAnsi"/>
                                <w:i/>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margin">
                  <wp14:pctHeight>0</wp14:pctHeight>
                </wp14:sizeRelV>
              </wp:anchor>
            </w:drawing>
          </mc:Choice>
          <mc:Fallback>
            <w:pict>
              <v:shape id="_x0000_s1037" type="#_x0000_t202" style="position:absolute;left:0;text-align:left;margin-left:42.45pt;margin-top:0;width:110.55pt;height:56.15pt;z-index:251869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" fillcolor="white [3201]" stroked="f" strokeweight=".5pt">
                <v:path arrowok="t"/>
                <v:textbox inset="0,0,0,0">
                  <w:txbxContent>
                    <w:p w:rsidR="00DA6167" w:rsidRPr="00370D4F" w:rsidRDefault="00DA6167" w:rsidP="00A63C37">
                      <w:pPr>
                        <w:spacing w:before="0" w:after="0"/>
                        <w:jc w:val="left"/>
                        <w:rPr>
                          <w:rStyle w:val="Odkaznakoment"/>
                          <w:rFonts w:cstheme="minorHAnsi"/>
                          <w:i/>
                          <w:sz w:val="20"/>
                          <w:szCs w:val="20"/>
                        </w:rPr>
                      </w:pPr>
                      <w:r>
                        <w:rPr>
                          <w:rStyle w:val="Odkaznakoment"/>
                          <w:rFonts w:cstheme="minorHAnsi"/>
                          <w:i/>
                          <w:sz w:val="20"/>
                          <w:szCs w:val="20"/>
                        </w:rPr>
                        <w:t>Za 5 let celkem město proinvestovalo</w:t>
                      </w:r>
                    </w:p>
                    <w:p w:rsidR="00DA6167" w:rsidRPr="00D63542" w:rsidRDefault="00DA6167" w:rsidP="00A63C37">
                      <w:pPr>
                        <w:spacing w:before="0" w:after="0"/>
                        <w:rPr>
                          <w:rFonts w:cstheme="minorHAnsi"/>
                          <w:b/>
                          <w:i/>
                          <w:color w:val="548DD4" w:themeColor="text2" w:themeTint="99"/>
                          <w:sz w:val="28"/>
                          <w:szCs w:val="28"/>
                        </w:rPr>
                      </w:pPr>
                      <w:r w:rsidRPr="00D63542">
                        <w:rPr>
                          <w:rFonts w:cstheme="minorHAnsi"/>
                          <w:b/>
                          <w:i/>
                          <w:color w:val="548DD4" w:themeColor="text2" w:themeTint="99"/>
                          <w:sz w:val="28"/>
                          <w:szCs w:val="28"/>
                        </w:rPr>
                        <w:t>1 110,9 mil. Kč</w:t>
                      </w:r>
                    </w:p>
                    <w:p w:rsidR="00DA6167" w:rsidRPr="001B58F3" w:rsidRDefault="00DA6167" w:rsidP="00A63C37">
                      <w:pPr>
                        <w:spacing w:after="0"/>
                        <w:jc w:val="left"/>
                        <w:rPr>
                          <w:rFonts w:cstheme="minorHAnsi"/>
                          <w:i/>
                          <w:sz w:val="20"/>
                          <w:szCs w:val="20"/>
                        </w:rPr>
                      </w:pPr>
                    </w:p>
                  </w:txbxContent>
                </v:textbox>
                <w10:wrap anchorx="page"/>
              </v:shape>
            </w:pict>
          </mc:Fallback>
        </mc:AlternateContent>
      </w:r>
      <w:r w:rsidR="00A63C37" w:rsidRPr="007F7EE4">
        <w:t>Vývoj výdajů</w:t>
      </w:r>
      <w:bookmarkEnd w:id="28"/>
      <w:bookmarkEnd w:id="29"/>
      <w:bookmarkEnd w:id="30"/>
      <w:bookmarkEnd w:id="31"/>
    </w:p>
    <w:p w:rsidR="00A63C37" w:rsidRDefault="00A63C37" w:rsidP="00A63C37">
      <w:pPr>
        <w:pStyle w:val="Objekt"/>
      </w:pPr>
      <w:r>
        <w:rPr>
          <w:noProof/>
          <w:lang w:eastAsia="cs-CZ"/>
        </w:rPr>
        <w:drawing>
          <wp:inline distT="0" distB="0" distL="0" distR="0">
            <wp:extent cx="4860925" cy="1575811"/>
            <wp:effectExtent l="0" t="0" r="0" b="0"/>
            <wp:docPr id="681" name="Obrázek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860925" cy="1575811"/>
                    </a:xfrm>
                    <a:prstGeom prst="rect">
                      <a:avLst/>
                    </a:prstGeom>
                    <a:noFill/>
                    <a:ln>
                      <a:noFill/>
                    </a:ln>
                  </pic:spPr>
                </pic:pic>
              </a:graphicData>
            </a:graphic>
          </wp:inline>
        </w:drawing>
      </w:r>
    </w:p>
    <w:p w:rsidR="00A63C37" w:rsidRPr="004D0FAA" w:rsidRDefault="00A63C37" w:rsidP="00A63C37">
      <w:pPr>
        <w:pStyle w:val="Nadpis3"/>
      </w:pPr>
      <w:r w:rsidRPr="004D0FAA">
        <w:lastRenderedPageBreak/>
        <w:t>Běžné výdaje</w:t>
      </w:r>
    </w:p>
    <w:p w:rsidR="00A63C37" w:rsidRPr="00AB396C" w:rsidRDefault="00E8249A" w:rsidP="00A63C37">
      <w:r>
        <w:rPr>
          <w:rFonts w:ascii="Verdana" w:hAnsi="Verdana"/>
          <w:b/>
          <w:noProof/>
          <w:sz w:val="19"/>
          <w:highlight w:val="cyan"/>
          <w:lang w:eastAsia="cs-CZ"/>
        </w:rPr>
        <mc:AlternateContent>
          <mc:Choice Requires="wps">
            <w:drawing>
              <wp:anchor distT="0" distB="0" distL="114300" distR="114300" simplePos="0" relativeHeight="251887104" behindDoc="0" locked="0" layoutInCell="1" allowOverlap="1">
                <wp:simplePos x="0" y="0"/>
                <wp:positionH relativeFrom="page">
                  <wp:posOffset>540385</wp:posOffset>
                </wp:positionH>
                <wp:positionV relativeFrom="paragraph">
                  <wp:posOffset>-71755</wp:posOffset>
                </wp:positionV>
                <wp:extent cx="1403985" cy="1440180"/>
                <wp:effectExtent l="0" t="0" r="0" b="0"/>
                <wp:wrapNone/>
                <wp:docPr id="6" name="Textové pole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03985" cy="1440180"/>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DA6167" w:rsidRPr="00193D74" w:rsidRDefault="00DA6167" w:rsidP="00A63C37">
                            <w:pPr>
                              <w:jc w:val="center"/>
                              <w:rPr>
                                <w:rFonts w:cstheme="minorHAnsi"/>
                                <w:sz w:val="20"/>
                                <w:szCs w:val="20"/>
                              </w:rPr>
                            </w:pPr>
                            <w:r w:rsidRPr="002D3467">
                              <w:rPr>
                                <w:noProof/>
                                <w:lang w:eastAsia="cs-CZ"/>
                              </w:rPr>
                              <w:drawing>
                                <wp:inline distT="0" distB="0" distL="0" distR="0">
                                  <wp:extent cx="1320165" cy="1173480"/>
                                  <wp:effectExtent l="0" t="0" r="0" b="7620"/>
                                  <wp:docPr id="726" name="Obrázek 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20165" cy="117348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margin">
                  <wp14:pctHeight>0</wp14:pctHeight>
                </wp14:sizeRelV>
              </wp:anchor>
            </w:drawing>
          </mc:Choice>
          <mc:Fallback>
            <w:pict>
              <v:shape id="_x0000_s1038" type="#_x0000_t202" style="position:absolute;left:0;text-align:left;margin-left:42.55pt;margin-top:-5.65pt;width:110.55pt;height:113.4pt;z-index:251887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" fillcolor="white [3201]" stroked="f" strokeweight=".5pt">
                <v:path arrowok="t"/>
                <v:textbox inset="0,0,0,0">
                  <w:txbxContent>
                    <w:p w:rsidR="00DA6167" w:rsidRPr="00193D74" w:rsidRDefault="00DA6167" w:rsidP="00A63C37">
                      <w:pPr>
                        <w:jc w:val="center"/>
                        <w:rPr>
                          <w:rFonts w:cstheme="minorHAnsi"/>
                          <w:sz w:val="20"/>
                          <w:szCs w:val="20"/>
                        </w:rPr>
                      </w:pPr>
                      <w:r w:rsidRPr="002D3467">
                        <w:rPr>
                          <w:noProof/>
                          <w:lang w:eastAsia="cs-CZ"/>
                        </w:rPr>
                        <w:drawing>
                          <wp:inline distT="0" distB="0" distL="0" distR="0">
                            <wp:extent cx="1320165" cy="1173480"/>
                            <wp:effectExtent l="0" t="0" r="0" b="7620"/>
                            <wp:docPr id="726" name="Obrázek 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20165" cy="1173480"/>
                                    </a:xfrm>
                                    <a:prstGeom prst="rect">
                                      <a:avLst/>
                                    </a:prstGeom>
                                    <a:noFill/>
                                    <a:ln>
                                      <a:noFill/>
                                    </a:ln>
                                  </pic:spPr>
                                </pic:pic>
                              </a:graphicData>
                            </a:graphic>
                          </wp:inline>
                        </w:drawing>
                      </w:r>
                    </w:p>
                  </w:txbxContent>
                </v:textbox>
                <w10:wrap anchorx="page"/>
              </v:shape>
            </w:pict>
          </mc:Fallback>
        </mc:AlternateContent>
      </w:r>
      <w:r w:rsidR="00A63C37" w:rsidRPr="001D51B6">
        <w:t>Největší</w:t>
      </w:r>
      <w:r w:rsidR="00A63C37">
        <w:t>ho</w:t>
      </w:r>
      <w:r w:rsidR="00A63C37" w:rsidRPr="001D51B6">
        <w:t xml:space="preserve"> </w:t>
      </w:r>
      <w:r w:rsidR="00A63C37" w:rsidRPr="00516CE5">
        <w:t xml:space="preserve">růstu objemu prostředků v období </w:t>
      </w:r>
      <w:proofErr w:type="gramStart"/>
      <w:r w:rsidR="00A63C37" w:rsidRPr="00516CE5">
        <w:t>2017 - 2021</w:t>
      </w:r>
      <w:proofErr w:type="gramEnd"/>
      <w:r w:rsidR="00A63C37" w:rsidRPr="00516CE5">
        <w:t xml:space="preserve"> dle výdajových seskupení vykazují Neinvestiční transfery veřejnoprávním subjektům (seskupení 53 - nárůst o 191,5 mil. Kč - zejména provozní příspěvky příspěvkovým organizacím), Platy a související výdaje (seskupení 50 - nárůst o 48,4 mil. Kč) - způsobené zejména legisl</w:t>
      </w:r>
      <w:r w:rsidR="00A63C37">
        <w:t>ativními změnami v této oblasti</w:t>
      </w:r>
      <w:r w:rsidR="00A63C37" w:rsidRPr="00516CE5">
        <w:t xml:space="preserve"> a Neinvestiční nákupy a související výdaje - nákupy služeb a energií, opravy atd. (seskupení 51 - nárůst o 14,0 mil. Kč). Ostatní neinvestiční výdaje (seskupení 54 až 59) jsou téměř beze změny a Neinvestiční transfery soukromoprávním subjektům (seskupení 52) v daném období poklesly o 58,7 mil. Kč).</w:t>
      </w:r>
    </w:p>
    <w:bookmarkStart w:id="32" w:name="_Toc428351152"/>
    <w:bookmarkStart w:id="33" w:name="_Toc428357447"/>
    <w:bookmarkStart w:id="34" w:name="_Toc55981683"/>
    <w:bookmarkStart w:id="35" w:name="_Toc118977808"/>
    <w:p w:rsidR="00A63C37" w:rsidRPr="007F7EE4" w:rsidRDefault="00E8249A" w:rsidP="00A63C37">
      <w:pPr>
        <w:pStyle w:val="Graf0"/>
      </w:pPr>
      <w:r>
        <w:rPr>
          <w:rFonts w:ascii="Verdana" w:hAnsi="Verdana"/>
          <w:noProof/>
          <w:sz w:val="19"/>
          <w:highlight w:val="cyan"/>
          <w:lang w:eastAsia="cs-CZ"/>
        </w:rPr>
        <mc:AlternateContent>
          <mc:Choice Requires="wps">
            <w:drawing>
              <wp:anchor distT="0" distB="0" distL="114300" distR="114300" simplePos="0" relativeHeight="251870720" behindDoc="0" locked="0" layoutInCell="1" allowOverlap="1">
                <wp:simplePos x="0" y="0"/>
                <wp:positionH relativeFrom="page">
                  <wp:posOffset>540385</wp:posOffset>
                </wp:positionH>
                <wp:positionV relativeFrom="paragraph">
                  <wp:posOffset>-71755</wp:posOffset>
                </wp:positionV>
                <wp:extent cx="1403985" cy="1594485"/>
                <wp:effectExtent l="0" t="0" r="0" b="0"/>
                <wp:wrapNone/>
                <wp:docPr id="711" name="Textové pole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03985" cy="1594485"/>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DA6167" w:rsidRPr="00370D4F" w:rsidRDefault="00DA6167" w:rsidP="00A63C37">
                            <w:pPr>
                              <w:jc w:val="left"/>
                              <w:rPr>
                                <w:rStyle w:val="Odkaznakoment"/>
                                <w:rFonts w:cstheme="minorHAnsi"/>
                                <w:i/>
                                <w:sz w:val="20"/>
                                <w:szCs w:val="20"/>
                              </w:rPr>
                            </w:pPr>
                            <w:r>
                              <w:rPr>
                                <w:rStyle w:val="Odkaznakoment"/>
                                <w:rFonts w:cstheme="minorHAnsi"/>
                                <w:i/>
                                <w:sz w:val="20"/>
                                <w:szCs w:val="20"/>
                              </w:rPr>
                              <w:t xml:space="preserve">Nejvíce provozních výdajů směřovalo do Služeb pro obyvatelstvo – </w:t>
                            </w:r>
                            <w:r w:rsidRPr="00B7241E">
                              <w:rPr>
                                <w:i/>
                                <w:sz w:val="20"/>
                                <w:szCs w:val="20"/>
                              </w:rPr>
                              <w:t xml:space="preserve">48,5 </w:t>
                            </w:r>
                            <w:r>
                              <w:t>%</w:t>
                            </w:r>
                            <w:r w:rsidRPr="0044430E">
                              <w:rPr>
                                <w:rStyle w:val="Odkaznakoment"/>
                                <w:rFonts w:cstheme="minorHAnsi"/>
                                <w:i/>
                                <w:sz w:val="20"/>
                                <w:szCs w:val="20"/>
                              </w:rPr>
                              <w:t xml:space="preserve"> (školství</w:t>
                            </w:r>
                            <w:r>
                              <w:rPr>
                                <w:rStyle w:val="Odkaznakoment"/>
                                <w:rFonts w:cstheme="minorHAnsi"/>
                                <w:i/>
                                <w:sz w:val="20"/>
                                <w:szCs w:val="20"/>
                              </w:rPr>
                              <w:t xml:space="preserve">, kultura sport, veřejná zeleň) a do Všeobecné veřejné správy </w:t>
                            </w:r>
                            <w:r w:rsidRPr="00B7241E">
                              <w:rPr>
                                <w:i/>
                                <w:sz w:val="20"/>
                                <w:szCs w:val="20"/>
                              </w:rPr>
                              <w:t>25,2 %</w:t>
                            </w:r>
                            <w:r>
                              <w:rPr>
                                <w:rStyle w:val="Odkaznakoment"/>
                                <w:rFonts w:cstheme="minorHAnsi"/>
                                <w:i/>
                                <w:sz w:val="20"/>
                                <w:szCs w:val="20"/>
                              </w:rPr>
                              <w:t xml:space="preserve"> (provoz a správa města).</w:t>
                            </w:r>
                          </w:p>
                          <w:p w:rsidR="00DA6167" w:rsidRPr="001B58F3" w:rsidRDefault="00DA6167" w:rsidP="00A63C37">
                            <w:pPr>
                              <w:spacing w:after="0"/>
                              <w:jc w:val="left"/>
                              <w:rPr>
                                <w:rFonts w:cstheme="minorHAnsi"/>
                                <w:i/>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margin">
                  <wp14:pctHeight>0</wp14:pctHeight>
                </wp14:sizeRelV>
              </wp:anchor>
            </w:drawing>
          </mc:Choice>
          <mc:Fallback>
            <w:pict>
              <v:shape id="_x0000_s1039" type="#_x0000_t202" style="position:absolute;left:0;text-align:left;margin-left:42.55pt;margin-top:-5.65pt;width:110.55pt;height:125.55pt;z-index:251870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" fillcolor="white [3201]" stroked="f" strokeweight=".5pt">
                <v:path arrowok="t"/>
                <v:textbox inset="0,0,0,0">
                  <w:txbxContent>
                    <w:p w:rsidR="00DA6167" w:rsidRPr="00370D4F" w:rsidRDefault="00DA6167" w:rsidP="00A63C37">
                      <w:pPr>
                        <w:jc w:val="left"/>
                        <w:rPr>
                          <w:rStyle w:val="Odkaznakoment"/>
                          <w:rFonts w:cstheme="minorHAnsi"/>
                          <w:i/>
                          <w:sz w:val="20"/>
                          <w:szCs w:val="20"/>
                        </w:rPr>
                      </w:pPr>
                      <w:r>
                        <w:rPr>
                          <w:rStyle w:val="Odkaznakoment"/>
                          <w:rFonts w:cstheme="minorHAnsi"/>
                          <w:i/>
                          <w:sz w:val="20"/>
                          <w:szCs w:val="20"/>
                        </w:rPr>
                        <w:t xml:space="preserve">Nejvíce provozních výdajů směřovalo do Služeb pro obyvatelstvo – </w:t>
                      </w:r>
                      <w:r w:rsidRPr="00B7241E">
                        <w:rPr>
                          <w:i/>
                          <w:sz w:val="20"/>
                          <w:szCs w:val="20"/>
                        </w:rPr>
                        <w:t xml:space="preserve">48,5 </w:t>
                      </w:r>
                      <w:r>
                        <w:t>%</w:t>
                      </w:r>
                      <w:r w:rsidRPr="0044430E">
                        <w:rPr>
                          <w:rStyle w:val="Odkaznakoment"/>
                          <w:rFonts w:cstheme="minorHAnsi"/>
                          <w:i/>
                          <w:sz w:val="20"/>
                          <w:szCs w:val="20"/>
                        </w:rPr>
                        <w:t xml:space="preserve"> (školství</w:t>
                      </w:r>
                      <w:r>
                        <w:rPr>
                          <w:rStyle w:val="Odkaznakoment"/>
                          <w:rFonts w:cstheme="minorHAnsi"/>
                          <w:i/>
                          <w:sz w:val="20"/>
                          <w:szCs w:val="20"/>
                        </w:rPr>
                        <w:t xml:space="preserve">, kultura sport, veřejná zeleň) a do Všeobecné veřejné správy </w:t>
                      </w:r>
                      <w:r w:rsidRPr="00B7241E">
                        <w:rPr>
                          <w:i/>
                          <w:sz w:val="20"/>
                          <w:szCs w:val="20"/>
                        </w:rPr>
                        <w:t>25,2 %</w:t>
                      </w:r>
                      <w:r>
                        <w:rPr>
                          <w:rStyle w:val="Odkaznakoment"/>
                          <w:rFonts w:cstheme="minorHAnsi"/>
                          <w:i/>
                          <w:sz w:val="20"/>
                          <w:szCs w:val="20"/>
                        </w:rPr>
                        <w:t xml:space="preserve"> (provoz a správa města).</w:t>
                      </w:r>
                    </w:p>
                    <w:p w:rsidR="00DA6167" w:rsidRPr="001B58F3" w:rsidRDefault="00DA6167" w:rsidP="00A63C37">
                      <w:pPr>
                        <w:spacing w:after="0"/>
                        <w:jc w:val="left"/>
                        <w:rPr>
                          <w:rFonts w:cstheme="minorHAnsi"/>
                          <w:i/>
                          <w:sz w:val="20"/>
                          <w:szCs w:val="20"/>
                        </w:rPr>
                      </w:pPr>
                    </w:p>
                  </w:txbxContent>
                </v:textbox>
                <w10:wrap anchorx="page"/>
              </v:shape>
            </w:pict>
          </mc:Fallback>
        </mc:AlternateContent>
      </w:r>
      <w:r w:rsidR="00A63C37" w:rsidRPr="007F7EE4">
        <w:t xml:space="preserve">Vývoj </w:t>
      </w:r>
      <w:bookmarkEnd w:id="32"/>
      <w:bookmarkEnd w:id="33"/>
      <w:bookmarkEnd w:id="34"/>
      <w:r w:rsidR="00A63C37" w:rsidRPr="007F7EE4">
        <w:t>běžných výdajů</w:t>
      </w:r>
      <w:bookmarkEnd w:id="35"/>
    </w:p>
    <w:p w:rsidR="00A63C37" w:rsidRDefault="00A63C37" w:rsidP="00A63C37">
      <w:pPr>
        <w:pStyle w:val="Objekt"/>
      </w:pPr>
      <w:r>
        <w:rPr>
          <w:noProof/>
          <w:lang w:eastAsia="cs-CZ"/>
        </w:rPr>
        <w:drawing>
          <wp:inline distT="0" distB="0" distL="0" distR="0">
            <wp:extent cx="4860925" cy="1561587"/>
            <wp:effectExtent l="0" t="0" r="0" b="0"/>
            <wp:docPr id="683" name="Obrázek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860925" cy="1561587"/>
                    </a:xfrm>
                    <a:prstGeom prst="rect">
                      <a:avLst/>
                    </a:prstGeom>
                    <a:noFill/>
                    <a:ln>
                      <a:noFill/>
                    </a:ln>
                  </pic:spPr>
                </pic:pic>
              </a:graphicData>
            </a:graphic>
          </wp:inline>
        </w:drawing>
      </w:r>
    </w:p>
    <w:p w:rsidR="00A63C37" w:rsidRPr="00E36B5A" w:rsidRDefault="00A63C37" w:rsidP="00A63C37">
      <w:r w:rsidRPr="002F67A4">
        <w:t xml:space="preserve">V průměru za analyzované období největší objem zaznamenáváme </w:t>
      </w:r>
      <w:r>
        <w:t xml:space="preserve">u </w:t>
      </w:r>
      <w:r w:rsidRPr="00F2719A">
        <w:t xml:space="preserve">položek </w:t>
      </w:r>
      <w:r>
        <w:t>Neinvestiční příspěvky zřízeným příspěvkovým organizacím</w:t>
      </w:r>
      <w:r w:rsidRPr="00F2719A">
        <w:t xml:space="preserve"> (</w:t>
      </w:r>
      <w:r>
        <w:t>283,6</w:t>
      </w:r>
      <w:r w:rsidRPr="00F2719A">
        <w:t xml:space="preserve"> mil. Kč), </w:t>
      </w:r>
      <w:r>
        <w:t>Platy zaměstnanců v pracovním poměru vyjma služebních míst</w:t>
      </w:r>
      <w:r w:rsidRPr="00F2719A">
        <w:t xml:space="preserve"> (</w:t>
      </w:r>
      <w:r>
        <w:t>148,8</w:t>
      </w:r>
      <w:r w:rsidRPr="00F2719A">
        <w:t xml:space="preserve"> mil. Kč), </w:t>
      </w:r>
      <w:r>
        <w:t xml:space="preserve">Neinvestiční transfery nefinančním </w:t>
      </w:r>
      <w:proofErr w:type="gramStart"/>
      <w:r>
        <w:t>podnikatelům - právnickým</w:t>
      </w:r>
      <w:proofErr w:type="gramEnd"/>
      <w:r>
        <w:t xml:space="preserve"> osobám</w:t>
      </w:r>
      <w:r w:rsidRPr="00F2719A">
        <w:t xml:space="preserve"> (</w:t>
      </w:r>
      <w:r>
        <w:t>95,1</w:t>
      </w:r>
      <w:r w:rsidRPr="00F2719A">
        <w:t xml:space="preserve"> mil. Kč), </w:t>
      </w:r>
      <w:r>
        <w:t>Neinvestiční transfery zřízeným příspěvkovým organizacím</w:t>
      </w:r>
      <w:r w:rsidRPr="00F2719A">
        <w:t xml:space="preserve"> (</w:t>
      </w:r>
      <w:r>
        <w:t>63,5</w:t>
      </w:r>
      <w:r w:rsidRPr="00F2719A">
        <w:t xml:space="preserve"> mil. Kč) a </w:t>
      </w:r>
      <w:r>
        <w:t>Neinvestiční transfery krajům</w:t>
      </w:r>
      <w:r w:rsidRPr="00F2719A">
        <w:t xml:space="preserve"> (</w:t>
      </w:r>
      <w:r>
        <w:t>54,7</w:t>
      </w:r>
      <w:r w:rsidRPr="00F2719A">
        <w:t xml:space="preserve"> mil. Kč).</w:t>
      </w:r>
    </w:p>
    <w:p w:rsidR="00A63C37" w:rsidRPr="007F7EE4" w:rsidRDefault="00A63C37" w:rsidP="00A63C37">
      <w:pPr>
        <w:pStyle w:val="Graf0"/>
      </w:pPr>
      <w:bookmarkStart w:id="36" w:name="_Toc118977809"/>
      <w:r w:rsidRPr="007F7EE4">
        <w:t>Vývoj nejvýznamnějších výdajových položek</w:t>
      </w:r>
      <w:bookmarkEnd w:id="36"/>
    </w:p>
    <w:p w:rsidR="00A63C37" w:rsidRPr="007F609C" w:rsidRDefault="00A63C37" w:rsidP="00A63C37">
      <w:pPr>
        <w:pStyle w:val="Objekt"/>
        <w:rPr>
          <w:noProof/>
          <w:lang w:eastAsia="cs-CZ"/>
        </w:rPr>
      </w:pPr>
      <w:r>
        <w:rPr>
          <w:noProof/>
          <w:lang w:eastAsia="cs-CZ"/>
        </w:rPr>
        <w:drawing>
          <wp:inline distT="0" distB="0" distL="0" distR="0">
            <wp:extent cx="4860925" cy="2014183"/>
            <wp:effectExtent l="0" t="0" r="0" b="0"/>
            <wp:docPr id="684" name="Obrázek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860925" cy="2014183"/>
                    </a:xfrm>
                    <a:prstGeom prst="rect">
                      <a:avLst/>
                    </a:prstGeom>
                    <a:noFill/>
                    <a:ln>
                      <a:noFill/>
                    </a:ln>
                  </pic:spPr>
                </pic:pic>
              </a:graphicData>
            </a:graphic>
          </wp:inline>
        </w:drawing>
      </w:r>
    </w:p>
    <w:p w:rsidR="00A63C37" w:rsidRPr="00E36B5A" w:rsidRDefault="00A63C37" w:rsidP="00A63C37">
      <w:r w:rsidRPr="00505D58">
        <w:t>V rámci výdajových položek patří mezi odvětvově nejrozmanitější položky</w:t>
      </w:r>
      <w:r w:rsidRPr="00505D58">
        <w:rPr>
          <w:i/>
        </w:rPr>
        <w:t xml:space="preserve"> </w:t>
      </w:r>
      <w:r w:rsidRPr="00505D58">
        <w:t>ostatní služby a opravy.</w:t>
      </w:r>
      <w:r>
        <w:t xml:space="preserve"> U ostatních služeb je objem</w:t>
      </w:r>
      <w:r w:rsidRPr="00F817D2">
        <w:t xml:space="preserve"> </w:t>
      </w:r>
      <w:r w:rsidRPr="00516CE5">
        <w:t xml:space="preserve">dán zejména výdaji na Činnost místní správy (v průměru 17,9 mil. Kč), Komunální služby a územní rozvoj jinde nezařazené (v průměru 7,3 mil. Kč) a Ostatní záležitosti kultury (v průměru 7,0 mil. Kč). U oprav a udržování směřovaly finanční prostředky zejména </w:t>
      </w:r>
      <w:r w:rsidRPr="00516CE5">
        <w:rPr>
          <w:rFonts w:cstheme="minorHAnsi"/>
        </w:rPr>
        <w:t xml:space="preserve">do paragrafu </w:t>
      </w:r>
      <w:r w:rsidRPr="00516CE5">
        <w:t>Základní</w:t>
      </w:r>
      <w:r w:rsidRPr="00B7241E">
        <w:rPr>
          <w:rFonts w:ascii="Times New Roman" w:hAnsi="Times New Roman" w:cs="Times New Roman"/>
          <w:color w:val="000000"/>
          <w:sz w:val="20"/>
          <w:szCs w:val="20"/>
          <w:lang w:eastAsia="cs-CZ"/>
        </w:rPr>
        <w:t xml:space="preserve"> školy</w:t>
      </w:r>
      <w:r w:rsidRPr="00FB1474">
        <w:t xml:space="preserve"> (</w:t>
      </w:r>
      <w:r w:rsidRPr="00FB1474">
        <w:rPr>
          <w:rFonts w:cstheme="minorHAnsi"/>
        </w:rPr>
        <w:t>v</w:t>
      </w:r>
      <w:r w:rsidRPr="00F817D2">
        <w:t xml:space="preserve"> průměru </w:t>
      </w:r>
      <w:r>
        <w:t>9,1</w:t>
      </w:r>
      <w:r w:rsidRPr="00F817D2">
        <w:t xml:space="preserve"> mil. Kč), </w:t>
      </w:r>
      <w:r>
        <w:t>Silnice</w:t>
      </w:r>
      <w:r w:rsidRPr="00F817D2">
        <w:t xml:space="preserve"> (v průměru </w:t>
      </w:r>
      <w:r>
        <w:t>5,4</w:t>
      </w:r>
      <w:r w:rsidRPr="00F817D2">
        <w:t xml:space="preserve"> mil. Kč) a </w:t>
      </w:r>
      <w:r>
        <w:t>Mateřské školy</w:t>
      </w:r>
      <w:r w:rsidRPr="00F817D2">
        <w:t xml:space="preserve"> (v průměru </w:t>
      </w:r>
      <w:r>
        <w:t>4,1</w:t>
      </w:r>
      <w:r w:rsidRPr="00F817D2">
        <w:t xml:space="preserve"> mil. Kč).</w:t>
      </w:r>
    </w:p>
    <w:p w:rsidR="00A63C37" w:rsidRPr="004D0FAA" w:rsidRDefault="00A63C37" w:rsidP="00A63C37">
      <w:pPr>
        <w:pStyle w:val="Nadpis3"/>
      </w:pPr>
      <w:r w:rsidRPr="004D0FAA">
        <w:lastRenderedPageBreak/>
        <w:t>Kapitálové výdaje</w:t>
      </w:r>
    </w:p>
    <w:p w:rsidR="00A63C37" w:rsidRPr="007106B0" w:rsidRDefault="00A63C37" w:rsidP="00A63C37">
      <w:r w:rsidRPr="00516CE5">
        <w:t xml:space="preserve">Investiční aktivita města má kolísavý vývoj s vrcholem v letech </w:t>
      </w:r>
      <w:proofErr w:type="gramStart"/>
      <w:r w:rsidRPr="00516CE5">
        <w:t>2017 - 2018</w:t>
      </w:r>
      <w:proofErr w:type="gramEnd"/>
      <w:r w:rsidRPr="00516CE5">
        <w:t>. V roce 2018 město proinvestovalo nejvyšší částku (287,1 mil. Kč). Město využívá dotací, které ve sledovaném období pokryly v rozmezí od 0,8 % (2017) do 36,2 % (2019) kapitálových výdajů. Z této skutečnosti plyne, že se město snaží využ</w:t>
      </w:r>
      <w:r>
        <w:t>ívat vyhlašované dotační tituly</w:t>
      </w:r>
      <w:r w:rsidRPr="00516CE5">
        <w:t>.</w:t>
      </w:r>
    </w:p>
    <w:bookmarkStart w:id="37" w:name="_Toc118977810"/>
    <w:p w:rsidR="00A63C37" w:rsidRPr="007F7EE4" w:rsidRDefault="00E8249A" w:rsidP="00A63C37">
      <w:pPr>
        <w:pStyle w:val="Graf0"/>
      </w:pPr>
      <w:r>
        <w:rPr>
          <w:noProof/>
          <w:lang w:eastAsia="cs-CZ"/>
        </w:rPr>
        <mc:AlternateContent>
          <mc:Choice Requires="wps">
            <w:drawing>
              <wp:anchor distT="0" distB="0" distL="114300" distR="114300" simplePos="0" relativeHeight="251883008" behindDoc="0" locked="0" layoutInCell="1" allowOverlap="1">
                <wp:simplePos x="0" y="0"/>
                <wp:positionH relativeFrom="page">
                  <wp:posOffset>540385</wp:posOffset>
                </wp:positionH>
                <wp:positionV relativeFrom="paragraph">
                  <wp:posOffset>-107950</wp:posOffset>
                </wp:positionV>
                <wp:extent cx="1486535" cy="705485"/>
                <wp:effectExtent l="0" t="0" r="0" b="0"/>
                <wp:wrapNone/>
                <wp:docPr id="35" name="Textové pole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86535" cy="705485"/>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DA6167" w:rsidRDefault="00DA6167" w:rsidP="00A63C37">
                            <w:pPr>
                              <w:spacing w:after="0"/>
                              <w:jc w:val="left"/>
                              <w:rPr>
                                <w:rStyle w:val="Odkaznakoment"/>
                                <w:rFonts w:cstheme="minorHAnsi"/>
                                <w:i/>
                                <w:sz w:val="20"/>
                                <w:szCs w:val="20"/>
                              </w:rPr>
                            </w:pPr>
                            <w:r>
                              <w:rPr>
                                <w:rStyle w:val="Odkaznakoment"/>
                                <w:rFonts w:cstheme="minorHAnsi"/>
                                <w:i/>
                                <w:sz w:val="20"/>
                                <w:szCs w:val="20"/>
                              </w:rPr>
                              <w:t>Investiční transfery pokryly kapitálové výdaje z </w:t>
                            </w:r>
                          </w:p>
                          <w:p w:rsidR="00DA6167" w:rsidRPr="00741CB5" w:rsidRDefault="00DA6167" w:rsidP="00A63C37">
                            <w:pPr>
                              <w:spacing w:before="0" w:after="0"/>
                              <w:jc w:val="left"/>
                              <w:rPr>
                                <w:b/>
                                <w:i/>
                                <w:color w:val="548DD4" w:themeColor="text2" w:themeTint="99"/>
                                <w:sz w:val="28"/>
                                <w:szCs w:val="28"/>
                              </w:rPr>
                            </w:pPr>
                            <w:r w:rsidRPr="00B7241E">
                              <w:rPr>
                                <w:b/>
                                <w:i/>
                                <w:color w:val="548DD4" w:themeColor="text2" w:themeTint="99"/>
                                <w:sz w:val="28"/>
                                <w:szCs w:val="28"/>
                              </w:rPr>
                              <w:t>16,8 %</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id="Textové pole 35" o:spid="_x0000_s1040" type="#_x0000_t202" style="position:absolute;left:0;text-align:left;margin-left:42.55pt;margin-top:-8.5pt;width:117.05pt;height:55.55pt;z-index:251883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" fillcolor="white [3201]" stroked="f" strokeweight=".5pt">
                <v:path arrowok="t"/>
                <v:textbox>
                  <w:txbxContent>
                    <w:p w:rsidR="00DA6167" w:rsidRDefault="00DA6167" w:rsidP="00A63C37">
                      <w:pPr>
                        <w:spacing w:after="0"/>
                        <w:jc w:val="left"/>
                        <w:rPr>
                          <w:rStyle w:val="Odkaznakoment"/>
                          <w:rFonts w:cstheme="minorHAnsi"/>
                          <w:i/>
                          <w:sz w:val="20"/>
                          <w:szCs w:val="20"/>
                        </w:rPr>
                      </w:pPr>
                      <w:r>
                        <w:rPr>
                          <w:rStyle w:val="Odkaznakoment"/>
                          <w:rFonts w:cstheme="minorHAnsi"/>
                          <w:i/>
                          <w:sz w:val="20"/>
                          <w:szCs w:val="20"/>
                        </w:rPr>
                        <w:t>Investiční transfery pokryly kapitálové výdaje z </w:t>
                      </w:r>
                    </w:p>
                    <w:p w:rsidR="00DA6167" w:rsidRPr="00741CB5" w:rsidRDefault="00DA6167" w:rsidP="00A63C37">
                      <w:pPr>
                        <w:spacing w:before="0" w:after="0"/>
                        <w:jc w:val="left"/>
                        <w:rPr>
                          <w:b/>
                          <w:i/>
                          <w:color w:val="548DD4" w:themeColor="text2" w:themeTint="99"/>
                          <w:sz w:val="28"/>
                          <w:szCs w:val="28"/>
                        </w:rPr>
                      </w:pPr>
                      <w:r w:rsidRPr="00B7241E">
                        <w:rPr>
                          <w:b/>
                          <w:i/>
                          <w:color w:val="548DD4" w:themeColor="text2" w:themeTint="99"/>
                          <w:sz w:val="28"/>
                          <w:szCs w:val="28"/>
                        </w:rPr>
                        <w:t>16,8 %</w:t>
                      </w:r>
                    </w:p>
                  </w:txbxContent>
                </v:textbox>
                <w10:wrap anchorx="page"/>
              </v:shape>
            </w:pict>
          </mc:Fallback>
        </mc:AlternateContent>
      </w:r>
      <w:r w:rsidR="00A63C37" w:rsidRPr="007F7EE4">
        <w:t>Krytí kapitálových výdajů investičními příjmy</w:t>
      </w:r>
      <w:bookmarkEnd w:id="37"/>
    </w:p>
    <w:p w:rsidR="00A63C37" w:rsidRPr="007F609C" w:rsidRDefault="00A63C37" w:rsidP="00A63C37">
      <w:pPr>
        <w:pStyle w:val="Objekt"/>
      </w:pPr>
      <w:r>
        <w:rPr>
          <w:noProof/>
          <w:lang w:eastAsia="cs-CZ"/>
        </w:rPr>
        <w:drawing>
          <wp:inline distT="0" distB="0" distL="0" distR="0">
            <wp:extent cx="4860925" cy="1587167"/>
            <wp:effectExtent l="0" t="0" r="0" b="0"/>
            <wp:docPr id="691" name="Obrázek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860925" cy="1587167"/>
                    </a:xfrm>
                    <a:prstGeom prst="rect">
                      <a:avLst/>
                    </a:prstGeom>
                    <a:noFill/>
                    <a:ln>
                      <a:noFill/>
                    </a:ln>
                  </pic:spPr>
                </pic:pic>
              </a:graphicData>
            </a:graphic>
          </wp:inline>
        </w:drawing>
      </w:r>
    </w:p>
    <w:p w:rsidR="00A63C37" w:rsidRPr="00DA1105" w:rsidRDefault="00A63C37" w:rsidP="00A63C37">
      <w:pPr>
        <w:rPr>
          <w:vertAlign w:val="subscript"/>
        </w:rPr>
      </w:pPr>
      <w:r w:rsidRPr="00DA1105">
        <w:t xml:space="preserve">Vlastní investiční výdaje </w:t>
      </w:r>
      <w:r w:rsidRPr="00516CE5">
        <w:t>jsou kromě investičních transferů kryty částečně i prodejem majetku a ostatními zdroji. V případě města Chomutov ostatní zdroje tvoří finanční prostředky z uplynulých let a provozní přebytek (saldo provozního rozpočtu) aktuálního roku. Prodej majetku tvoří nejmenší část na pokrytí kapitálových výdajů (79,8 mil. Kč za uplynulých 5 let, což průměrně za rok činí jen 7,2 % vynaložených prostředků na investice), investiční transfery tvoří 16,8 % celkových finančních prostředků na krytí investic a zbývajících 76,0 % tvoří ostatní zdroje.</w:t>
      </w:r>
    </w:p>
    <w:bookmarkStart w:id="38" w:name="_Toc118977811"/>
    <w:p w:rsidR="00A63C37" w:rsidRPr="007F7EE4" w:rsidRDefault="00E8249A" w:rsidP="00A63C37">
      <w:pPr>
        <w:pStyle w:val="Graf0"/>
      </w:pPr>
      <w:r>
        <w:rPr>
          <w:rFonts w:ascii="Verdana" w:hAnsi="Verdana"/>
          <w:noProof/>
          <w:sz w:val="19"/>
          <w:highlight w:val="cyan"/>
          <w:lang w:eastAsia="cs-CZ"/>
        </w:rPr>
        <mc:AlternateContent>
          <mc:Choice Requires="wps">
            <w:drawing>
              <wp:anchor distT="0" distB="0" distL="114300" distR="114300" simplePos="0" relativeHeight="251871744" behindDoc="0" locked="0" layoutInCell="1" allowOverlap="1">
                <wp:simplePos x="0" y="0"/>
                <wp:positionH relativeFrom="page">
                  <wp:posOffset>541655</wp:posOffset>
                </wp:positionH>
                <wp:positionV relativeFrom="paragraph">
                  <wp:posOffset>-69850</wp:posOffset>
                </wp:positionV>
                <wp:extent cx="1403985" cy="2061845"/>
                <wp:effectExtent l="0" t="0" r="0" b="0"/>
                <wp:wrapNone/>
                <wp:docPr id="717" name="Textové pole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03985" cy="2061845"/>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DA6167" w:rsidRPr="00370D4F" w:rsidRDefault="00DA6167" w:rsidP="00A63C37">
                            <w:pPr>
                              <w:jc w:val="left"/>
                              <w:rPr>
                                <w:rFonts w:cstheme="minorHAnsi"/>
                                <w:i/>
                                <w:szCs w:val="22"/>
                              </w:rPr>
                            </w:pPr>
                            <w:r>
                              <w:rPr>
                                <w:rStyle w:val="Odkaznakoment"/>
                                <w:rFonts w:cstheme="minorHAnsi"/>
                                <w:i/>
                                <w:sz w:val="20"/>
                                <w:szCs w:val="20"/>
                              </w:rPr>
                              <w:t xml:space="preserve">Nejvíce finančních prostředků na pořízení dlouhodobého majetku směřovalo do Služeb pro </w:t>
                            </w:r>
                            <w:r w:rsidRPr="0044430E">
                              <w:rPr>
                                <w:rStyle w:val="Odkaznakoment"/>
                                <w:rFonts w:cstheme="minorHAnsi"/>
                                <w:i/>
                                <w:sz w:val="20"/>
                                <w:szCs w:val="20"/>
                              </w:rPr>
                              <w:t xml:space="preserve">obyvatelstvo </w:t>
                            </w:r>
                            <w:r w:rsidRPr="00B7241E">
                              <w:rPr>
                                <w:i/>
                                <w:sz w:val="20"/>
                                <w:szCs w:val="20"/>
                              </w:rPr>
                              <w:t>59,9 %</w:t>
                            </w:r>
                            <w:r w:rsidRPr="0044430E">
                              <w:rPr>
                                <w:rStyle w:val="Odkaznakoment"/>
                                <w:rFonts w:cstheme="minorHAnsi"/>
                                <w:i/>
                                <w:sz w:val="20"/>
                                <w:szCs w:val="20"/>
                              </w:rPr>
                              <w:t xml:space="preserve"> (školství, kultura sport, veřejná zeleň) a do Průmyslu a ostatních odvětví hospodářství – </w:t>
                            </w:r>
                            <w:r w:rsidRPr="00B7241E">
                              <w:rPr>
                                <w:i/>
                                <w:sz w:val="20"/>
                                <w:szCs w:val="20"/>
                              </w:rPr>
                              <w:t>33,1 %</w:t>
                            </w:r>
                            <w:r w:rsidRPr="0044430E">
                              <w:rPr>
                                <w:rStyle w:val="Odkaznakoment"/>
                                <w:rFonts w:cstheme="minorHAnsi"/>
                                <w:i/>
                                <w:sz w:val="20"/>
                                <w:szCs w:val="20"/>
                              </w:rPr>
                              <w:t xml:space="preserve"> (doprava, komunikace, odvádění</w:t>
                            </w:r>
                            <w:r>
                              <w:rPr>
                                <w:rStyle w:val="Odkaznakoment"/>
                                <w:rFonts w:cstheme="minorHAnsi"/>
                                <w:i/>
                                <w:sz w:val="20"/>
                                <w:szCs w:val="20"/>
                              </w:rPr>
                              <w:t xml:space="preserve"> a čištění odpadních vod).</w:t>
                            </w:r>
                          </w:p>
                          <w:p w:rsidR="00DA6167" w:rsidRPr="001B58F3" w:rsidRDefault="00DA6167" w:rsidP="00A63C37">
                            <w:pPr>
                              <w:spacing w:after="0"/>
                              <w:jc w:val="left"/>
                              <w:rPr>
                                <w:rFonts w:cstheme="minorHAnsi"/>
                                <w:i/>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margin">
                  <wp14:pctHeight>0</wp14:pctHeight>
                </wp14:sizeRelV>
              </wp:anchor>
            </w:drawing>
          </mc:Choice>
          <mc:Fallback>
            <w:pict>
              <v:shape id="_x0000_s1041" type="#_x0000_t202" style="position:absolute;left:0;text-align:left;margin-left:42.65pt;margin-top:-5.5pt;width:110.55pt;height:162.35pt;z-index:251871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" fillcolor="white [3201]" stroked="f" strokeweight=".5pt">
                <v:path arrowok="t"/>
                <v:textbox inset="0,0,0,0">
                  <w:txbxContent>
                    <w:p w:rsidR="00DA6167" w:rsidRPr="00370D4F" w:rsidRDefault="00DA6167" w:rsidP="00A63C37">
                      <w:pPr>
                        <w:jc w:val="left"/>
                        <w:rPr>
                          <w:rFonts w:cstheme="minorHAnsi"/>
                          <w:i/>
                          <w:szCs w:val="22"/>
                        </w:rPr>
                      </w:pPr>
                      <w:r>
                        <w:rPr>
                          <w:rStyle w:val="Odkaznakoment"/>
                          <w:rFonts w:cstheme="minorHAnsi"/>
                          <w:i/>
                          <w:sz w:val="20"/>
                          <w:szCs w:val="20"/>
                        </w:rPr>
                        <w:t xml:space="preserve">Nejvíce finančních prostředků na pořízení dlouhodobého majetku směřovalo do Služeb pro </w:t>
                      </w:r>
                      <w:r w:rsidRPr="0044430E">
                        <w:rPr>
                          <w:rStyle w:val="Odkaznakoment"/>
                          <w:rFonts w:cstheme="minorHAnsi"/>
                          <w:i/>
                          <w:sz w:val="20"/>
                          <w:szCs w:val="20"/>
                        </w:rPr>
                        <w:t xml:space="preserve">obyvatelstvo </w:t>
                      </w:r>
                      <w:r w:rsidRPr="00B7241E">
                        <w:rPr>
                          <w:i/>
                          <w:sz w:val="20"/>
                          <w:szCs w:val="20"/>
                        </w:rPr>
                        <w:t>59,9 %</w:t>
                      </w:r>
                      <w:r w:rsidRPr="0044430E">
                        <w:rPr>
                          <w:rStyle w:val="Odkaznakoment"/>
                          <w:rFonts w:cstheme="minorHAnsi"/>
                          <w:i/>
                          <w:sz w:val="20"/>
                          <w:szCs w:val="20"/>
                        </w:rPr>
                        <w:t xml:space="preserve"> (školství, kultura sport, veřejná zeleň) a do Průmyslu a ostatních odvětví hospodářství – </w:t>
                      </w:r>
                      <w:r w:rsidRPr="00B7241E">
                        <w:rPr>
                          <w:i/>
                          <w:sz w:val="20"/>
                          <w:szCs w:val="20"/>
                        </w:rPr>
                        <w:t>33,1 %</w:t>
                      </w:r>
                      <w:r w:rsidRPr="0044430E">
                        <w:rPr>
                          <w:rStyle w:val="Odkaznakoment"/>
                          <w:rFonts w:cstheme="minorHAnsi"/>
                          <w:i/>
                          <w:sz w:val="20"/>
                          <w:szCs w:val="20"/>
                        </w:rPr>
                        <w:t xml:space="preserve"> (doprava, komunikace, odvádění</w:t>
                      </w:r>
                      <w:r>
                        <w:rPr>
                          <w:rStyle w:val="Odkaznakoment"/>
                          <w:rFonts w:cstheme="minorHAnsi"/>
                          <w:i/>
                          <w:sz w:val="20"/>
                          <w:szCs w:val="20"/>
                        </w:rPr>
                        <w:t xml:space="preserve"> a čištění odpadních vod).</w:t>
                      </w:r>
                    </w:p>
                    <w:p w:rsidR="00DA6167" w:rsidRPr="001B58F3" w:rsidRDefault="00DA6167" w:rsidP="00A63C37">
                      <w:pPr>
                        <w:spacing w:after="0"/>
                        <w:jc w:val="left"/>
                        <w:rPr>
                          <w:rFonts w:cstheme="minorHAnsi"/>
                          <w:i/>
                          <w:sz w:val="20"/>
                          <w:szCs w:val="20"/>
                        </w:rPr>
                      </w:pPr>
                    </w:p>
                  </w:txbxContent>
                </v:textbox>
                <w10:wrap anchorx="page"/>
              </v:shape>
            </w:pict>
          </mc:Fallback>
        </mc:AlternateContent>
      </w:r>
      <w:r w:rsidR="00A63C37" w:rsidRPr="007F7EE4">
        <w:t>Krytí kapitálových výdajů minulého období</w:t>
      </w:r>
      <w:bookmarkEnd w:id="38"/>
    </w:p>
    <w:p w:rsidR="00A63C37" w:rsidRPr="007F609C" w:rsidRDefault="00A63C37" w:rsidP="00A63C37">
      <w:pPr>
        <w:pStyle w:val="Objekt"/>
      </w:pPr>
      <w:r>
        <w:rPr>
          <w:noProof/>
          <w:lang w:eastAsia="cs-CZ"/>
        </w:rPr>
        <w:drawing>
          <wp:inline distT="0" distB="0" distL="0" distR="0">
            <wp:extent cx="4860925" cy="1581244"/>
            <wp:effectExtent l="0" t="0" r="0" b="0"/>
            <wp:docPr id="692" name="Obrázek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860925" cy="1581244"/>
                    </a:xfrm>
                    <a:prstGeom prst="rect">
                      <a:avLst/>
                    </a:prstGeom>
                    <a:noFill/>
                    <a:ln>
                      <a:noFill/>
                    </a:ln>
                  </pic:spPr>
                </pic:pic>
              </a:graphicData>
            </a:graphic>
          </wp:inline>
        </w:drawing>
      </w:r>
    </w:p>
    <w:p w:rsidR="00A63C37" w:rsidRDefault="00A63C37" w:rsidP="00A63C37">
      <w:r w:rsidRPr="0000386C">
        <w:t>Největší podíl na seskupení položek 61 (tj. kapitálové výdaje bez investičních finančních a transferových výdajů) směřuje do</w:t>
      </w:r>
      <w:r>
        <w:t xml:space="preserve"> odvětvové skupiny</w:t>
      </w:r>
      <w:r w:rsidRPr="0000386C">
        <w:t xml:space="preserve"> </w:t>
      </w:r>
      <w:r>
        <w:t>Služby pro obyvatelstvo</w:t>
      </w:r>
      <w:r w:rsidRPr="0000386C">
        <w:t xml:space="preserve"> (</w:t>
      </w:r>
      <w:r>
        <w:t>59,9 %</w:t>
      </w:r>
      <w:r w:rsidRPr="0000386C">
        <w:t xml:space="preserve"> - dominantní jsou zde výdaje na</w:t>
      </w:r>
      <w:r>
        <w:t xml:space="preserve"> paragrafech</w:t>
      </w:r>
      <w:r w:rsidRPr="0000386C">
        <w:t xml:space="preserve"> </w:t>
      </w:r>
      <w:r>
        <w:t>Základní školy</w:t>
      </w:r>
      <w:r w:rsidRPr="0000386C">
        <w:t xml:space="preserve"> a </w:t>
      </w:r>
      <w:r>
        <w:t>Komunální služby a územní rozvoj jinde nezařazené</w:t>
      </w:r>
      <w:r w:rsidRPr="0000386C">
        <w:t xml:space="preserve">) a </w:t>
      </w:r>
      <w:r>
        <w:t>Průmysl, a ostatní odvětví hospodářství</w:t>
      </w:r>
      <w:r w:rsidRPr="0000386C">
        <w:t xml:space="preserve"> (</w:t>
      </w:r>
      <w:r>
        <w:t>33,1 %</w:t>
      </w:r>
      <w:r w:rsidRPr="0000386C">
        <w:t xml:space="preserve"> - převažují výdaje na</w:t>
      </w:r>
      <w:r>
        <w:t xml:space="preserve"> paragrafech</w:t>
      </w:r>
      <w:r w:rsidRPr="0000386C">
        <w:t xml:space="preserve"> </w:t>
      </w:r>
      <w:r>
        <w:t>Silnice</w:t>
      </w:r>
      <w:r w:rsidRPr="0000386C">
        <w:t xml:space="preserve"> a </w:t>
      </w:r>
      <w:r>
        <w:t>Ostatní záležitosti pozemních komunikací</w:t>
      </w:r>
      <w:r w:rsidRPr="0000386C">
        <w:t>).</w:t>
      </w:r>
    </w:p>
    <w:p w:rsidR="00A63C37" w:rsidRPr="00196194" w:rsidRDefault="00A63C37" w:rsidP="00A63C37">
      <w:pPr>
        <w:pStyle w:val="Nadpis2"/>
      </w:pPr>
      <w:bookmarkStart w:id="39" w:name="_Toc118978215"/>
      <w:r w:rsidRPr="00196194">
        <w:t>Hospodaření</w:t>
      </w:r>
      <w:bookmarkEnd w:id="26"/>
      <w:bookmarkEnd w:id="39"/>
    </w:p>
    <w:p w:rsidR="00A63C37" w:rsidRPr="00196194" w:rsidRDefault="00A63C37" w:rsidP="00A63C37">
      <w:r w:rsidRPr="00196194">
        <w:t>Při vyhodnocování finančního hospodaření municipality si je třeba uvědomit, že rozpočet i střednědobý výhled rozpočtu se skládá z příjmů a výdajů.</w:t>
      </w:r>
    </w:p>
    <w:p w:rsidR="00A63C37" w:rsidRPr="00196194" w:rsidRDefault="00A63C37" w:rsidP="00A63C37">
      <w:r w:rsidRPr="00196194">
        <w:t xml:space="preserve">Rozdíl mezi běžnými příjmy a výdaji se nazývá </w:t>
      </w:r>
      <w:r w:rsidRPr="00196194">
        <w:rPr>
          <w:b/>
        </w:rPr>
        <w:t xml:space="preserve">provozní přebytek </w:t>
      </w:r>
      <w:r w:rsidRPr="00196194">
        <w:t xml:space="preserve">(saldo provozního rozpočtu). To jsou prostředky, které ÚSC slouží primárně ke splátkám jistin a na financování investičních záměrů obce. Rozdíl mezi veškerými příjmy a všemi výdaji během </w:t>
      </w:r>
      <w:r w:rsidRPr="00196194">
        <w:lastRenderedPageBreak/>
        <w:t xml:space="preserve">rozpočtového roku (totožný s kalendářním rokem) se nazývá </w:t>
      </w:r>
      <w:r w:rsidRPr="00196194">
        <w:rPr>
          <w:b/>
        </w:rPr>
        <w:t xml:space="preserve">saldo </w:t>
      </w:r>
      <w:r>
        <w:rPr>
          <w:b/>
        </w:rPr>
        <w:t>bez financování</w:t>
      </w:r>
      <w:r w:rsidRPr="00196194">
        <w:t xml:space="preserve">. Z těchto dvou indikátorů je mnohem </w:t>
      </w:r>
      <w:r w:rsidRPr="00196194">
        <w:rPr>
          <w:b/>
        </w:rPr>
        <w:t>důležitější</w:t>
      </w:r>
      <w:r w:rsidRPr="00196194">
        <w:t xml:space="preserve"> provozní přebytek než saldo rozpočtu. Důležitost monitorování t</w:t>
      </w:r>
      <w:r>
        <w:t>ěchto indikátorů</w:t>
      </w:r>
      <w:r w:rsidRPr="00196194">
        <w:t xml:space="preserve"> se zvyšuje, pokud indikátory nabývají záporných hodnot. Jestliže je schválen deficitní rozpočet (je realizováno více výdajů než příjmů), může být tento deficit pokryt z </w:t>
      </w:r>
      <w:r>
        <w:t>přebytku</w:t>
      </w:r>
      <w:r w:rsidRPr="00196194">
        <w:t xml:space="preserve"> hospodaření minulých let. Záporný provozní přebytek (provozní saldo) indikuje možné ohrožení hospodaření municipality. Ve svém důsledku tato skutečnost značí, že ÚSC nemá dostatek provozních příjmů na úhradu svých běžných (provozních) výdajů. Tento provozní schodek pak pokrývá buď prodejem majetku</w:t>
      </w:r>
      <w:r w:rsidR="00E74FF6">
        <w:t>,</w:t>
      </w:r>
      <w:r w:rsidRPr="00196194">
        <w:t xml:space="preserve"> nebo úvěrem.</w:t>
      </w:r>
    </w:p>
    <w:bookmarkStart w:id="40" w:name="_Toc118977785"/>
    <w:p w:rsidR="00A63C37" w:rsidRPr="007F7EE4" w:rsidRDefault="00E8249A" w:rsidP="00A63C37">
      <w:pPr>
        <w:pStyle w:val="Tabulka"/>
      </w:pPr>
      <w:r>
        <w:rPr>
          <w:rFonts w:ascii="Verdana" w:hAnsi="Verdana"/>
          <w:noProof/>
          <w:color w:val="000000"/>
          <w:sz w:val="19"/>
          <w:highlight w:val="cyan"/>
          <w:lang w:eastAsia="cs-CZ"/>
        </w:rPr>
        <mc:AlternateContent>
          <mc:Choice Requires="wps">
            <w:drawing>
              <wp:anchor distT="0" distB="0" distL="114300" distR="114300" simplePos="0" relativeHeight="251881984" behindDoc="0" locked="0" layoutInCell="1" allowOverlap="1">
                <wp:simplePos x="0" y="0"/>
                <wp:positionH relativeFrom="page">
                  <wp:posOffset>540385</wp:posOffset>
                </wp:positionH>
                <wp:positionV relativeFrom="paragraph">
                  <wp:posOffset>-71755</wp:posOffset>
                </wp:positionV>
                <wp:extent cx="1403985" cy="644525"/>
                <wp:effectExtent l="0" t="0" r="0" b="0"/>
                <wp:wrapNone/>
                <wp:docPr id="751" name="Textové pole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03985" cy="644525"/>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DA6167" w:rsidRPr="001B58F3" w:rsidRDefault="00DA6167" w:rsidP="00A63C37">
                            <w:pPr>
                              <w:jc w:val="left"/>
                              <w:rPr>
                                <w:rFonts w:cstheme="minorHAnsi"/>
                                <w:i/>
                                <w:sz w:val="20"/>
                                <w:szCs w:val="20"/>
                              </w:rPr>
                            </w:pPr>
                            <w:r>
                              <w:rPr>
                                <w:rStyle w:val="Odkaznakoment"/>
                                <w:rFonts w:cstheme="minorHAnsi"/>
                                <w:i/>
                                <w:sz w:val="20"/>
                                <w:szCs w:val="20"/>
                              </w:rPr>
                              <w:t>POZOR na hodnoty rozpočtu</w:t>
                            </w:r>
                            <w:r w:rsidRPr="007737BD">
                              <w:rPr>
                                <w:rStyle w:val="Odkaznakoment"/>
                                <w:rFonts w:cstheme="minorHAnsi"/>
                                <w:i/>
                                <w:sz w:val="20"/>
                                <w:szCs w:val="20"/>
                              </w:rPr>
                              <w:t xml:space="preserve"> </w:t>
                            </w:r>
                            <w:r w:rsidRPr="00B7241E">
                              <w:rPr>
                                <w:i/>
                                <w:sz w:val="20"/>
                                <w:szCs w:val="20"/>
                              </w:rPr>
                              <w:t>2022</w:t>
                            </w:r>
                            <w:r>
                              <w:rPr>
                                <w:rStyle w:val="Odkaznakoment"/>
                                <w:rFonts w:cstheme="minorHAnsi"/>
                                <w:i/>
                                <w:sz w:val="20"/>
                                <w:szCs w:val="20"/>
                              </w:rPr>
                              <w:t xml:space="preserve"> – </w:t>
                            </w:r>
                            <w:r>
                              <w:rPr>
                                <w:rStyle w:val="Odkaznakoment"/>
                                <w:rFonts w:cstheme="minorHAnsi"/>
                                <w:b/>
                                <w:i/>
                                <w:color w:val="FF0000"/>
                                <w:sz w:val="20"/>
                                <w:szCs w:val="20"/>
                              </w:rPr>
                              <w:t>výrazný pokles provozního přebytku</w:t>
                            </w:r>
                          </w:p>
                        </w:txbxContent>
                      </wps:txbx>
                      <wps:bodyPr rot="0" vert="horz" wrap="square" lIns="0" tIns="0" rIns="0" bIns="0" anchor="t" anchorCtr="0" upright="1">
                        <a:noAutofit/>
                      </wps:bodyPr>
                    </wps:wsp>
                  </a:graphicData>
                </a:graphic>
                <wp14:sizeRelH relativeFrom="page">
                  <wp14:pctWidth>0</wp14:pctWidth>
                </wp14:sizeRelH>
                <wp14:sizeRelV relativeFrom="margin">
                  <wp14:pctHeight>0</wp14:pctHeight>
                </wp14:sizeRelV>
              </wp:anchor>
            </w:drawing>
          </mc:Choice>
          <mc:Fallback>
            <w:pict>
              <v:shape id="_x0000_s1042" type="#_x0000_t202" style="position:absolute;left:0;text-align:left;margin-left:42.55pt;margin-top:-5.65pt;width:110.55pt;height:50.75pt;z-index:251881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" fillcolor="white [3201]" stroked="f" strokeweight=".5pt">
                <v:path arrowok="t"/>
                <v:textbox inset="0,0,0,0">
                  <w:txbxContent>
                    <w:p w:rsidR="00DA6167" w:rsidRPr="001B58F3" w:rsidRDefault="00DA6167" w:rsidP="00A63C37">
                      <w:pPr>
                        <w:jc w:val="left"/>
                        <w:rPr>
                          <w:rFonts w:cstheme="minorHAnsi"/>
                          <w:i/>
                          <w:sz w:val="20"/>
                          <w:szCs w:val="20"/>
                        </w:rPr>
                      </w:pPr>
                      <w:r>
                        <w:rPr>
                          <w:rStyle w:val="Odkaznakoment"/>
                          <w:rFonts w:cstheme="minorHAnsi"/>
                          <w:i/>
                          <w:sz w:val="20"/>
                          <w:szCs w:val="20"/>
                        </w:rPr>
                        <w:t>POZOR na hodnoty rozpočtu</w:t>
                      </w:r>
                      <w:r w:rsidRPr="007737BD">
                        <w:rPr>
                          <w:rStyle w:val="Odkaznakoment"/>
                          <w:rFonts w:cstheme="minorHAnsi"/>
                          <w:i/>
                          <w:sz w:val="20"/>
                          <w:szCs w:val="20"/>
                        </w:rPr>
                        <w:t xml:space="preserve"> </w:t>
                      </w:r>
                      <w:r w:rsidRPr="00B7241E">
                        <w:rPr>
                          <w:i/>
                          <w:sz w:val="20"/>
                          <w:szCs w:val="20"/>
                        </w:rPr>
                        <w:t>2022</w:t>
                      </w:r>
                      <w:r>
                        <w:rPr>
                          <w:rStyle w:val="Odkaznakoment"/>
                          <w:rFonts w:cstheme="minorHAnsi"/>
                          <w:i/>
                          <w:sz w:val="20"/>
                          <w:szCs w:val="20"/>
                        </w:rPr>
                        <w:t xml:space="preserve"> – </w:t>
                      </w:r>
                      <w:r>
                        <w:rPr>
                          <w:rStyle w:val="Odkaznakoment"/>
                          <w:rFonts w:cstheme="minorHAnsi"/>
                          <w:b/>
                          <w:i/>
                          <w:color w:val="FF0000"/>
                          <w:sz w:val="20"/>
                          <w:szCs w:val="20"/>
                        </w:rPr>
                        <w:t>výrazný pokles provozního přebytku</w:t>
                      </w:r>
                    </w:p>
                  </w:txbxContent>
                </v:textbox>
                <w10:wrap anchorx="page"/>
              </v:shape>
            </w:pict>
          </mc:Fallback>
        </mc:AlternateContent>
      </w:r>
      <w:r w:rsidR="00A63C37" w:rsidRPr="007F7EE4">
        <w:t>Rekapitulace hospodaření</w:t>
      </w:r>
      <w:bookmarkEnd w:id="40"/>
    </w:p>
    <w:p w:rsidR="00A63C37" w:rsidRPr="004F4117" w:rsidRDefault="00A63C37" w:rsidP="00A63C37">
      <w:pPr>
        <w:pStyle w:val="Objekt"/>
        <w:rPr>
          <w:highlight w:val="yellow"/>
        </w:rPr>
      </w:pPr>
      <w:r>
        <w:rPr>
          <w:noProof/>
          <w:lang w:eastAsia="cs-CZ"/>
        </w:rPr>
        <w:drawing>
          <wp:inline distT="0" distB="0" distL="0" distR="0">
            <wp:extent cx="3970800" cy="1314000"/>
            <wp:effectExtent l="0" t="0" r="0" b="635"/>
            <wp:docPr id="698" name="Obrázek 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970800" cy="1314000"/>
                    </a:xfrm>
                    <a:prstGeom prst="rect">
                      <a:avLst/>
                    </a:prstGeom>
                    <a:noFill/>
                    <a:ln>
                      <a:noFill/>
                    </a:ln>
                  </pic:spPr>
                </pic:pic>
              </a:graphicData>
            </a:graphic>
          </wp:inline>
        </w:drawing>
      </w:r>
    </w:p>
    <w:p w:rsidR="00A63C37" w:rsidRPr="00196194" w:rsidRDefault="00A63C37" w:rsidP="00A63C37">
      <w:r w:rsidRPr="00196194">
        <w:t xml:space="preserve">Analýza </w:t>
      </w:r>
      <w:r w:rsidRPr="00926E22">
        <w:t>hospodaření města je základním krokem pro sestavení SVR. Ukazuje, že město hospodařilo v jednotlivých letech s příjmy v celkových objemech od 968,2 mil. Kč (2017) až do 1 297,2 mil. Kč (2019). Celkový objem výdajů se pohyboval od 1 006,7 mil. Kč (2017) do 1 231,3 mil. Kč (2019). V roce 2017 a 2018 hospodařilo město s deficitem (38,5, resp. 64,0 mil. Kč), v ostatních analyzovaných letech vykazovalo přebytek hospodaření. Nejvyššího přebytku město dosáhlo v roce 2021, a to 98,7 mil. Kč.</w:t>
      </w:r>
    </w:p>
    <w:bookmarkStart w:id="41" w:name="_Toc428351149"/>
    <w:bookmarkStart w:id="42" w:name="_Toc428357444"/>
    <w:bookmarkStart w:id="43" w:name="_Toc55981679"/>
    <w:bookmarkStart w:id="44" w:name="_Toc118977812"/>
    <w:p w:rsidR="00A63C37" w:rsidRPr="007F7EE4" w:rsidRDefault="00E8249A" w:rsidP="00A63C37">
      <w:pPr>
        <w:pStyle w:val="Graf0"/>
      </w:pPr>
      <w:r>
        <w:rPr>
          <w:rFonts w:ascii="Verdana" w:hAnsi="Verdana"/>
          <w:noProof/>
          <w:sz w:val="19"/>
          <w:highlight w:val="cyan"/>
          <w:lang w:eastAsia="cs-CZ"/>
        </w:rPr>
        <mc:AlternateContent>
          <mc:Choice Requires="wps">
            <w:drawing>
              <wp:anchor distT="0" distB="0" distL="114300" distR="114300" simplePos="0" relativeHeight="251872768" behindDoc="0" locked="0" layoutInCell="1" allowOverlap="1">
                <wp:simplePos x="0" y="0"/>
                <wp:positionH relativeFrom="page">
                  <wp:posOffset>542925</wp:posOffset>
                </wp:positionH>
                <wp:positionV relativeFrom="paragraph">
                  <wp:posOffset>-68580</wp:posOffset>
                </wp:positionV>
                <wp:extent cx="1403985" cy="1276350"/>
                <wp:effectExtent l="0" t="0" r="0" b="0"/>
                <wp:wrapNone/>
                <wp:docPr id="719" name="Textové pole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03985" cy="1276350"/>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DA6167" w:rsidRPr="00977E0F" w:rsidRDefault="00DA6167" w:rsidP="00A63C37">
                            <w:pPr>
                              <w:jc w:val="left"/>
                              <w:rPr>
                                <w:rFonts w:cstheme="minorHAnsi"/>
                                <w:i/>
                                <w:szCs w:val="22"/>
                              </w:rPr>
                            </w:pPr>
                            <w:r w:rsidRPr="00926E22">
                              <w:rPr>
                                <w:rStyle w:val="Odkaznakoment"/>
                                <w:rFonts w:cstheme="minorHAnsi"/>
                                <w:i/>
                                <w:sz w:val="20"/>
                                <w:szCs w:val="20"/>
                              </w:rPr>
                              <w:t xml:space="preserve">Záporné saldo bez financování v letech </w:t>
                            </w:r>
                            <w:r w:rsidRPr="00926E22">
                              <w:rPr>
                                <w:i/>
                              </w:rPr>
                              <w:t>2017</w:t>
                            </w:r>
                            <w:r w:rsidRPr="00926E22">
                              <w:t xml:space="preserve"> a 2018</w:t>
                            </w:r>
                            <w:r w:rsidRPr="00926E22">
                              <w:rPr>
                                <w:rStyle w:val="Odkaznakoment"/>
                                <w:rFonts w:cstheme="minorHAnsi"/>
                                <w:i/>
                                <w:sz w:val="20"/>
                                <w:szCs w:val="20"/>
                              </w:rPr>
                              <w:t xml:space="preserve"> je důsledkem vysokých investičních výdajů (</w:t>
                            </w:r>
                            <w:r w:rsidRPr="00926E22">
                              <w:rPr>
                                <w:i/>
                              </w:rPr>
                              <w:t>215,8</w:t>
                            </w:r>
                            <w:r w:rsidRPr="00926E22">
                              <w:t xml:space="preserve"> a 287,1</w:t>
                            </w:r>
                            <w:r w:rsidRPr="00926E22">
                              <w:rPr>
                                <w:rStyle w:val="Odkaznakoment"/>
                                <w:rFonts w:cstheme="minorHAnsi"/>
                                <w:i/>
                                <w:sz w:val="20"/>
                                <w:szCs w:val="20"/>
                              </w:rPr>
                              <w:t xml:space="preserve"> mil. Kč).</w:t>
                            </w:r>
                          </w:p>
                        </w:txbxContent>
                      </wps:txbx>
                      <wps:bodyPr rot="0" vert="horz" wrap="square" lIns="0" tIns="0" rIns="0" bIns="0" anchor="t" anchorCtr="0" upright="1">
                        <a:noAutofit/>
                      </wps:bodyPr>
                    </wps:wsp>
                  </a:graphicData>
                </a:graphic>
                <wp14:sizeRelH relativeFrom="page">
                  <wp14:pctWidth>0</wp14:pctWidth>
                </wp14:sizeRelH>
                <wp14:sizeRelV relativeFrom="margin">
                  <wp14:pctHeight>0</wp14:pctHeight>
                </wp14:sizeRelV>
              </wp:anchor>
            </w:drawing>
          </mc:Choice>
          <mc:Fallback>
            <w:pict>
              <v:shape id="_x0000_s1043" type="#_x0000_t202" style="position:absolute;left:0;text-align:left;margin-left:42.75pt;margin-top:-5.4pt;width:110.55pt;height:100.5pt;z-index:251872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" fillcolor="white [3201]" stroked="f" strokeweight=".5pt">
                <v:path arrowok="t"/>
                <v:textbox inset="0,0,0,0">
                  <w:txbxContent>
                    <w:p w:rsidR="00DA6167" w:rsidRPr="00977E0F" w:rsidRDefault="00DA6167" w:rsidP="00A63C37">
                      <w:pPr>
                        <w:jc w:val="left"/>
                        <w:rPr>
                          <w:rFonts w:cstheme="minorHAnsi"/>
                          <w:i/>
                          <w:szCs w:val="22"/>
                        </w:rPr>
                      </w:pPr>
                      <w:r w:rsidRPr="00926E22">
                        <w:rPr>
                          <w:rStyle w:val="Odkaznakoment"/>
                          <w:rFonts w:cstheme="minorHAnsi"/>
                          <w:i/>
                          <w:sz w:val="20"/>
                          <w:szCs w:val="20"/>
                        </w:rPr>
                        <w:t xml:space="preserve">Záporné saldo bez financování v letech </w:t>
                      </w:r>
                      <w:r w:rsidRPr="00926E22">
                        <w:rPr>
                          <w:i/>
                        </w:rPr>
                        <w:t>2017</w:t>
                      </w:r>
                      <w:r w:rsidRPr="00926E22">
                        <w:t xml:space="preserve"> a 2018</w:t>
                      </w:r>
                      <w:r w:rsidRPr="00926E22">
                        <w:rPr>
                          <w:rStyle w:val="Odkaznakoment"/>
                          <w:rFonts w:cstheme="minorHAnsi"/>
                          <w:i/>
                          <w:sz w:val="20"/>
                          <w:szCs w:val="20"/>
                        </w:rPr>
                        <w:t xml:space="preserve"> je důsledkem vysokých investičních výdajů (</w:t>
                      </w:r>
                      <w:r w:rsidRPr="00926E22">
                        <w:rPr>
                          <w:i/>
                        </w:rPr>
                        <w:t>215,8</w:t>
                      </w:r>
                      <w:r w:rsidRPr="00926E22">
                        <w:t xml:space="preserve"> a 287,1</w:t>
                      </w:r>
                      <w:r w:rsidRPr="00926E22">
                        <w:rPr>
                          <w:rStyle w:val="Odkaznakoment"/>
                          <w:rFonts w:cstheme="minorHAnsi"/>
                          <w:i/>
                          <w:sz w:val="20"/>
                          <w:szCs w:val="20"/>
                        </w:rPr>
                        <w:t xml:space="preserve"> mil. Kč).</w:t>
                      </w:r>
                    </w:p>
                  </w:txbxContent>
                </v:textbox>
                <w10:wrap anchorx="page"/>
              </v:shape>
            </w:pict>
          </mc:Fallback>
        </mc:AlternateContent>
      </w:r>
      <w:r w:rsidR="00A63C37" w:rsidRPr="007F7EE4">
        <w:t>Vývoj příjmů, výdajů a salda hospodaření</w:t>
      </w:r>
      <w:bookmarkEnd w:id="41"/>
      <w:bookmarkEnd w:id="42"/>
      <w:bookmarkEnd w:id="43"/>
      <w:bookmarkEnd w:id="44"/>
    </w:p>
    <w:p w:rsidR="00A63C37" w:rsidRPr="004F4117" w:rsidRDefault="00A63C37" w:rsidP="00A63C37">
      <w:pPr>
        <w:pStyle w:val="Objekt"/>
        <w:rPr>
          <w:highlight w:val="yellow"/>
        </w:rPr>
      </w:pPr>
      <w:r>
        <w:rPr>
          <w:noProof/>
          <w:lang w:eastAsia="cs-CZ"/>
        </w:rPr>
        <w:drawing>
          <wp:inline distT="0" distB="0" distL="0" distR="0">
            <wp:extent cx="4860925" cy="2014183"/>
            <wp:effectExtent l="0" t="0" r="0" b="0"/>
            <wp:docPr id="32" name="Obráze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860925" cy="2014183"/>
                    </a:xfrm>
                    <a:prstGeom prst="rect">
                      <a:avLst/>
                    </a:prstGeom>
                    <a:noFill/>
                    <a:ln>
                      <a:noFill/>
                    </a:ln>
                  </pic:spPr>
                </pic:pic>
              </a:graphicData>
            </a:graphic>
          </wp:inline>
        </w:drawing>
      </w:r>
    </w:p>
    <w:p w:rsidR="00A63C37" w:rsidRPr="00660FF6" w:rsidRDefault="00A63C37" w:rsidP="00A63C37">
      <w:r w:rsidRPr="00926E22">
        <w:t>Pozitivním zjištěním, po analýze hospodaření za uplynulé pětileté období, je skutečnost, že město, kromě záporného výsledku hospodaření v letech 2017 a 2018 hospodařilo s přebytkem, a to jak z pohledu salda bez financování, tak i z pohledu bilance hospodaření, tj. i po zahrnutí operací týkajících se financujících položek.</w:t>
      </w:r>
      <w:r w:rsidRPr="00660FF6">
        <w:t xml:space="preserve"> </w:t>
      </w:r>
    </w:p>
    <w:p w:rsidR="00A63C37" w:rsidRPr="004D0FAA" w:rsidRDefault="00A63C37" w:rsidP="00A63C37">
      <w:pPr>
        <w:pStyle w:val="Nadpis3"/>
      </w:pPr>
      <w:r w:rsidRPr="004D0FAA">
        <w:t>Základní ukazatele hospodaření</w:t>
      </w:r>
    </w:p>
    <w:p w:rsidR="00A63C37" w:rsidRPr="00660FF6" w:rsidRDefault="00A63C37" w:rsidP="00A63C37">
      <w:r w:rsidRPr="00660FF6">
        <w:t xml:space="preserve">O </w:t>
      </w:r>
      <w:r w:rsidRPr="00926E22">
        <w:t xml:space="preserve">vztahu mezi provozními příjmy a výdaji nejlépe vypovídá </w:t>
      </w:r>
      <w:r w:rsidRPr="00926E22">
        <w:rPr>
          <w:b/>
        </w:rPr>
        <w:t>provozní přebytek</w:t>
      </w:r>
      <w:r w:rsidRPr="00926E22">
        <w:t xml:space="preserve">. V každém analyzovaném roce nabýval provozní přebytek kladných hodnot. Nejnižší hodnoty tento základní ukazatel dosáhl v roce 2018 (166,2 mil. Kč), nejvyšší pak v roce 2019 </w:t>
      </w:r>
      <w:r w:rsidRPr="00926E22">
        <w:lastRenderedPageBreak/>
        <w:t>(217,8 mil. Kč). Průměrná hodnota provozního přebytku ve sledovaném období byla 195</w:t>
      </w:r>
      <w:r>
        <w:t>,1</w:t>
      </w:r>
      <w:r w:rsidRPr="00660FF6">
        <w:t xml:space="preserve"> mil. Kč.</w:t>
      </w:r>
    </w:p>
    <w:bookmarkStart w:id="45" w:name="_Toc428351155"/>
    <w:bookmarkStart w:id="46" w:name="_Toc428357450"/>
    <w:bookmarkStart w:id="47" w:name="_Toc55981686"/>
    <w:bookmarkStart w:id="48" w:name="_Toc118977813"/>
    <w:p w:rsidR="00A63C37" w:rsidRPr="007F7EE4" w:rsidRDefault="00E8249A" w:rsidP="00A63C37">
      <w:pPr>
        <w:pStyle w:val="Graf0"/>
      </w:pPr>
      <w:r>
        <w:rPr>
          <w:rFonts w:ascii="Verdana" w:hAnsi="Verdana"/>
          <w:noProof/>
          <w:sz w:val="19"/>
          <w:highlight w:val="cyan"/>
          <w:lang w:eastAsia="cs-CZ"/>
        </w:rPr>
        <mc:AlternateContent>
          <mc:Choice Requires="wps">
            <w:drawing>
              <wp:anchor distT="0" distB="0" distL="114300" distR="114300" simplePos="0" relativeHeight="251873792" behindDoc="0" locked="0" layoutInCell="1" allowOverlap="1">
                <wp:simplePos x="0" y="0"/>
                <wp:positionH relativeFrom="page">
                  <wp:posOffset>540385</wp:posOffset>
                </wp:positionH>
                <wp:positionV relativeFrom="paragraph">
                  <wp:posOffset>-71755</wp:posOffset>
                </wp:positionV>
                <wp:extent cx="1403985" cy="1594485"/>
                <wp:effectExtent l="0" t="0" r="0" b="0"/>
                <wp:wrapNone/>
                <wp:docPr id="720" name="Textové pole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03985" cy="1594485"/>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DA6167" w:rsidRPr="00370D4F" w:rsidRDefault="00DA6167" w:rsidP="00A63C37">
                            <w:pPr>
                              <w:jc w:val="left"/>
                              <w:rPr>
                                <w:rFonts w:cstheme="minorHAnsi"/>
                                <w:i/>
                                <w:szCs w:val="22"/>
                              </w:rPr>
                            </w:pPr>
                            <w:r w:rsidRPr="00BA1316">
                              <w:rPr>
                                <w:rStyle w:val="Odkaznakoment"/>
                                <w:rFonts w:cstheme="minorHAnsi"/>
                                <w:i/>
                                <w:sz w:val="20"/>
                                <w:szCs w:val="20"/>
                              </w:rPr>
                              <w:t xml:space="preserve">V každém roce provozní přebytek dosahuje </w:t>
                            </w:r>
                            <w:r w:rsidRPr="00BA1316">
                              <w:rPr>
                                <w:rStyle w:val="Odkaznakoment"/>
                                <w:rFonts w:cstheme="minorHAnsi"/>
                                <w:b/>
                                <w:i/>
                                <w:sz w:val="20"/>
                                <w:szCs w:val="20"/>
                              </w:rPr>
                              <w:t>kladných hodnot</w:t>
                            </w:r>
                          </w:p>
                          <w:p w:rsidR="00DA6167" w:rsidRPr="001B58F3" w:rsidRDefault="00DA6167" w:rsidP="00A63C37">
                            <w:pPr>
                              <w:spacing w:after="0"/>
                              <w:jc w:val="left"/>
                              <w:rPr>
                                <w:rFonts w:cstheme="minorHAnsi"/>
                                <w:i/>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margin">
                  <wp14:pctHeight>0</wp14:pctHeight>
                </wp14:sizeRelV>
              </wp:anchor>
            </w:drawing>
          </mc:Choice>
          <mc:Fallback>
            <w:pict>
              <v:shape id="_x0000_s1044" type="#_x0000_t202" style="position:absolute;left:0;text-align:left;margin-left:42.55pt;margin-top:-5.65pt;width:110.55pt;height:125.55pt;z-index:251873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" fillcolor="white [3201]" stroked="f" strokeweight=".5pt">
                <v:path arrowok="t"/>
                <v:textbox inset="0,0,0,0">
                  <w:txbxContent>
                    <w:p w:rsidR="00DA6167" w:rsidRPr="00370D4F" w:rsidRDefault="00DA6167" w:rsidP="00A63C37">
                      <w:pPr>
                        <w:jc w:val="left"/>
                        <w:rPr>
                          <w:rFonts w:cstheme="minorHAnsi"/>
                          <w:i/>
                          <w:szCs w:val="22"/>
                        </w:rPr>
                      </w:pPr>
                      <w:r w:rsidRPr="00BA1316">
                        <w:rPr>
                          <w:rStyle w:val="Odkaznakoment"/>
                          <w:rFonts w:cstheme="minorHAnsi"/>
                          <w:i/>
                          <w:sz w:val="20"/>
                          <w:szCs w:val="20"/>
                        </w:rPr>
                        <w:t xml:space="preserve">V každém roce provozní přebytek dosahuje </w:t>
                      </w:r>
                      <w:r w:rsidRPr="00BA1316">
                        <w:rPr>
                          <w:rStyle w:val="Odkaznakoment"/>
                          <w:rFonts w:cstheme="minorHAnsi"/>
                          <w:b/>
                          <w:i/>
                          <w:sz w:val="20"/>
                          <w:szCs w:val="20"/>
                        </w:rPr>
                        <w:t>kladných hodnot</w:t>
                      </w:r>
                    </w:p>
                    <w:p w:rsidR="00DA6167" w:rsidRPr="001B58F3" w:rsidRDefault="00DA6167" w:rsidP="00A63C37">
                      <w:pPr>
                        <w:spacing w:after="0"/>
                        <w:jc w:val="left"/>
                        <w:rPr>
                          <w:rFonts w:cstheme="minorHAnsi"/>
                          <w:i/>
                          <w:sz w:val="20"/>
                          <w:szCs w:val="20"/>
                        </w:rPr>
                      </w:pPr>
                    </w:p>
                  </w:txbxContent>
                </v:textbox>
                <w10:wrap anchorx="page"/>
              </v:shape>
            </w:pict>
          </mc:Fallback>
        </mc:AlternateContent>
      </w:r>
      <w:r w:rsidR="00A63C37" w:rsidRPr="007F7EE4">
        <w:t>Vývoj běžných příjmů, výdajů a provozního přebytku</w:t>
      </w:r>
      <w:bookmarkEnd w:id="45"/>
      <w:bookmarkEnd w:id="46"/>
      <w:bookmarkEnd w:id="47"/>
      <w:bookmarkEnd w:id="48"/>
    </w:p>
    <w:p w:rsidR="00A63C37" w:rsidRPr="004F4117" w:rsidRDefault="00A63C37" w:rsidP="00A63C37">
      <w:pPr>
        <w:pStyle w:val="Objekt"/>
        <w:rPr>
          <w:highlight w:val="yellow"/>
        </w:rPr>
      </w:pPr>
      <w:r>
        <w:rPr>
          <w:noProof/>
          <w:lang w:eastAsia="cs-CZ"/>
        </w:rPr>
        <w:drawing>
          <wp:inline distT="0" distB="0" distL="0" distR="0">
            <wp:extent cx="4860925" cy="2014183"/>
            <wp:effectExtent l="0" t="0" r="0" b="0"/>
            <wp:docPr id="34" name="Obráze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860925" cy="2014183"/>
                    </a:xfrm>
                    <a:prstGeom prst="rect">
                      <a:avLst/>
                    </a:prstGeom>
                    <a:noFill/>
                    <a:ln>
                      <a:noFill/>
                    </a:ln>
                  </pic:spPr>
                </pic:pic>
              </a:graphicData>
            </a:graphic>
          </wp:inline>
        </w:drawing>
      </w:r>
    </w:p>
    <w:p w:rsidR="00A63C37" w:rsidRPr="00660FF6" w:rsidRDefault="00A63C37" w:rsidP="00A63C37">
      <w:r w:rsidRPr="00660FF6">
        <w:t>Další možností, jak zhodnotit hospodaření města, jsou hodnoty ukazatele provozních úspor. Ukazatel vyjadřuje procentuální hodnotu finančních prostředků, které zůstávají z provozních příjmů po úhradě provozních výdajů</w:t>
      </w:r>
      <w:r>
        <w:t xml:space="preserve"> na krytí investičních záměrů města</w:t>
      </w:r>
      <w:r w:rsidRPr="00660FF6">
        <w:t>. Minimální hodnota ukazatele je 10 %, v ideálním případě se procentuální výše ukazatele má pohybovat okolo hodnoty 25 %, která i odpovídá celostátnímu průměru v tomto pětiletém období.</w:t>
      </w:r>
    </w:p>
    <w:bookmarkStart w:id="49" w:name="_Toc428351156"/>
    <w:bookmarkStart w:id="50" w:name="_Toc428357451"/>
    <w:bookmarkStart w:id="51" w:name="_Toc55981687"/>
    <w:bookmarkStart w:id="52" w:name="_Toc118977814"/>
    <w:p w:rsidR="00A63C37" w:rsidRPr="007F7EE4" w:rsidRDefault="00E8249A" w:rsidP="00A63C37">
      <w:pPr>
        <w:pStyle w:val="Graf0"/>
      </w:pPr>
      <w:r>
        <w:rPr>
          <w:rFonts w:ascii="Verdana" w:hAnsi="Verdana"/>
          <w:noProof/>
          <w:sz w:val="19"/>
          <w:highlight w:val="cyan"/>
          <w:lang w:eastAsia="cs-CZ"/>
        </w:rPr>
        <mc:AlternateContent>
          <mc:Choice Requires="wps">
            <w:drawing>
              <wp:anchor distT="0" distB="0" distL="114300" distR="114300" simplePos="0" relativeHeight="251874816" behindDoc="0" locked="0" layoutInCell="1" allowOverlap="1">
                <wp:simplePos x="0" y="0"/>
                <wp:positionH relativeFrom="page">
                  <wp:posOffset>542925</wp:posOffset>
                </wp:positionH>
                <wp:positionV relativeFrom="paragraph">
                  <wp:posOffset>2540</wp:posOffset>
                </wp:positionV>
                <wp:extent cx="1403985" cy="963295"/>
                <wp:effectExtent l="0" t="0" r="0" b="0"/>
                <wp:wrapNone/>
                <wp:docPr id="721" name="Textové pole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03985" cy="963295"/>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DA6167" w:rsidRPr="00370D4F" w:rsidRDefault="00DA6167" w:rsidP="00A63C37">
                            <w:pPr>
                              <w:spacing w:before="0"/>
                              <w:jc w:val="left"/>
                              <w:rPr>
                                <w:rFonts w:cstheme="minorHAnsi"/>
                                <w:i/>
                                <w:szCs w:val="22"/>
                              </w:rPr>
                            </w:pPr>
                            <w:r>
                              <w:rPr>
                                <w:rStyle w:val="Odkaznakoment"/>
                                <w:rFonts w:cstheme="minorHAnsi"/>
                                <w:i/>
                                <w:sz w:val="20"/>
                                <w:szCs w:val="20"/>
                              </w:rPr>
                              <w:t>Hodnoty u</w:t>
                            </w:r>
                            <w:r w:rsidRPr="00BA1316">
                              <w:rPr>
                                <w:rStyle w:val="Odkaznakoment"/>
                                <w:rFonts w:cstheme="minorHAnsi"/>
                                <w:i/>
                                <w:sz w:val="20"/>
                                <w:szCs w:val="20"/>
                              </w:rPr>
                              <w:t>kazatel</w:t>
                            </w:r>
                            <w:r>
                              <w:rPr>
                                <w:rStyle w:val="Odkaznakoment"/>
                                <w:rFonts w:cstheme="minorHAnsi"/>
                                <w:i/>
                                <w:sz w:val="20"/>
                                <w:szCs w:val="20"/>
                              </w:rPr>
                              <w:t>e</w:t>
                            </w:r>
                            <w:r w:rsidRPr="00BA1316">
                              <w:rPr>
                                <w:rStyle w:val="Odkaznakoment"/>
                                <w:rFonts w:cstheme="minorHAnsi"/>
                                <w:i/>
                                <w:sz w:val="20"/>
                                <w:szCs w:val="20"/>
                              </w:rPr>
                              <w:t xml:space="preserve"> provozních úspor </w:t>
                            </w:r>
                            <w:r>
                              <w:rPr>
                                <w:rStyle w:val="Odkaznakoment"/>
                                <w:rFonts w:cstheme="minorHAnsi"/>
                                <w:i/>
                                <w:sz w:val="20"/>
                                <w:szCs w:val="20"/>
                              </w:rPr>
                              <w:t xml:space="preserve">nejvíce ovlivňují </w:t>
                            </w:r>
                            <w:r w:rsidRPr="00285D17">
                              <w:rPr>
                                <w:rStyle w:val="Odkaznakoment"/>
                                <w:rFonts w:cstheme="minorHAnsi"/>
                                <w:i/>
                                <w:sz w:val="20"/>
                                <w:szCs w:val="20"/>
                              </w:rPr>
                              <w:t>sdílené daně na straně př</w:t>
                            </w:r>
                            <w:r>
                              <w:rPr>
                                <w:rStyle w:val="Odkaznakoment"/>
                                <w:rFonts w:cstheme="minorHAnsi"/>
                                <w:i/>
                                <w:sz w:val="20"/>
                                <w:szCs w:val="20"/>
                              </w:rPr>
                              <w:t>í</w:t>
                            </w:r>
                            <w:r w:rsidRPr="00285D17">
                              <w:rPr>
                                <w:rStyle w:val="Odkaznakoment"/>
                                <w:rFonts w:cstheme="minorHAnsi"/>
                                <w:i/>
                                <w:sz w:val="20"/>
                                <w:szCs w:val="20"/>
                              </w:rPr>
                              <w:t>jmové a příspěvky PO na straně výdajové</w:t>
                            </w:r>
                            <w:r>
                              <w:rPr>
                                <w:rStyle w:val="Odkaznakoment"/>
                                <w:rFonts w:cstheme="minorHAnsi"/>
                                <w:i/>
                                <w:sz w:val="20"/>
                                <w:szCs w:val="20"/>
                              </w:rPr>
                              <w:t>.</w:t>
                            </w:r>
                          </w:p>
                          <w:p w:rsidR="00DA6167" w:rsidRPr="001B58F3" w:rsidRDefault="00DA6167" w:rsidP="00A63C37">
                            <w:pPr>
                              <w:spacing w:after="0"/>
                              <w:jc w:val="left"/>
                              <w:rPr>
                                <w:rFonts w:cstheme="minorHAnsi"/>
                                <w:i/>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margin">
                  <wp14:pctHeight>0</wp14:pctHeight>
                </wp14:sizeRelV>
              </wp:anchor>
            </w:drawing>
          </mc:Choice>
          <mc:Fallback>
            <w:pict>
              <v:shape id="_x0000_s1045" type="#_x0000_t202" style="position:absolute;left:0;text-align:left;margin-left:42.75pt;margin-top:.2pt;width:110.55pt;height:75.85pt;z-index:251874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" fillcolor="white [3201]" stroked="f" strokeweight=".5pt">
                <v:path arrowok="t"/>
                <v:textbox inset="0,0,0,0">
                  <w:txbxContent>
                    <w:p w:rsidR="00DA6167" w:rsidRPr="00370D4F" w:rsidRDefault="00DA6167" w:rsidP="00A63C37">
                      <w:pPr>
                        <w:spacing w:before="0"/>
                        <w:jc w:val="left"/>
                        <w:rPr>
                          <w:rFonts w:cstheme="minorHAnsi"/>
                          <w:i/>
                          <w:szCs w:val="22"/>
                        </w:rPr>
                      </w:pPr>
                      <w:r>
                        <w:rPr>
                          <w:rStyle w:val="Odkaznakoment"/>
                          <w:rFonts w:cstheme="minorHAnsi"/>
                          <w:i/>
                          <w:sz w:val="20"/>
                          <w:szCs w:val="20"/>
                        </w:rPr>
                        <w:t>Hodnoty u</w:t>
                      </w:r>
                      <w:r w:rsidRPr="00BA1316">
                        <w:rPr>
                          <w:rStyle w:val="Odkaznakoment"/>
                          <w:rFonts w:cstheme="minorHAnsi"/>
                          <w:i/>
                          <w:sz w:val="20"/>
                          <w:szCs w:val="20"/>
                        </w:rPr>
                        <w:t>kazatel</w:t>
                      </w:r>
                      <w:r>
                        <w:rPr>
                          <w:rStyle w:val="Odkaznakoment"/>
                          <w:rFonts w:cstheme="minorHAnsi"/>
                          <w:i/>
                          <w:sz w:val="20"/>
                          <w:szCs w:val="20"/>
                        </w:rPr>
                        <w:t>e</w:t>
                      </w:r>
                      <w:r w:rsidRPr="00BA1316">
                        <w:rPr>
                          <w:rStyle w:val="Odkaznakoment"/>
                          <w:rFonts w:cstheme="minorHAnsi"/>
                          <w:i/>
                          <w:sz w:val="20"/>
                          <w:szCs w:val="20"/>
                        </w:rPr>
                        <w:t xml:space="preserve"> provozních úspor </w:t>
                      </w:r>
                      <w:r>
                        <w:rPr>
                          <w:rStyle w:val="Odkaznakoment"/>
                          <w:rFonts w:cstheme="minorHAnsi"/>
                          <w:i/>
                          <w:sz w:val="20"/>
                          <w:szCs w:val="20"/>
                        </w:rPr>
                        <w:t xml:space="preserve">nejvíce ovlivňují </w:t>
                      </w:r>
                      <w:r w:rsidRPr="00285D17">
                        <w:rPr>
                          <w:rStyle w:val="Odkaznakoment"/>
                          <w:rFonts w:cstheme="minorHAnsi"/>
                          <w:i/>
                          <w:sz w:val="20"/>
                          <w:szCs w:val="20"/>
                        </w:rPr>
                        <w:t>sdílené daně na straně př</w:t>
                      </w:r>
                      <w:r>
                        <w:rPr>
                          <w:rStyle w:val="Odkaznakoment"/>
                          <w:rFonts w:cstheme="minorHAnsi"/>
                          <w:i/>
                          <w:sz w:val="20"/>
                          <w:szCs w:val="20"/>
                        </w:rPr>
                        <w:t>í</w:t>
                      </w:r>
                      <w:r w:rsidRPr="00285D17">
                        <w:rPr>
                          <w:rStyle w:val="Odkaznakoment"/>
                          <w:rFonts w:cstheme="minorHAnsi"/>
                          <w:i/>
                          <w:sz w:val="20"/>
                          <w:szCs w:val="20"/>
                        </w:rPr>
                        <w:t>jmové a příspěvky PO na straně výdajové</w:t>
                      </w:r>
                      <w:r>
                        <w:rPr>
                          <w:rStyle w:val="Odkaznakoment"/>
                          <w:rFonts w:cstheme="minorHAnsi"/>
                          <w:i/>
                          <w:sz w:val="20"/>
                          <w:szCs w:val="20"/>
                        </w:rPr>
                        <w:t>.</w:t>
                      </w:r>
                    </w:p>
                    <w:p w:rsidR="00DA6167" w:rsidRPr="001B58F3" w:rsidRDefault="00DA6167" w:rsidP="00A63C37">
                      <w:pPr>
                        <w:spacing w:after="0"/>
                        <w:jc w:val="left"/>
                        <w:rPr>
                          <w:rFonts w:cstheme="minorHAnsi"/>
                          <w:i/>
                          <w:sz w:val="20"/>
                          <w:szCs w:val="20"/>
                        </w:rPr>
                      </w:pPr>
                    </w:p>
                  </w:txbxContent>
                </v:textbox>
                <w10:wrap anchorx="page"/>
              </v:shape>
            </w:pict>
          </mc:Fallback>
        </mc:AlternateContent>
      </w:r>
      <w:r w:rsidR="00A63C37" w:rsidRPr="007F7EE4">
        <w:t xml:space="preserve">Vývoj </w:t>
      </w:r>
      <w:bookmarkEnd w:id="49"/>
      <w:bookmarkEnd w:id="50"/>
      <w:bookmarkEnd w:id="51"/>
      <w:r w:rsidR="00A63C37" w:rsidRPr="007F7EE4">
        <w:t>provozních ukazatelů</w:t>
      </w:r>
      <w:bookmarkEnd w:id="52"/>
    </w:p>
    <w:p w:rsidR="00A63C37" w:rsidRPr="004F4117" w:rsidRDefault="00E8249A" w:rsidP="00A63C37">
      <w:pPr>
        <w:pStyle w:val="Objekt"/>
        <w:rPr>
          <w:highlight w:val="yellow"/>
        </w:rPr>
      </w:pPr>
      <w:r>
        <w:rPr>
          <w:rFonts w:ascii="Verdana" w:hAnsi="Verdana"/>
          <w:noProof/>
          <w:sz w:val="19"/>
          <w:lang w:eastAsia="cs-CZ"/>
        </w:rPr>
        <mc:AlternateContent>
          <mc:Choice Requires="wps">
            <w:drawing>
              <wp:anchor distT="0" distB="0" distL="114300" distR="114300" simplePos="0" relativeHeight="251860480" behindDoc="0" locked="0" layoutInCell="1" allowOverlap="1">
                <wp:simplePos x="0" y="0"/>
                <wp:positionH relativeFrom="column">
                  <wp:posOffset>-1840865</wp:posOffset>
                </wp:positionH>
                <wp:positionV relativeFrom="paragraph">
                  <wp:posOffset>1807845</wp:posOffset>
                </wp:positionV>
                <wp:extent cx="1486535" cy="1104900"/>
                <wp:effectExtent l="0" t="0" r="0" b="0"/>
                <wp:wrapNone/>
                <wp:docPr id="41" name="Textové pole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86535" cy="1104900"/>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DA6167" w:rsidRPr="00370D4F" w:rsidRDefault="00DA6167" w:rsidP="00A63C37">
                            <w:pPr>
                              <w:jc w:val="left"/>
                              <w:rPr>
                                <w:rFonts w:cstheme="minorHAnsi"/>
                                <w:i/>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id="Textové pole 41" o:spid="_x0000_s1046" type="#_x0000_t202" style="position:absolute;margin-left:-144.95pt;margin-top:142.35pt;width:117.05pt;height:87pt;z-index:25186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" fillcolor="white [3201]" stroked="f" strokeweight=".5pt">
                <v:path arrowok="t"/>
                <v:textbox>
                  <w:txbxContent>
                    <w:p w:rsidR="00DA6167" w:rsidRPr="00370D4F" w:rsidRDefault="00DA6167" w:rsidP="00A63C37">
                      <w:pPr>
                        <w:jc w:val="left"/>
                        <w:rPr>
                          <w:rFonts w:cstheme="minorHAnsi"/>
                          <w:i/>
                          <w:szCs w:val="22"/>
                        </w:rPr>
                      </w:pPr>
                    </w:p>
                  </w:txbxContent>
                </v:textbox>
              </v:shape>
            </w:pict>
          </mc:Fallback>
        </mc:AlternateContent>
      </w:r>
      <w:r w:rsidR="00A63C37">
        <w:rPr>
          <w:noProof/>
          <w:lang w:eastAsia="cs-CZ"/>
        </w:rPr>
        <w:drawing>
          <wp:inline distT="0" distB="0" distL="0" distR="0">
            <wp:extent cx="4860925" cy="2014183"/>
            <wp:effectExtent l="0" t="0" r="0" b="0"/>
            <wp:docPr id="36" name="Obráze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860925" cy="2014183"/>
                    </a:xfrm>
                    <a:prstGeom prst="rect">
                      <a:avLst/>
                    </a:prstGeom>
                    <a:noFill/>
                    <a:ln>
                      <a:noFill/>
                    </a:ln>
                  </pic:spPr>
                </pic:pic>
              </a:graphicData>
            </a:graphic>
          </wp:inline>
        </w:drawing>
      </w:r>
    </w:p>
    <w:p w:rsidR="00A63C37" w:rsidRPr="00926E22" w:rsidRDefault="00A63C37" w:rsidP="00A63C37">
      <w:r w:rsidRPr="008A01F2">
        <w:t xml:space="preserve">Předcházející graf ukazuje </w:t>
      </w:r>
      <w:r>
        <w:t>poměrně</w:t>
      </w:r>
      <w:r w:rsidRPr="008A01F2">
        <w:t xml:space="preserve"> dobré hodnoty indexu provozních úspor</w:t>
      </w:r>
      <w:r>
        <w:t>, nedosahují však hodnot optimálních.</w:t>
      </w:r>
      <w:r w:rsidRPr="008A01F2">
        <w:t xml:space="preserve"> </w:t>
      </w:r>
      <w:r>
        <w:t xml:space="preserve">Přestože sdílené daně v roce 2018 vykázaly relativně nejvyšší růst v celém sledovaném období (75,1 mil. Kč, tj. 12,4 %) index poklesl, a to z důvodu </w:t>
      </w:r>
      <w:r w:rsidRPr="00926E22">
        <w:t>rychlejšího tempa růstu provozních výdajů. Pro vývoj indexu je tak zásadní vývoj provozního přebytku, resp. tempo růstu provozního rozpočtu. Poklesem hodnoty tohoto ukazatele v roce 2022 se budeme podrobněji zabývat v následujícím textu.</w:t>
      </w:r>
    </w:p>
    <w:p w:rsidR="00A63C37" w:rsidRPr="00B92DBB" w:rsidRDefault="00A63C37" w:rsidP="00A63C37">
      <w:r w:rsidRPr="00B92DBB">
        <w:t xml:space="preserve">Pro města s dluhovou službou je důležitým ukazatelem hospodaření </w:t>
      </w:r>
      <w:r w:rsidRPr="00B92DBB">
        <w:rPr>
          <w:b/>
        </w:rPr>
        <w:t>rozdíl provozního přebytku a splátek jistin</w:t>
      </w:r>
      <w:r w:rsidRPr="00B92DBB">
        <w:t>. Pro tento ukazatel platí stejné závěry jako pro provozní přebytek – jeho hodnoty by měly být vždy kladné, protože až po uhrazení splátek jistin v daném roce ukazatel vyjadřuje částku z provozního rozpočtu použitelnou na rozvoj města formou investičních výdajů</w:t>
      </w:r>
      <w:r w:rsidRPr="00941674">
        <w:t xml:space="preserve">. V analyzovaném období nabývá tento ukazatel </w:t>
      </w:r>
      <w:r>
        <w:t xml:space="preserve">vždy </w:t>
      </w:r>
      <w:r w:rsidRPr="00941674">
        <w:t>kladných hodnot.</w:t>
      </w:r>
    </w:p>
    <w:p w:rsidR="00A63C37" w:rsidRPr="00092667" w:rsidRDefault="00A63C37" w:rsidP="00A63C37">
      <w:r w:rsidRPr="00092667">
        <w:lastRenderedPageBreak/>
        <w:t xml:space="preserve">V rámci posouzení hospodaření v minulosti je důležité zaměřit se na plnění a vývoj běžných (provozních) příjmů a výdajů. Pro obecné posouzení dlouhodobé udržitelnosti hospodaření platí, že nárůst běžných příjmů by měl být vyšší než nárůst běžných výdajů. V období let </w:t>
      </w:r>
      <w:proofErr w:type="gramStart"/>
      <w:r>
        <w:t>2017 - 2021</w:t>
      </w:r>
      <w:proofErr w:type="gramEnd"/>
      <w:r w:rsidRPr="00092667">
        <w:t xml:space="preserve"> byl součet provozních příjmů </w:t>
      </w:r>
      <w:r>
        <w:t>5 523,1</w:t>
      </w:r>
      <w:r w:rsidRPr="00092667">
        <w:t xml:space="preserve"> mil. Kč, zatímco ve stejném období město utratilo na provozních výdajích </w:t>
      </w:r>
      <w:r>
        <w:t>4 547,8</w:t>
      </w:r>
      <w:r w:rsidRPr="00092667">
        <w:t xml:space="preserve"> mil. Kč. Jedna z podmínek udržitelného hospodaření </w:t>
      </w:r>
      <w:r>
        <w:t>byla</w:t>
      </w:r>
      <w:r w:rsidRPr="00094636">
        <w:t xml:space="preserve"> splněna.</w:t>
      </w:r>
    </w:p>
    <w:p w:rsidR="00A63C37" w:rsidRPr="004D0FAA" w:rsidRDefault="00A63C37" w:rsidP="00A63C37">
      <w:pPr>
        <w:pStyle w:val="Nadpis3"/>
      </w:pPr>
      <w:r w:rsidRPr="004D0FAA">
        <w:t>Posouzení krátkodobého plánování</w:t>
      </w:r>
    </w:p>
    <w:p w:rsidR="00A63C37" w:rsidRPr="00A54362" w:rsidRDefault="00E8249A" w:rsidP="00A63C37">
      <w:r>
        <w:rPr>
          <w:rFonts w:ascii="Verdana" w:hAnsi="Verdana"/>
          <w:noProof/>
          <w:sz w:val="19"/>
          <w:highlight w:val="cyan"/>
          <w:lang w:eastAsia="cs-CZ"/>
        </w:rPr>
        <mc:AlternateContent>
          <mc:Choice Requires="wps">
            <w:drawing>
              <wp:anchor distT="0" distB="0" distL="114300" distR="114300" simplePos="0" relativeHeight="251875840" behindDoc="0" locked="0" layoutInCell="1" allowOverlap="1">
                <wp:simplePos x="0" y="0"/>
                <wp:positionH relativeFrom="page">
                  <wp:posOffset>541655</wp:posOffset>
                </wp:positionH>
                <wp:positionV relativeFrom="paragraph">
                  <wp:posOffset>0</wp:posOffset>
                </wp:positionV>
                <wp:extent cx="1403985" cy="1148715"/>
                <wp:effectExtent l="0" t="0" r="0" b="0"/>
                <wp:wrapNone/>
                <wp:docPr id="722" name="Textové pole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03985" cy="1148715"/>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DA6167" w:rsidRPr="001B58F3" w:rsidRDefault="00DA6167" w:rsidP="00A63C37">
                            <w:pPr>
                              <w:jc w:val="left"/>
                              <w:rPr>
                                <w:rFonts w:cstheme="minorHAnsi"/>
                                <w:i/>
                                <w:sz w:val="20"/>
                                <w:szCs w:val="20"/>
                              </w:rPr>
                            </w:pPr>
                            <w:r w:rsidRPr="00FE6EB6">
                              <w:rPr>
                                <w:rStyle w:val="Odkaznakoment"/>
                                <w:rFonts w:cstheme="minorHAnsi"/>
                                <w:i/>
                                <w:sz w:val="20"/>
                                <w:szCs w:val="20"/>
                              </w:rPr>
                              <w:t>Oživení ekonomiky v roce 2021: růst daňových příjmů o</w:t>
                            </w:r>
                            <w:r w:rsidRPr="00122D55">
                              <w:rPr>
                                <w:rStyle w:val="Odkaznakoment"/>
                                <w:rFonts w:cstheme="minorHAnsi"/>
                                <w:i/>
                                <w:sz w:val="20"/>
                                <w:szCs w:val="20"/>
                              </w:rPr>
                              <w:t xml:space="preserve"> </w:t>
                            </w:r>
                            <w:r w:rsidRPr="00B7241E">
                              <w:rPr>
                                <w:i/>
                                <w:sz w:val="20"/>
                                <w:szCs w:val="20"/>
                              </w:rPr>
                              <w:t>85,1</w:t>
                            </w:r>
                            <w:r>
                              <w:rPr>
                                <w:rStyle w:val="Odkaznakoment"/>
                                <w:rFonts w:cstheme="minorHAnsi"/>
                                <w:i/>
                                <w:sz w:val="20"/>
                                <w:szCs w:val="20"/>
                              </w:rPr>
                              <w:t xml:space="preserve"> </w:t>
                            </w:r>
                            <w:r w:rsidRPr="00FE6EB6">
                              <w:rPr>
                                <w:rStyle w:val="Odkaznakoment"/>
                                <w:rFonts w:cstheme="minorHAnsi"/>
                                <w:i/>
                                <w:sz w:val="20"/>
                                <w:szCs w:val="20"/>
                              </w:rPr>
                              <w:t>mil. Kč.</w:t>
                            </w:r>
                          </w:p>
                          <w:p w:rsidR="00DA6167" w:rsidRPr="001B58F3" w:rsidRDefault="00DA6167" w:rsidP="00A63C37">
                            <w:pPr>
                              <w:spacing w:before="0"/>
                              <w:jc w:val="left"/>
                              <w:rPr>
                                <w:rFonts w:cstheme="minorHAnsi"/>
                                <w:i/>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margin">
                  <wp14:pctHeight>0</wp14:pctHeight>
                </wp14:sizeRelV>
              </wp:anchor>
            </w:drawing>
          </mc:Choice>
          <mc:Fallback>
            <w:pict>
              <v:shape id="_x0000_s1047" type="#_x0000_t202" style="position:absolute;left:0;text-align:left;margin-left:42.65pt;margin-top:0;width:110.55pt;height:90.45pt;z-index:251875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" fillcolor="white [3201]" stroked="f" strokeweight=".5pt">
                <v:path arrowok="t"/>
                <v:textbox inset="0,0,0,0">
                  <w:txbxContent>
                    <w:p w:rsidR="00DA6167" w:rsidRPr="001B58F3" w:rsidRDefault="00DA6167" w:rsidP="00A63C37">
                      <w:pPr>
                        <w:jc w:val="left"/>
                        <w:rPr>
                          <w:rFonts w:cstheme="minorHAnsi"/>
                          <w:i/>
                          <w:sz w:val="20"/>
                          <w:szCs w:val="20"/>
                        </w:rPr>
                      </w:pPr>
                      <w:r w:rsidRPr="00FE6EB6">
                        <w:rPr>
                          <w:rStyle w:val="Odkaznakoment"/>
                          <w:rFonts w:cstheme="minorHAnsi"/>
                          <w:i/>
                          <w:sz w:val="20"/>
                          <w:szCs w:val="20"/>
                        </w:rPr>
                        <w:t>Oživení ekonomiky v roce 2021: růst daňových příjmů o</w:t>
                      </w:r>
                      <w:r w:rsidRPr="00122D55">
                        <w:rPr>
                          <w:rStyle w:val="Odkaznakoment"/>
                          <w:rFonts w:cstheme="minorHAnsi"/>
                          <w:i/>
                          <w:sz w:val="20"/>
                          <w:szCs w:val="20"/>
                        </w:rPr>
                        <w:t xml:space="preserve"> </w:t>
                      </w:r>
                      <w:r w:rsidRPr="00B7241E">
                        <w:rPr>
                          <w:i/>
                          <w:sz w:val="20"/>
                          <w:szCs w:val="20"/>
                        </w:rPr>
                        <w:t>85,1</w:t>
                      </w:r>
                      <w:r>
                        <w:rPr>
                          <w:rStyle w:val="Odkaznakoment"/>
                          <w:rFonts w:cstheme="minorHAnsi"/>
                          <w:i/>
                          <w:sz w:val="20"/>
                          <w:szCs w:val="20"/>
                        </w:rPr>
                        <w:t xml:space="preserve"> </w:t>
                      </w:r>
                      <w:r w:rsidRPr="00FE6EB6">
                        <w:rPr>
                          <w:rStyle w:val="Odkaznakoment"/>
                          <w:rFonts w:cstheme="minorHAnsi"/>
                          <w:i/>
                          <w:sz w:val="20"/>
                          <w:szCs w:val="20"/>
                        </w:rPr>
                        <w:t>mil. Kč.</w:t>
                      </w:r>
                    </w:p>
                    <w:p w:rsidR="00DA6167" w:rsidRPr="001B58F3" w:rsidRDefault="00DA6167" w:rsidP="00A63C37">
                      <w:pPr>
                        <w:spacing w:before="0"/>
                        <w:jc w:val="left"/>
                        <w:rPr>
                          <w:rFonts w:cstheme="minorHAnsi"/>
                          <w:i/>
                          <w:sz w:val="20"/>
                          <w:szCs w:val="20"/>
                        </w:rPr>
                      </w:pPr>
                    </w:p>
                  </w:txbxContent>
                </v:textbox>
                <w10:wrap anchorx="page"/>
              </v:shape>
            </w:pict>
          </mc:Fallback>
        </mc:AlternateContent>
      </w:r>
      <w:r w:rsidR="00A63C37">
        <w:t>Růst</w:t>
      </w:r>
      <w:r w:rsidR="00A63C37" w:rsidRPr="00BD6885">
        <w:t xml:space="preserve"> objemu provozních příjmů od </w:t>
      </w:r>
      <w:r w:rsidR="00A63C37" w:rsidRPr="00A54362">
        <w:t>roku 2017 do roku 2021 byl 241,0 mil. Kč, zatímco provozní výdaje ve stejném období vzrostly o 195,2 mil. Kč. Je zřejmé, že objem prostředků v absolutním vyjádření ve sledovaném období roste, přičemž provozní příjmy rostly rychlejším tempem než provozní výdaje. Tento stav je platný i navzdory několikrát zmiňované pandemii a rostoucí inflaci. A také z tohoto důvodu byl rozpočet města schválen v tendencích minulých let.</w:t>
      </w:r>
    </w:p>
    <w:p w:rsidR="00A63C37" w:rsidRPr="00DC440E" w:rsidRDefault="00A63C37" w:rsidP="00A63C37">
      <w:r w:rsidRPr="00A54362">
        <w:t>Pokud ovšem zahrneme také hodnoty upraveného rozpočtu na rok 2022, evidujeme růst provozních příjmů od roku 2017 do roku 2022 o 290,9 mil. Kč, zatímco běžné výdaje vzrostou o 394,9 mil. Kč. Z tohoto důvodu také důležitý ukazatel provozního přebytku nabývá v rozpočtu snížených kladných</w:t>
      </w:r>
      <w:r w:rsidRPr="006044C6">
        <w:t xml:space="preserve"> hodnot (</w:t>
      </w:r>
      <w:r>
        <w:t>67,5</w:t>
      </w:r>
      <w:r w:rsidRPr="006044C6">
        <w:t xml:space="preserve"> mil. Kč). Pro</w:t>
      </w:r>
      <w:r w:rsidRPr="00BD6885">
        <w:t xml:space="preserve">tože se ale v roce </w:t>
      </w:r>
      <w:r>
        <w:t>2022 jedná o finanční plán v</w:t>
      </w:r>
      <w:r w:rsidRPr="00BD6885">
        <w:t> </w:t>
      </w:r>
      <w:r>
        <w:t>sedmém</w:t>
      </w:r>
      <w:r w:rsidRPr="00BD6885">
        <w:t xml:space="preserve"> měsíci rozpočtového roku, hodnoty nejsou konečné. Je třeba si uvědomit, že v průběhu rozpočtového roku dochází ke změnám rozpočtu, zejména v dotační oblasti, a tato skutečnost v konečném důsledku mění základní ekonomické ukazatele </w:t>
      </w:r>
      <w:r>
        <w:t xml:space="preserve">a tím i celkové </w:t>
      </w:r>
      <w:r w:rsidRPr="00512630">
        <w:t>hospodaření města. Hospodaření města bude ale nadále zejména ovlivňovat současná ekonomická krize zapříčiněná doznívající pandemii Covid-19, mezinárodní politická situace, ale</w:t>
      </w:r>
      <w:r w:rsidRPr="007604F7">
        <w:t xml:space="preserve"> také rostoucí inflace. Zásadní </w:t>
      </w:r>
      <w:r w:rsidRPr="00BD6885">
        <w:t xml:space="preserve">bude délka </w:t>
      </w:r>
      <w:r w:rsidRPr="009E2467">
        <w:t>trvání tohoto nepříznivého stavu. Jedinou</w:t>
      </w:r>
      <w:r w:rsidRPr="00BD6885">
        <w:t xml:space="preserve"> účinnou obranou</w:t>
      </w:r>
      <w:r>
        <w:t>,</w:t>
      </w:r>
      <w:r w:rsidRPr="00BD6885">
        <w:t xml:space="preserve"> jak neohrozit ekonomickou stabilitu města</w:t>
      </w:r>
      <w:r>
        <w:t>,</w:t>
      </w:r>
      <w:r w:rsidRPr="00BD6885">
        <w:t xml:space="preserve"> je důsledné monitorování příjmů (zejména sdílených daní) a jejich vyhodnocování vůči platnému </w:t>
      </w:r>
      <w:r w:rsidRPr="00DC440E">
        <w:t>rozpočtu a každou odchylku od rozpočtu se snažit co nejrychleji do něj implementovat.</w:t>
      </w:r>
    </w:p>
    <w:p w:rsidR="00A63C37" w:rsidRPr="00DC440E" w:rsidRDefault="00A63C37" w:rsidP="00A63C37">
      <w:pPr>
        <w:pStyle w:val="Tabulka"/>
      </w:pPr>
      <w:bookmarkStart w:id="53" w:name="_Toc428951044"/>
      <w:bookmarkStart w:id="54" w:name="_Toc55981699"/>
      <w:bookmarkStart w:id="55" w:name="_Toc118977786"/>
      <w:r w:rsidRPr="00DC440E">
        <w:t>Upravený rozpočet a skutečnost</w:t>
      </w:r>
      <w:bookmarkEnd w:id="53"/>
      <w:bookmarkEnd w:id="54"/>
      <w:r w:rsidRPr="00DC440E">
        <w:t xml:space="preserve"> minulého období</w:t>
      </w:r>
      <w:bookmarkEnd w:id="55"/>
    </w:p>
    <w:p w:rsidR="00A63C37" w:rsidRPr="004F4117" w:rsidRDefault="00A63C37" w:rsidP="00A63C37">
      <w:pPr>
        <w:pStyle w:val="Objekt"/>
        <w:rPr>
          <w:highlight w:val="yellow"/>
        </w:rPr>
      </w:pPr>
      <w:r w:rsidRPr="00DC440E">
        <w:rPr>
          <w:noProof/>
          <w:lang w:eastAsia="cs-CZ"/>
        </w:rPr>
        <w:drawing>
          <wp:inline distT="0" distB="0" distL="0" distR="0">
            <wp:extent cx="3528000" cy="694800"/>
            <wp:effectExtent l="0" t="0" r="0" b="0"/>
            <wp:docPr id="734" name="Obrázek 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528000" cy="694800"/>
                    </a:xfrm>
                    <a:prstGeom prst="rect">
                      <a:avLst/>
                    </a:prstGeom>
                    <a:noFill/>
                    <a:ln>
                      <a:noFill/>
                    </a:ln>
                  </pic:spPr>
                </pic:pic>
              </a:graphicData>
            </a:graphic>
          </wp:inline>
        </w:drawing>
      </w:r>
    </w:p>
    <w:p w:rsidR="00A63C37" w:rsidRDefault="00A63C37" w:rsidP="00A63C37">
      <w:pPr>
        <w:pStyle w:val="Poznmka"/>
      </w:pPr>
      <w:r>
        <w:t>Poznámka: H</w:t>
      </w:r>
      <w:r w:rsidRPr="00522B81">
        <w:t xml:space="preserve">odnoty upraveného rozpočtu jsou za </w:t>
      </w:r>
      <w:r>
        <w:t>červenec</w:t>
      </w:r>
      <w:r w:rsidRPr="00522B81">
        <w:t xml:space="preserve"> jednotlivých let</w:t>
      </w:r>
    </w:p>
    <w:p w:rsidR="00A63C37" w:rsidRPr="00522B81" w:rsidRDefault="00A63C37" w:rsidP="00A63C37">
      <w:pPr>
        <w:pStyle w:val="Poznmka"/>
      </w:pPr>
      <w:r>
        <w:t xml:space="preserve">*) Hodnoty nedaňových příjmů jsou očištěny o hodnoty </w:t>
      </w:r>
      <w:r w:rsidRPr="00DC440E">
        <w:t xml:space="preserve">očekávaných investičních dotací </w:t>
      </w:r>
      <w:r>
        <w:t xml:space="preserve">na položce </w:t>
      </w:r>
      <w:r w:rsidRPr="00DC440E">
        <w:t xml:space="preserve">Ostatní nedaňové příjmy jinde nezařazené </w:t>
      </w:r>
      <w:r>
        <w:t>(pol. 2329)</w:t>
      </w:r>
    </w:p>
    <w:p w:rsidR="00A63C37" w:rsidRPr="004B4DD5" w:rsidRDefault="00A63C37" w:rsidP="00A63C37">
      <w:r w:rsidRPr="00347EF2">
        <w:t>Dokladem</w:t>
      </w:r>
      <w:r>
        <w:t xml:space="preserve"> zlepšeného </w:t>
      </w:r>
      <w:r w:rsidRPr="004B151C">
        <w:t>plnění rozpočtu v průběhu roku jsou hodnoty zobrazené v předcházející tabulce. Největší rozdíl mezi skutečnou hodnotou na konci roku a rozpočtovanou částkou v průměru dosahují neinvestiční transfery (+35,2 %). Je to z důvodu nemožnosti rozpočtovat tyto hodnoty do obdržení rozhodnutí o přidělení dotace. Mírně zlepšené plnění</w:t>
      </w:r>
      <w:r w:rsidRPr="00462E68">
        <w:t xml:space="preserve"> </w:t>
      </w:r>
      <w:r>
        <w:t xml:space="preserve">je možné sledovat také u příjmů </w:t>
      </w:r>
      <w:r w:rsidRPr="00462E68">
        <w:t>daňov</w:t>
      </w:r>
      <w:r>
        <w:t>ých</w:t>
      </w:r>
      <w:r w:rsidRPr="00462E68">
        <w:t xml:space="preserve"> (</w:t>
      </w:r>
      <w:r>
        <w:t>+1,9 %</w:t>
      </w:r>
      <w:r w:rsidRPr="00462E68">
        <w:t>)</w:t>
      </w:r>
      <w:r>
        <w:t xml:space="preserve"> a nedaňových </w:t>
      </w:r>
      <w:r w:rsidRPr="00462E68">
        <w:t>(</w:t>
      </w:r>
      <w:r>
        <w:t>+0,6 %</w:t>
      </w:r>
      <w:r w:rsidRPr="00462E68">
        <w:t>)</w:t>
      </w:r>
      <w:r>
        <w:t>.</w:t>
      </w:r>
      <w:r w:rsidRPr="00462E68">
        <w:t xml:space="preserve"> Kapitálová</w:t>
      </w:r>
      <w:r>
        <w:t xml:space="preserve"> část rozpočtu není uváděna záměrně, protože při porovnání rozpočtu se skutečností zpravidla dochází k </w:t>
      </w:r>
      <w:r w:rsidRPr="004B4DD5">
        <w:t>velk</w:t>
      </w:r>
      <w:r>
        <w:t xml:space="preserve">ým </w:t>
      </w:r>
      <w:r w:rsidRPr="004B4DD5">
        <w:t>rozdí</w:t>
      </w:r>
      <w:r>
        <w:t>lům</w:t>
      </w:r>
      <w:r w:rsidRPr="004B4DD5">
        <w:t xml:space="preserve"> </w:t>
      </w:r>
      <w:r>
        <w:t xml:space="preserve">v </w:t>
      </w:r>
      <w:r w:rsidRPr="004B4DD5">
        <w:t>důsledk</w:t>
      </w:r>
      <w:r>
        <w:t>u</w:t>
      </w:r>
      <w:r w:rsidRPr="004B4DD5">
        <w:t xml:space="preserve"> celé řady okolností v oblasti příprav, realizace i změn v</w:t>
      </w:r>
      <w:r>
        <w:t xml:space="preserve"> investičních </w:t>
      </w:r>
      <w:r w:rsidRPr="004B4DD5">
        <w:t>prioritách během roku.</w:t>
      </w:r>
    </w:p>
    <w:p w:rsidR="00A63C37" w:rsidRDefault="00A63C37" w:rsidP="00A63C37">
      <w:r w:rsidRPr="004B151C">
        <w:lastRenderedPageBreak/>
        <w:t xml:space="preserve">Porovnání upraveného rozpočtu za stejné období s účetními výsledky v rámci minulých let pak poukazuje na skutečnost, že platný rozpočet odráží určitou míru </w:t>
      </w:r>
      <w:proofErr w:type="gramStart"/>
      <w:r w:rsidRPr="004B151C">
        <w:t>opatrnosti</w:t>
      </w:r>
      <w:proofErr w:type="gramEnd"/>
      <w:r w:rsidRPr="004B151C">
        <w:t xml:space="preserve"> a tudíž plánované běžné příjmy jsou podhodnocené (v průměru o </w:t>
      </w:r>
      <w:r>
        <w:t>5,8</w:t>
      </w:r>
      <w:r w:rsidRPr="004B151C">
        <w:t xml:space="preserve"> %)</w:t>
      </w:r>
      <w:r>
        <w:t>, a</w:t>
      </w:r>
      <w:r w:rsidRPr="004B151C">
        <w:t xml:space="preserve"> běžné výdaje nadhodnocené </w:t>
      </w:r>
      <w:r>
        <w:t>(</w:t>
      </w:r>
      <w:r w:rsidRPr="004B151C">
        <w:t>v průměru o 10,1 %</w:t>
      </w:r>
      <w:r>
        <w:t>)</w:t>
      </w:r>
      <w:r w:rsidRPr="004B151C">
        <w:t>.</w:t>
      </w:r>
    </w:p>
    <w:p w:rsidR="00A63C37" w:rsidRPr="004A2C27" w:rsidRDefault="00A63C37" w:rsidP="00A63C37">
      <w:r w:rsidRPr="004B151C">
        <w:t xml:space="preserve">Hodnoty ukazatelů v roce 2020 a 2021 jsou ovlivněny pandemickou krizí, která propukla v březnu roku 2020. Proto samozřejmě schválený rozpočet nemohl s touto situací </w:t>
      </w:r>
      <w:proofErr w:type="gramStart"/>
      <w:r w:rsidRPr="004B151C">
        <w:t>počítat</w:t>
      </w:r>
      <w:proofErr w:type="gramEnd"/>
      <w:r w:rsidRPr="004B151C">
        <w:t xml:space="preserve"> a tudíž hodnoty zejména provozních výdajů se jeví jako podhodnocené. Výše neinvestičních transferů je pak ovlivněna výplatou kompenzačního bonusu, který částečně eliminoval pokles na položce 1111 (</w:t>
      </w:r>
      <w:proofErr w:type="spellStart"/>
      <w:r w:rsidRPr="004B151C">
        <w:t>DPFO</w:t>
      </w:r>
      <w:r w:rsidRPr="004B151C">
        <w:rPr>
          <w:vertAlign w:val="subscript"/>
        </w:rPr>
        <w:t>zč</w:t>
      </w:r>
      <w:proofErr w:type="spellEnd"/>
      <w:r w:rsidRPr="004B151C">
        <w:t>).</w:t>
      </w:r>
    </w:p>
    <w:p w:rsidR="00A63C37" w:rsidRPr="00CB6EE3" w:rsidRDefault="00E8249A" w:rsidP="00A63C37">
      <w:r>
        <w:rPr>
          <w:rFonts w:ascii="Verdana" w:hAnsi="Verdana"/>
          <w:noProof/>
          <w:sz w:val="19"/>
          <w:highlight w:val="cyan"/>
          <w:lang w:eastAsia="cs-CZ"/>
        </w:rPr>
        <mc:AlternateContent>
          <mc:Choice Requires="wps">
            <w:drawing>
              <wp:anchor distT="0" distB="0" distL="114300" distR="114300" simplePos="0" relativeHeight="251880960" behindDoc="0" locked="0" layoutInCell="1" allowOverlap="1">
                <wp:simplePos x="0" y="0"/>
                <wp:positionH relativeFrom="page">
                  <wp:posOffset>540385</wp:posOffset>
                </wp:positionH>
                <wp:positionV relativeFrom="paragraph">
                  <wp:posOffset>0</wp:posOffset>
                </wp:positionV>
                <wp:extent cx="1403985" cy="1015365"/>
                <wp:effectExtent l="0" t="0" r="0" b="0"/>
                <wp:wrapNone/>
                <wp:docPr id="749" name="Textové pole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03985" cy="1015365"/>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DA6167" w:rsidRPr="001B58F3" w:rsidRDefault="00DA6167" w:rsidP="00A63C37">
                            <w:pPr>
                              <w:spacing w:before="0"/>
                              <w:jc w:val="left"/>
                              <w:rPr>
                                <w:rFonts w:cstheme="minorHAnsi"/>
                                <w:i/>
                                <w:sz w:val="20"/>
                                <w:szCs w:val="20"/>
                              </w:rPr>
                            </w:pPr>
                            <w:r>
                              <w:rPr>
                                <w:rStyle w:val="Odkaznakoment"/>
                                <w:rFonts w:cstheme="minorHAnsi"/>
                                <w:i/>
                                <w:sz w:val="20"/>
                                <w:szCs w:val="20"/>
                              </w:rPr>
                              <w:t xml:space="preserve">Nutný </w:t>
                            </w:r>
                            <w:r w:rsidRPr="00152853">
                              <w:rPr>
                                <w:rStyle w:val="Odkaznakoment"/>
                                <w:rFonts w:cstheme="minorHAnsi"/>
                                <w:b/>
                                <w:i/>
                                <w:sz w:val="20"/>
                                <w:szCs w:val="20"/>
                              </w:rPr>
                              <w:t>důsledný</w:t>
                            </w:r>
                            <w:r>
                              <w:rPr>
                                <w:rStyle w:val="Odkaznakoment"/>
                                <w:rFonts w:cstheme="minorHAnsi"/>
                                <w:i/>
                                <w:sz w:val="20"/>
                                <w:szCs w:val="20"/>
                              </w:rPr>
                              <w:t xml:space="preserve"> monitoring plnění rozpočtu – </w:t>
                            </w:r>
                            <w:r w:rsidRPr="00152853">
                              <w:rPr>
                                <w:rStyle w:val="Odkaznakoment"/>
                                <w:rFonts w:cstheme="minorHAnsi"/>
                                <w:b/>
                                <w:i/>
                                <w:sz w:val="20"/>
                                <w:szCs w:val="20"/>
                              </w:rPr>
                              <w:t>okamžité</w:t>
                            </w:r>
                            <w:r>
                              <w:rPr>
                                <w:rStyle w:val="Odkaznakoment"/>
                                <w:rFonts w:cstheme="minorHAnsi"/>
                                <w:i/>
                                <w:sz w:val="20"/>
                                <w:szCs w:val="20"/>
                              </w:rPr>
                              <w:t xml:space="preserve"> reagování na odchylky od platného rozpočtu.</w:t>
                            </w:r>
                          </w:p>
                        </w:txbxContent>
                      </wps:txbx>
                      <wps:bodyPr rot="0" vert="horz" wrap="square" lIns="0" tIns="0" rIns="0" bIns="0" anchor="t" anchorCtr="0" upright="1">
                        <a:noAutofit/>
                      </wps:bodyPr>
                    </wps:wsp>
                  </a:graphicData>
                </a:graphic>
                <wp14:sizeRelH relativeFrom="page">
                  <wp14:pctWidth>0</wp14:pctWidth>
                </wp14:sizeRelH>
                <wp14:sizeRelV relativeFrom="margin">
                  <wp14:pctHeight>0</wp14:pctHeight>
                </wp14:sizeRelV>
              </wp:anchor>
            </w:drawing>
          </mc:Choice>
          <mc:Fallback>
            <w:pict>
              <v:shape id="_x0000_s1048" type="#_x0000_t202" style="position:absolute;left:0;text-align:left;margin-left:42.55pt;margin-top:0;width:110.55pt;height:79.95pt;z-index:251880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" fillcolor="white [3201]" stroked="f" strokeweight=".5pt">
                <v:path arrowok="t"/>
                <v:textbox inset="0,0,0,0">
                  <w:txbxContent>
                    <w:p w:rsidR="00DA6167" w:rsidRPr="001B58F3" w:rsidRDefault="00DA6167" w:rsidP="00A63C37">
                      <w:pPr>
                        <w:spacing w:before="0"/>
                        <w:jc w:val="left"/>
                        <w:rPr>
                          <w:rFonts w:cstheme="minorHAnsi"/>
                          <w:i/>
                          <w:sz w:val="20"/>
                          <w:szCs w:val="20"/>
                        </w:rPr>
                      </w:pPr>
                      <w:r>
                        <w:rPr>
                          <w:rStyle w:val="Odkaznakoment"/>
                          <w:rFonts w:cstheme="minorHAnsi"/>
                          <w:i/>
                          <w:sz w:val="20"/>
                          <w:szCs w:val="20"/>
                        </w:rPr>
                        <w:t xml:space="preserve">Nutný </w:t>
                      </w:r>
                      <w:r w:rsidRPr="00152853">
                        <w:rPr>
                          <w:rStyle w:val="Odkaznakoment"/>
                          <w:rFonts w:cstheme="minorHAnsi"/>
                          <w:b/>
                          <w:i/>
                          <w:sz w:val="20"/>
                          <w:szCs w:val="20"/>
                        </w:rPr>
                        <w:t>důsledný</w:t>
                      </w:r>
                      <w:r>
                        <w:rPr>
                          <w:rStyle w:val="Odkaznakoment"/>
                          <w:rFonts w:cstheme="minorHAnsi"/>
                          <w:i/>
                          <w:sz w:val="20"/>
                          <w:szCs w:val="20"/>
                        </w:rPr>
                        <w:t xml:space="preserve"> monitoring plnění rozpočtu – </w:t>
                      </w:r>
                      <w:r w:rsidRPr="00152853">
                        <w:rPr>
                          <w:rStyle w:val="Odkaznakoment"/>
                          <w:rFonts w:cstheme="minorHAnsi"/>
                          <w:b/>
                          <w:i/>
                          <w:sz w:val="20"/>
                          <w:szCs w:val="20"/>
                        </w:rPr>
                        <w:t>okamžité</w:t>
                      </w:r>
                      <w:r>
                        <w:rPr>
                          <w:rStyle w:val="Odkaznakoment"/>
                          <w:rFonts w:cstheme="minorHAnsi"/>
                          <w:i/>
                          <w:sz w:val="20"/>
                          <w:szCs w:val="20"/>
                        </w:rPr>
                        <w:t xml:space="preserve"> reagování na odchylky od platného rozpočtu.</w:t>
                      </w:r>
                    </w:p>
                  </w:txbxContent>
                </v:textbox>
                <w10:wrap anchorx="page"/>
              </v:shape>
            </w:pict>
          </mc:Fallback>
        </mc:AlternateContent>
      </w:r>
      <w:r w:rsidR="00A63C37" w:rsidRPr="00CB6EE3">
        <w:t>Už při sestavování rozpočtu je proto nutné dodržovat pravidlo rychlejšího růstu běžných příjmů než provozních výdajů. Opačný případ, kdy běžné výdaje rostou rychleji než běžné příjmy, je dlouhodobě neudržitelný.</w:t>
      </w:r>
    </w:p>
    <w:p w:rsidR="00A63C37" w:rsidRPr="00493382" w:rsidRDefault="00A63C37" w:rsidP="00A63C37">
      <w:pPr>
        <w:pStyle w:val="Nadpis2"/>
      </w:pPr>
      <w:bookmarkStart w:id="56" w:name="_Toc62211718"/>
      <w:bookmarkStart w:id="57" w:name="_Toc118978216"/>
      <w:r w:rsidRPr="00493382">
        <w:t>Monitoring hospodaření</w:t>
      </w:r>
      <w:bookmarkEnd w:id="56"/>
      <w:bookmarkEnd w:id="57"/>
    </w:p>
    <w:p w:rsidR="00A63C37" w:rsidRPr="00493382" w:rsidRDefault="00A63C37" w:rsidP="00A63C37">
      <w:r w:rsidRPr="00493382">
        <w:t xml:space="preserve">S cílem zabezpečit rozpočtovou disciplínu, omezit dlouhodobě deficitní hospodaření financované z cizích zdrojů a posílit spoluzodpovědnost za vývoj veřejných financí, byl s účinností od roku 2018 přijat zákon č. 23/2017 Sb., o pravidlech rozpočtové odpovědnosti. Zákon </w:t>
      </w:r>
      <w:r w:rsidRPr="00493382">
        <w:rPr>
          <w:bCs/>
        </w:rPr>
        <w:t>mimo jiné</w:t>
      </w:r>
      <w:r w:rsidRPr="00493382">
        <w:rPr>
          <w:b/>
          <w:bCs/>
        </w:rPr>
        <w:t xml:space="preserve"> </w:t>
      </w:r>
      <w:r w:rsidRPr="00493382">
        <w:t>definuje tzv. fiskální pravidlo, podle kterého musí ÚSC hospodařit tak, aby výše jeho dluhu nepřesáhla 60 % průměru jeho příjmů za poslední 4 rozpočtové roky. Pokud je tato hranice překročena:</w:t>
      </w:r>
    </w:p>
    <w:p w:rsidR="00A63C37" w:rsidRPr="00493382" w:rsidRDefault="00A63C37" w:rsidP="00A63C37">
      <w:pPr>
        <w:pStyle w:val="Kaskda0"/>
        <w:numPr>
          <w:ilvl w:val="0"/>
          <w:numId w:val="39"/>
        </w:numPr>
      </w:pPr>
      <w:r w:rsidRPr="00493382">
        <w:t xml:space="preserve">ÚSC má povinnost postupně splácet předchozí </w:t>
      </w:r>
      <w:r w:rsidRPr="007604F7">
        <w:t>dluhy ve výši nejméně 5 % z rozdílu mezi výší dluhu a 60 % jeho průměrných příjmů za poslední</w:t>
      </w:r>
      <w:r w:rsidRPr="00493382">
        <w:t xml:space="preserve"> 4 rozpočtové roky.</w:t>
      </w:r>
    </w:p>
    <w:p w:rsidR="00A63C37" w:rsidRPr="004D0FAA" w:rsidRDefault="00A63C37" w:rsidP="00A63C37">
      <w:pPr>
        <w:pStyle w:val="Kaskda0"/>
        <w:numPr>
          <w:ilvl w:val="0"/>
          <w:numId w:val="39"/>
        </w:numPr>
      </w:pPr>
      <w:r w:rsidRPr="00493382">
        <w:t>Pokud ÚSC nesnižuje dluhy alespoň o zákonné minimum, MF ČR v následujícím kalendářním roce rozhodne o pozastavení převodu jeho podílu na výnosu daní.</w:t>
      </w:r>
    </w:p>
    <w:bookmarkStart w:id="58" w:name="_Toc118977787"/>
    <w:p w:rsidR="00A63C37" w:rsidRPr="007F7EE4" w:rsidRDefault="00E8249A" w:rsidP="00A63C37">
      <w:pPr>
        <w:pStyle w:val="Tabulka"/>
      </w:pPr>
      <w:r>
        <w:rPr>
          <w:rFonts w:ascii="Verdana" w:hAnsi="Verdana"/>
          <w:noProof/>
          <w:sz w:val="19"/>
          <w:highlight w:val="cyan"/>
          <w:lang w:eastAsia="cs-CZ"/>
        </w:rPr>
        <mc:AlternateContent>
          <mc:Choice Requires="wps">
            <w:drawing>
              <wp:anchor distT="0" distB="0" distL="114300" distR="114300" simplePos="0" relativeHeight="251876864" behindDoc="0" locked="0" layoutInCell="1" allowOverlap="1">
                <wp:simplePos x="0" y="0"/>
                <wp:positionH relativeFrom="page">
                  <wp:posOffset>541655</wp:posOffset>
                </wp:positionH>
                <wp:positionV relativeFrom="paragraph">
                  <wp:posOffset>0</wp:posOffset>
                </wp:positionV>
                <wp:extent cx="1403985" cy="849630"/>
                <wp:effectExtent l="0" t="0" r="0" b="0"/>
                <wp:wrapNone/>
                <wp:docPr id="724" name="Textové pole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03985" cy="849630"/>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DA6167" w:rsidRPr="00855C6C" w:rsidRDefault="00DA6167" w:rsidP="00A63C37">
                            <w:pPr>
                              <w:spacing w:after="0"/>
                              <w:jc w:val="left"/>
                              <w:rPr>
                                <w:rStyle w:val="Odkaznakoment"/>
                                <w:rFonts w:cstheme="minorHAnsi"/>
                                <w:i/>
                                <w:sz w:val="20"/>
                                <w:szCs w:val="20"/>
                              </w:rPr>
                            </w:pPr>
                            <w:r>
                              <w:rPr>
                                <w:rStyle w:val="Odkaznakoment"/>
                                <w:rFonts w:cstheme="minorHAnsi"/>
                                <w:i/>
                                <w:sz w:val="20"/>
                                <w:szCs w:val="20"/>
                              </w:rPr>
                              <w:t>Z pohledu pravidla rozpočtové odpovědnosti je strop pro výši dluhu v </w:t>
                            </w:r>
                            <w:r w:rsidRPr="00855C6C">
                              <w:rPr>
                                <w:rStyle w:val="Odkaznakoment"/>
                                <w:rFonts w:cstheme="minorHAnsi"/>
                                <w:i/>
                                <w:sz w:val="20"/>
                                <w:szCs w:val="20"/>
                              </w:rPr>
                              <w:t xml:space="preserve">roce </w:t>
                            </w:r>
                            <w:r w:rsidRPr="00B7241E">
                              <w:rPr>
                                <w:i/>
                                <w:sz w:val="20"/>
                                <w:szCs w:val="20"/>
                              </w:rPr>
                              <w:t>2022</w:t>
                            </w:r>
                          </w:p>
                          <w:p w:rsidR="00DA6167" w:rsidRPr="00741CB5" w:rsidRDefault="00DA6167" w:rsidP="00A63C37">
                            <w:pPr>
                              <w:spacing w:before="0" w:after="0"/>
                              <w:rPr>
                                <w:b/>
                                <w:i/>
                                <w:color w:val="548DD4" w:themeColor="text2" w:themeTint="99"/>
                                <w:sz w:val="28"/>
                                <w:szCs w:val="28"/>
                              </w:rPr>
                            </w:pPr>
                            <w:r w:rsidRPr="00B7241E">
                              <w:rPr>
                                <w:b/>
                                <w:i/>
                                <w:color w:val="548DD4" w:themeColor="text2" w:themeTint="99"/>
                                <w:sz w:val="28"/>
                                <w:szCs w:val="28"/>
                              </w:rPr>
                              <w:t>748,0</w:t>
                            </w:r>
                            <w:r w:rsidRPr="00855C6C">
                              <w:rPr>
                                <w:b/>
                                <w:color w:val="548DD4" w:themeColor="text2" w:themeTint="99"/>
                                <w:sz w:val="28"/>
                                <w:szCs w:val="28"/>
                              </w:rPr>
                              <w:t xml:space="preserve"> </w:t>
                            </w:r>
                            <w:r w:rsidRPr="00855C6C">
                              <w:rPr>
                                <w:b/>
                                <w:i/>
                                <w:color w:val="548DD4" w:themeColor="text2" w:themeTint="99"/>
                                <w:sz w:val="28"/>
                                <w:szCs w:val="28"/>
                              </w:rPr>
                              <w:t>mil. Kč</w:t>
                            </w:r>
                          </w:p>
                          <w:p w:rsidR="00DA6167" w:rsidRPr="001B58F3" w:rsidRDefault="00DA6167" w:rsidP="00A63C37">
                            <w:pPr>
                              <w:spacing w:after="0"/>
                              <w:jc w:val="left"/>
                              <w:rPr>
                                <w:rFonts w:cstheme="minorHAnsi"/>
                                <w:i/>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margin">
                  <wp14:pctHeight>0</wp14:pctHeight>
                </wp14:sizeRelV>
              </wp:anchor>
            </w:drawing>
          </mc:Choice>
          <mc:Fallback>
            <w:pict>
              <v:shape id="_x0000_s1049" type="#_x0000_t202" style="position:absolute;left:0;text-align:left;margin-left:42.65pt;margin-top:0;width:110.55pt;height:66.9pt;z-index:251876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" fillcolor="white [3201]" stroked="f" strokeweight=".5pt">
                <v:path arrowok="t"/>
                <v:textbox inset="0,0,0,0">
                  <w:txbxContent>
                    <w:p w:rsidR="00DA6167" w:rsidRPr="00855C6C" w:rsidRDefault="00DA6167" w:rsidP="00A63C37">
                      <w:pPr>
                        <w:spacing w:after="0"/>
                        <w:jc w:val="left"/>
                        <w:rPr>
                          <w:rStyle w:val="Odkaznakoment"/>
                          <w:rFonts w:cstheme="minorHAnsi"/>
                          <w:i/>
                          <w:sz w:val="20"/>
                          <w:szCs w:val="20"/>
                        </w:rPr>
                      </w:pPr>
                      <w:r>
                        <w:rPr>
                          <w:rStyle w:val="Odkaznakoment"/>
                          <w:rFonts w:cstheme="minorHAnsi"/>
                          <w:i/>
                          <w:sz w:val="20"/>
                          <w:szCs w:val="20"/>
                        </w:rPr>
                        <w:t>Z pohledu pravidla rozpočtové odpovědnosti je strop pro výši dluhu v </w:t>
                      </w:r>
                      <w:r w:rsidRPr="00855C6C">
                        <w:rPr>
                          <w:rStyle w:val="Odkaznakoment"/>
                          <w:rFonts w:cstheme="minorHAnsi"/>
                          <w:i/>
                          <w:sz w:val="20"/>
                          <w:szCs w:val="20"/>
                        </w:rPr>
                        <w:t xml:space="preserve">roce </w:t>
                      </w:r>
                      <w:r w:rsidRPr="00B7241E">
                        <w:rPr>
                          <w:i/>
                          <w:sz w:val="20"/>
                          <w:szCs w:val="20"/>
                        </w:rPr>
                        <w:t>2022</w:t>
                      </w:r>
                    </w:p>
                    <w:p w:rsidR="00DA6167" w:rsidRPr="00741CB5" w:rsidRDefault="00DA6167" w:rsidP="00A63C37">
                      <w:pPr>
                        <w:spacing w:before="0" w:after="0"/>
                        <w:rPr>
                          <w:b/>
                          <w:i/>
                          <w:color w:val="548DD4" w:themeColor="text2" w:themeTint="99"/>
                          <w:sz w:val="28"/>
                          <w:szCs w:val="28"/>
                        </w:rPr>
                      </w:pPr>
                      <w:r w:rsidRPr="00B7241E">
                        <w:rPr>
                          <w:b/>
                          <w:i/>
                          <w:color w:val="548DD4" w:themeColor="text2" w:themeTint="99"/>
                          <w:sz w:val="28"/>
                          <w:szCs w:val="28"/>
                        </w:rPr>
                        <w:t>748,0</w:t>
                      </w:r>
                      <w:r w:rsidRPr="00855C6C">
                        <w:rPr>
                          <w:b/>
                          <w:color w:val="548DD4" w:themeColor="text2" w:themeTint="99"/>
                          <w:sz w:val="28"/>
                          <w:szCs w:val="28"/>
                        </w:rPr>
                        <w:t xml:space="preserve"> </w:t>
                      </w:r>
                      <w:r w:rsidRPr="00855C6C">
                        <w:rPr>
                          <w:b/>
                          <w:i/>
                          <w:color w:val="548DD4" w:themeColor="text2" w:themeTint="99"/>
                          <w:sz w:val="28"/>
                          <w:szCs w:val="28"/>
                        </w:rPr>
                        <w:t>mil. Kč</w:t>
                      </w:r>
                    </w:p>
                    <w:p w:rsidR="00DA6167" w:rsidRPr="001B58F3" w:rsidRDefault="00DA6167" w:rsidP="00A63C37">
                      <w:pPr>
                        <w:spacing w:after="0"/>
                        <w:jc w:val="left"/>
                        <w:rPr>
                          <w:rFonts w:cstheme="minorHAnsi"/>
                          <w:i/>
                          <w:sz w:val="20"/>
                          <w:szCs w:val="20"/>
                        </w:rPr>
                      </w:pPr>
                    </w:p>
                  </w:txbxContent>
                </v:textbox>
                <w10:wrap anchorx="page"/>
              </v:shape>
            </w:pict>
          </mc:Fallback>
        </mc:AlternateContent>
      </w:r>
      <w:r w:rsidR="00A63C37">
        <w:t>Fiskální pravidlo hospodaření</w:t>
      </w:r>
      <w:bookmarkEnd w:id="58"/>
    </w:p>
    <w:p w:rsidR="00A63C37" w:rsidRPr="004F4117" w:rsidRDefault="00A63C37" w:rsidP="00A63C37">
      <w:pPr>
        <w:pStyle w:val="Objekt"/>
        <w:rPr>
          <w:highlight w:val="yellow"/>
        </w:rPr>
      </w:pPr>
      <w:r w:rsidRPr="00285D17">
        <w:rPr>
          <w:noProof/>
          <w:lang w:eastAsia="cs-CZ"/>
        </w:rPr>
        <w:drawing>
          <wp:inline distT="0" distB="0" distL="0" distR="0">
            <wp:extent cx="2174400" cy="619200"/>
            <wp:effectExtent l="0" t="0" r="0" b="9525"/>
            <wp:docPr id="63" name="Obráze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174400" cy="619200"/>
                    </a:xfrm>
                    <a:prstGeom prst="rect">
                      <a:avLst/>
                    </a:prstGeom>
                    <a:noFill/>
                    <a:ln>
                      <a:noFill/>
                    </a:ln>
                  </pic:spPr>
                </pic:pic>
              </a:graphicData>
            </a:graphic>
          </wp:inline>
        </w:drawing>
      </w:r>
    </w:p>
    <w:p w:rsidR="00A63C37" w:rsidRPr="00347EF2" w:rsidRDefault="00A63C37" w:rsidP="00A63C37">
      <w:r w:rsidRPr="004D0FAA">
        <w:t xml:space="preserve">Z výše uvedené tabulky je zřejmé, že dluh </w:t>
      </w:r>
      <w:r>
        <w:t>města</w:t>
      </w:r>
      <w:r w:rsidRPr="004D0FAA">
        <w:t xml:space="preserve"> </w:t>
      </w:r>
      <w:r>
        <w:t>nepřesahuje</w:t>
      </w:r>
      <w:r w:rsidRPr="004D0FAA">
        <w:t xml:space="preserve"> povolenou 60% hranici. Strop</w:t>
      </w:r>
      <w:r w:rsidRPr="00347EF2">
        <w:t xml:space="preserve"> pro výši dluhu je </w:t>
      </w:r>
      <w:r>
        <w:t>723,2</w:t>
      </w:r>
      <w:r w:rsidRPr="00347EF2">
        <w:t xml:space="preserve"> mil. Kč (</w:t>
      </w:r>
      <w:r>
        <w:t>2021</w:t>
      </w:r>
      <w:r w:rsidRPr="00347EF2">
        <w:t xml:space="preserve">) a </w:t>
      </w:r>
      <w:r>
        <w:t xml:space="preserve">748,0 </w:t>
      </w:r>
      <w:r w:rsidRPr="00347EF2">
        <w:t>mil. Kč (</w:t>
      </w:r>
      <w:r>
        <w:t>2022</w:t>
      </w:r>
      <w:r w:rsidRPr="00347EF2">
        <w:t>).</w:t>
      </w:r>
    </w:p>
    <w:p w:rsidR="00A63C37" w:rsidRPr="00493382" w:rsidRDefault="00A63C37" w:rsidP="00A63C37">
      <w:r w:rsidRPr="00493382">
        <w:t>Pravidlo rozpočtové odpovědnosti je jedním ze tří monitorujících ukazatelů Ministerstva financí ČR. Zbylými dvěma jsou:</w:t>
      </w:r>
    </w:p>
    <w:p w:rsidR="00A63C37" w:rsidRPr="00493382" w:rsidRDefault="00A63C37" w:rsidP="00A63C37">
      <w:pPr>
        <w:pStyle w:val="Kaskda0"/>
        <w:numPr>
          <w:ilvl w:val="0"/>
          <w:numId w:val="40"/>
        </w:numPr>
      </w:pPr>
      <w:r w:rsidRPr="00493382">
        <w:rPr>
          <w:b/>
        </w:rPr>
        <w:t xml:space="preserve">Podíl cizích zdrojů k celkovým </w:t>
      </w:r>
      <w:proofErr w:type="gramStart"/>
      <w:r w:rsidRPr="00493382">
        <w:rPr>
          <w:b/>
        </w:rPr>
        <w:t>aktivům -</w:t>
      </w:r>
      <w:r w:rsidRPr="00493382">
        <w:t xml:space="preserve"> Ukazatel</w:t>
      </w:r>
      <w:proofErr w:type="gramEnd"/>
      <w:r w:rsidRPr="00493382">
        <w:t xml:space="preserve"> vyjadřuje poměr zadlužení k celkovému majetku ÚSC. Za rizikovou hodnotu je považován ukazatel vyšší než 25 %.</w:t>
      </w:r>
    </w:p>
    <w:p w:rsidR="00A63C37" w:rsidRPr="00493382" w:rsidRDefault="00A63C37" w:rsidP="00A63C37">
      <w:pPr>
        <w:pStyle w:val="Kaskda0"/>
        <w:numPr>
          <w:ilvl w:val="0"/>
          <w:numId w:val="40"/>
        </w:numPr>
      </w:pPr>
      <w:r w:rsidRPr="00493382">
        <w:rPr>
          <w:b/>
        </w:rPr>
        <w:t xml:space="preserve">Celková </w:t>
      </w:r>
      <w:proofErr w:type="gramStart"/>
      <w:r w:rsidRPr="00493382">
        <w:rPr>
          <w:b/>
        </w:rPr>
        <w:t>likvidita</w:t>
      </w:r>
      <w:r w:rsidRPr="00493382">
        <w:t xml:space="preserve"> - Ukazatel</w:t>
      </w:r>
      <w:proofErr w:type="gramEnd"/>
      <w:r w:rsidRPr="00493382">
        <w:t xml:space="preserve"> stanovuje poměr, kterým je </w:t>
      </w:r>
      <w:r>
        <w:t>město</w:t>
      </w:r>
      <w:r w:rsidRPr="00493382">
        <w:t xml:space="preserve"> schopn</w:t>
      </w:r>
      <w:r>
        <w:t>o</w:t>
      </w:r>
      <w:r w:rsidRPr="00493382">
        <w:t xml:space="preserve"> krýt své krátkodobé závazky především prostředky na bankovních účtech a hotovostí. Za rizikovou hodnotu se považuje hodnota menší než 1.</w:t>
      </w:r>
    </w:p>
    <w:p w:rsidR="00A63C37" w:rsidRPr="00493382" w:rsidRDefault="00A63C37" w:rsidP="00A63C37">
      <w:r w:rsidRPr="00493382">
        <w:lastRenderedPageBreak/>
        <w:t>Kromě uvedených monitorujících je sledována také soustava informativních ukazatelů. Mezi vybrané informativní ukazatele s úzkou vazbou na dluhové hospodaření dále patří:</w:t>
      </w:r>
    </w:p>
    <w:p w:rsidR="00A63C37" w:rsidRPr="00493382" w:rsidRDefault="00A63C37" w:rsidP="00A63C37">
      <w:pPr>
        <w:pStyle w:val="Kaskda0"/>
        <w:numPr>
          <w:ilvl w:val="0"/>
          <w:numId w:val="41"/>
        </w:numPr>
      </w:pPr>
      <w:r w:rsidRPr="00493382">
        <w:rPr>
          <w:b/>
        </w:rPr>
        <w:t xml:space="preserve">Ukazatel dluhové </w:t>
      </w:r>
      <w:proofErr w:type="gramStart"/>
      <w:r w:rsidRPr="00493382">
        <w:rPr>
          <w:b/>
        </w:rPr>
        <w:t>služby</w:t>
      </w:r>
      <w:r w:rsidRPr="00493382">
        <w:t xml:space="preserve"> - Ukazatel</w:t>
      </w:r>
      <w:proofErr w:type="gramEnd"/>
      <w:r w:rsidRPr="00493382">
        <w:t xml:space="preserve"> stanovuje poměr, kterým je obec schopna krýt svou roční dluhovou službu svými celkovými příjmy. Za rizikovou hodnotu je považován ukazatel vyšší než 25 %.</w:t>
      </w:r>
    </w:p>
    <w:p w:rsidR="00A63C37" w:rsidRPr="00596EF5" w:rsidRDefault="00A63C37" w:rsidP="00A63C37">
      <w:pPr>
        <w:pStyle w:val="Tabulka"/>
      </w:pPr>
      <w:bookmarkStart w:id="59" w:name="_Toc118977788"/>
      <w:r w:rsidRPr="00596EF5">
        <w:t>Vývoj ukazatelů dluhového hospodaření</w:t>
      </w:r>
      <w:bookmarkEnd w:id="59"/>
      <w:r w:rsidRPr="00596EF5">
        <w:t xml:space="preserve"> </w:t>
      </w:r>
    </w:p>
    <w:p w:rsidR="00A63C37" w:rsidRPr="004F4117" w:rsidRDefault="00A63C37" w:rsidP="00A63C37">
      <w:pPr>
        <w:pStyle w:val="Objekt"/>
        <w:rPr>
          <w:highlight w:val="yellow"/>
        </w:rPr>
      </w:pPr>
      <w:r>
        <w:rPr>
          <w:noProof/>
          <w:lang w:eastAsia="cs-CZ"/>
        </w:rPr>
        <w:drawing>
          <wp:inline distT="0" distB="0" distL="0" distR="0">
            <wp:extent cx="3531600" cy="579600"/>
            <wp:effectExtent l="0" t="0" r="0" b="0"/>
            <wp:docPr id="44" name="Obráze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531600" cy="579600"/>
                    </a:xfrm>
                    <a:prstGeom prst="rect">
                      <a:avLst/>
                    </a:prstGeom>
                    <a:noFill/>
                    <a:ln>
                      <a:noFill/>
                    </a:ln>
                  </pic:spPr>
                </pic:pic>
              </a:graphicData>
            </a:graphic>
          </wp:inline>
        </w:drawing>
      </w:r>
    </w:p>
    <w:p w:rsidR="00A63C37" w:rsidRPr="00DD3AA3" w:rsidRDefault="00A63C37" w:rsidP="00A63C37">
      <w:r w:rsidRPr="00DD3AA3">
        <w:t xml:space="preserve">Překročení hraničních hodnot u všech tří monitorujících ukazatelů současně pouze </w:t>
      </w:r>
      <w:r w:rsidRPr="004B151C">
        <w:t>indikuje možné riziko hospodářských problémů, ale nutně neznamená, že je město v nepříznivé finanční situaci. Pro město Chomutov jsou příznivé hodnoty všech ukazatelů.</w:t>
      </w:r>
    </w:p>
    <w:p w:rsidR="00A63C37" w:rsidRPr="002F34F8" w:rsidRDefault="00A63C37" w:rsidP="00A63C37">
      <w:pPr>
        <w:pStyle w:val="Nadpis2"/>
      </w:pPr>
      <w:bookmarkStart w:id="60" w:name="_Toc62211719"/>
      <w:bookmarkStart w:id="61" w:name="_Toc118978217"/>
      <w:bookmarkStart w:id="62" w:name="_Toc354550546"/>
      <w:r w:rsidRPr="002F34F8">
        <w:t>Analýza cash flow</w:t>
      </w:r>
      <w:bookmarkEnd w:id="60"/>
      <w:bookmarkEnd w:id="61"/>
    </w:p>
    <w:bookmarkEnd w:id="62"/>
    <w:p w:rsidR="00A63C37" w:rsidRPr="002F34F8" w:rsidRDefault="00A63C37" w:rsidP="00A63C37">
      <w:r w:rsidRPr="002F34F8">
        <w:t xml:space="preserve">Problematika cash </w:t>
      </w:r>
      <w:proofErr w:type="spellStart"/>
      <w:r w:rsidRPr="005336E6">
        <w:t>flow</w:t>
      </w:r>
      <w:proofErr w:type="spellEnd"/>
      <w:r w:rsidRPr="002F34F8">
        <w:t xml:space="preserve"> města je úzce spojena s uvolňováním finančních prostředků náležejících obci jako podíl na daňovém výnosu a ostatních, zejména mandatorních, příjmech. Tento systém zjišťování finančního toku nepokrývá zcela finanční potřeby municipalit v průběhu roku a vytváří tak tlaky na efektivní řízení krátkodobého financování rozpočtových výdajů. Proto není výjimkou, že hodnoty cash </w:t>
      </w:r>
      <w:proofErr w:type="spellStart"/>
      <w:r w:rsidRPr="005336E6">
        <w:t>flow</w:t>
      </w:r>
      <w:proofErr w:type="spellEnd"/>
      <w:r w:rsidRPr="002F34F8">
        <w:t xml:space="preserve"> jsou záporné, jak dokumentuje následující graf.</w:t>
      </w:r>
    </w:p>
    <w:p w:rsidR="00A63C37" w:rsidRPr="00BF2726" w:rsidRDefault="00A63C37" w:rsidP="00A63C37">
      <w:pPr>
        <w:pStyle w:val="Graf0"/>
      </w:pPr>
      <w:bookmarkStart w:id="63" w:name="_Toc118977815"/>
      <w:r w:rsidRPr="00BF2726">
        <w:t xml:space="preserve">Průměrné měsíční cash </w:t>
      </w:r>
      <w:proofErr w:type="spellStart"/>
      <w:r w:rsidRPr="00BF2726">
        <w:t>flow</w:t>
      </w:r>
      <w:bookmarkEnd w:id="63"/>
      <w:proofErr w:type="spellEnd"/>
      <w:r w:rsidRPr="00BF2726">
        <w:t xml:space="preserve"> </w:t>
      </w:r>
    </w:p>
    <w:p w:rsidR="00A63C37" w:rsidRPr="004F4117" w:rsidRDefault="005A207B" w:rsidP="00A63C37">
      <w:pPr>
        <w:pStyle w:val="Objekt"/>
        <w:rPr>
          <w:highlight w:val="yellow"/>
        </w:rPr>
      </w:pPr>
      <w:r w:rsidRPr="005A207B">
        <w:rPr>
          <w:noProof/>
          <w:lang w:eastAsia="cs-CZ"/>
        </w:rPr>
        <w:drawing>
          <wp:inline distT="0" distB="0" distL="0" distR="0">
            <wp:extent cx="4860925" cy="2013517"/>
            <wp:effectExtent l="0" t="0" r="0" b="0"/>
            <wp:docPr id="705" name="Obrázek 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860925" cy="2013517"/>
                    </a:xfrm>
                    <a:prstGeom prst="rect">
                      <a:avLst/>
                    </a:prstGeom>
                    <a:noFill/>
                    <a:ln>
                      <a:noFill/>
                    </a:ln>
                  </pic:spPr>
                </pic:pic>
              </a:graphicData>
            </a:graphic>
          </wp:inline>
        </w:drawing>
      </w:r>
    </w:p>
    <w:p w:rsidR="00A63C37" w:rsidRDefault="00A63C37" w:rsidP="00A63C37">
      <w:pPr>
        <w:pStyle w:val="Poznmka"/>
      </w:pPr>
      <w:r>
        <w:t xml:space="preserve">Poznámka: Hodnoty jsou vypočteny jako průměr za roky </w:t>
      </w:r>
      <w:proofErr w:type="gramStart"/>
      <w:r>
        <w:t>2017 - 2021</w:t>
      </w:r>
      <w:proofErr w:type="gramEnd"/>
    </w:p>
    <w:p w:rsidR="00A63C37" w:rsidRPr="002F34F8" w:rsidRDefault="00E8249A" w:rsidP="00A63C37">
      <w:r>
        <w:rPr>
          <w:rFonts w:ascii="Verdana" w:hAnsi="Verdana"/>
          <w:noProof/>
          <w:sz w:val="19"/>
          <w:highlight w:val="cyan"/>
          <w:lang w:eastAsia="cs-CZ"/>
        </w:rPr>
        <mc:AlternateContent>
          <mc:Choice Requires="wps">
            <w:drawing>
              <wp:anchor distT="0" distB="0" distL="114300" distR="114300" simplePos="0" relativeHeight="251888128" behindDoc="0" locked="0" layoutInCell="1" allowOverlap="1">
                <wp:simplePos x="0" y="0"/>
                <wp:positionH relativeFrom="page">
                  <wp:posOffset>540385</wp:posOffset>
                </wp:positionH>
                <wp:positionV relativeFrom="paragraph">
                  <wp:posOffset>-70485</wp:posOffset>
                </wp:positionV>
                <wp:extent cx="1403985" cy="658495"/>
                <wp:effectExtent l="0" t="0" r="0" b="0"/>
                <wp:wrapNone/>
                <wp:docPr id="748" name="Textové pole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03985" cy="658495"/>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DA6167" w:rsidRPr="00434F92" w:rsidRDefault="00DA6167" w:rsidP="00A63C37">
                            <w:pPr>
                              <w:jc w:val="left"/>
                              <w:rPr>
                                <w:rFonts w:cstheme="minorHAnsi"/>
                                <w:i/>
                                <w:szCs w:val="22"/>
                              </w:rPr>
                            </w:pPr>
                            <w:r>
                              <w:rPr>
                                <w:rStyle w:val="Odkaznakoment"/>
                                <w:rFonts w:cstheme="minorHAnsi"/>
                                <w:i/>
                                <w:sz w:val="20"/>
                                <w:szCs w:val="20"/>
                              </w:rPr>
                              <w:t>Výše vlastních finančních prostředků je závislá na investiční aktivitě města</w:t>
                            </w:r>
                          </w:p>
                          <w:p w:rsidR="00DA6167" w:rsidRPr="001B58F3" w:rsidRDefault="00DA6167" w:rsidP="00A63C37">
                            <w:pPr>
                              <w:spacing w:after="0"/>
                              <w:jc w:val="left"/>
                              <w:rPr>
                                <w:rFonts w:cstheme="minorHAnsi"/>
                                <w:i/>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margin">
                  <wp14:pctHeight>0</wp14:pctHeight>
                </wp14:sizeRelV>
              </wp:anchor>
            </w:drawing>
          </mc:Choice>
          <mc:Fallback>
            <w:pict>
              <v:shape id="_x0000_s1050" type="#_x0000_t202" style="position:absolute;left:0;text-align:left;margin-left:42.55pt;margin-top:-5.55pt;width:110.55pt;height:51.85pt;z-index:251888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" fillcolor="white [3201]" stroked="f" strokeweight=".5pt">
                <v:path arrowok="t"/>
                <v:textbox inset="0,0,0,0">
                  <w:txbxContent>
                    <w:p w:rsidR="00DA6167" w:rsidRPr="00434F92" w:rsidRDefault="00DA6167" w:rsidP="00A63C37">
                      <w:pPr>
                        <w:jc w:val="left"/>
                        <w:rPr>
                          <w:rFonts w:cstheme="minorHAnsi"/>
                          <w:i/>
                          <w:szCs w:val="22"/>
                        </w:rPr>
                      </w:pPr>
                      <w:r>
                        <w:rPr>
                          <w:rStyle w:val="Odkaznakoment"/>
                          <w:rFonts w:cstheme="minorHAnsi"/>
                          <w:i/>
                          <w:sz w:val="20"/>
                          <w:szCs w:val="20"/>
                        </w:rPr>
                        <w:t>Výše vlastních finančních prostředků je závislá na investiční aktivitě města</w:t>
                      </w:r>
                    </w:p>
                    <w:p w:rsidR="00DA6167" w:rsidRPr="001B58F3" w:rsidRDefault="00DA6167" w:rsidP="00A63C37">
                      <w:pPr>
                        <w:spacing w:after="0"/>
                        <w:jc w:val="left"/>
                        <w:rPr>
                          <w:rFonts w:cstheme="minorHAnsi"/>
                          <w:i/>
                          <w:sz w:val="20"/>
                          <w:szCs w:val="20"/>
                        </w:rPr>
                      </w:pPr>
                    </w:p>
                  </w:txbxContent>
                </v:textbox>
                <w10:wrap anchorx="page"/>
              </v:shape>
            </w:pict>
          </mc:Fallback>
        </mc:AlternateContent>
      </w:r>
      <w:r w:rsidR="00A63C37" w:rsidRPr="002F34F8">
        <w:t xml:space="preserve">Pro hodnocení finanční stability města je však důležité, aby hodnota vlastních finančních prostředků na konci rozpočtového roku </w:t>
      </w:r>
      <w:r w:rsidR="00A63C37">
        <w:t>pokrývala</w:t>
      </w:r>
      <w:r w:rsidR="00A63C37" w:rsidRPr="002F34F8">
        <w:t xml:space="preserve"> financování základních potřeb města. Následující graf znázorňuje danou situaci města. </w:t>
      </w:r>
    </w:p>
    <w:p w:rsidR="00A63C37" w:rsidRPr="007F7EE4" w:rsidRDefault="00A63C37" w:rsidP="00A63C37">
      <w:pPr>
        <w:pStyle w:val="Graf0"/>
      </w:pPr>
      <w:bookmarkStart w:id="64" w:name="_Toc118977816"/>
      <w:r w:rsidRPr="007F7EE4">
        <w:lastRenderedPageBreak/>
        <w:t xml:space="preserve">Vývoj cash </w:t>
      </w:r>
      <w:proofErr w:type="spellStart"/>
      <w:r w:rsidRPr="007F7EE4">
        <w:t>flow</w:t>
      </w:r>
      <w:bookmarkEnd w:id="64"/>
      <w:proofErr w:type="spellEnd"/>
    </w:p>
    <w:p w:rsidR="00A63C37" w:rsidRPr="004F4117" w:rsidRDefault="005A207B" w:rsidP="00A63C37">
      <w:pPr>
        <w:pStyle w:val="Objekt"/>
        <w:rPr>
          <w:highlight w:val="yellow"/>
        </w:rPr>
      </w:pPr>
      <w:r w:rsidRPr="005A207B">
        <w:rPr>
          <w:noProof/>
          <w:lang w:eastAsia="cs-CZ"/>
        </w:rPr>
        <w:drawing>
          <wp:inline distT="0" distB="0" distL="0" distR="0">
            <wp:extent cx="4860925" cy="2013517"/>
            <wp:effectExtent l="0" t="0" r="0" b="6350"/>
            <wp:docPr id="62" name="Obráze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860925" cy="2013517"/>
                    </a:xfrm>
                    <a:prstGeom prst="rect">
                      <a:avLst/>
                    </a:prstGeom>
                    <a:noFill/>
                    <a:ln>
                      <a:noFill/>
                    </a:ln>
                  </pic:spPr>
                </pic:pic>
              </a:graphicData>
            </a:graphic>
          </wp:inline>
        </w:drawing>
      </w:r>
    </w:p>
    <w:p w:rsidR="00A63C37" w:rsidRPr="003C2C43" w:rsidRDefault="00A63C37" w:rsidP="00A63C37">
      <w:pPr>
        <w:pStyle w:val="Zkladntext"/>
        <w:rPr>
          <w:b/>
          <w:lang w:val="cs-CZ"/>
        </w:rPr>
      </w:pPr>
      <w:r w:rsidRPr="003C2C43">
        <w:rPr>
          <w:lang w:val="cs-CZ"/>
        </w:rPr>
        <w:t xml:space="preserve">Hodnoty cash </w:t>
      </w:r>
      <w:proofErr w:type="spellStart"/>
      <w:r w:rsidRPr="004E7AD1">
        <w:rPr>
          <w:lang w:val="cs-CZ"/>
        </w:rPr>
        <w:t>flow</w:t>
      </w:r>
      <w:proofErr w:type="spellEnd"/>
      <w:r w:rsidRPr="004E7AD1">
        <w:rPr>
          <w:lang w:val="cs-CZ"/>
        </w:rPr>
        <w:t xml:space="preserve"> </w:t>
      </w:r>
      <w:r w:rsidRPr="003C2C43">
        <w:rPr>
          <w:lang w:val="cs-CZ"/>
        </w:rPr>
        <w:t>vycházejí ze schválených závěrečných účtů města a jsou zobrazeny v následující tabulce.</w:t>
      </w:r>
    </w:p>
    <w:p w:rsidR="00A63C37" w:rsidRPr="007F7EE4" w:rsidRDefault="00A63C37" w:rsidP="00A63C37">
      <w:pPr>
        <w:pStyle w:val="Tabulka"/>
      </w:pPr>
      <w:bookmarkStart w:id="65" w:name="_Toc118977789"/>
      <w:r w:rsidRPr="007F7EE4">
        <w:t xml:space="preserve">Vývoj cash </w:t>
      </w:r>
      <w:proofErr w:type="spellStart"/>
      <w:r w:rsidRPr="007F7EE4">
        <w:t>flow</w:t>
      </w:r>
      <w:proofErr w:type="spellEnd"/>
      <w:r w:rsidRPr="007F7EE4">
        <w:t xml:space="preserve"> a platební schopnost</w:t>
      </w:r>
      <w:r>
        <w:t>i</w:t>
      </w:r>
      <w:bookmarkEnd w:id="65"/>
    </w:p>
    <w:p w:rsidR="005A207B" w:rsidRPr="004F4117" w:rsidRDefault="005A207B" w:rsidP="00A63C37">
      <w:pPr>
        <w:pStyle w:val="Objekt"/>
        <w:rPr>
          <w:highlight w:val="yellow"/>
        </w:rPr>
      </w:pPr>
      <w:r w:rsidRPr="005A207B">
        <w:rPr>
          <w:noProof/>
          <w:lang w:eastAsia="cs-CZ"/>
        </w:rPr>
        <w:drawing>
          <wp:inline distT="0" distB="0" distL="0" distR="0">
            <wp:extent cx="3531600" cy="961200"/>
            <wp:effectExtent l="0" t="0" r="0" b="0"/>
            <wp:docPr id="61" name="Obráze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531600" cy="961200"/>
                    </a:xfrm>
                    <a:prstGeom prst="rect">
                      <a:avLst/>
                    </a:prstGeom>
                    <a:noFill/>
                    <a:ln>
                      <a:noFill/>
                    </a:ln>
                  </pic:spPr>
                </pic:pic>
              </a:graphicData>
            </a:graphic>
          </wp:inline>
        </w:drawing>
      </w:r>
    </w:p>
    <w:p w:rsidR="00A63C37" w:rsidRPr="00285D17" w:rsidRDefault="00A63C37" w:rsidP="00A63C37">
      <w:r w:rsidRPr="007A3E4E">
        <w:t xml:space="preserve">V analyzovaných letech vykazuje stav peněžních prostředků běžného roku záporné saldo v letech 2017 a 2018, což je způsobeno zvýšenou investiční činností města. K vyrovnání hospodaření těchto let město zpravidla zapojovalo přebytek finančních prostředků z předcházejících let, kdy investovalo méně a vytvářelo si finanční </w:t>
      </w:r>
      <w:r w:rsidRPr="00285D17">
        <w:t>rezervu právě pro tyto případy.</w:t>
      </w:r>
    </w:p>
    <w:p w:rsidR="00A63C37" w:rsidRPr="00285D17" w:rsidRDefault="00A63C37" w:rsidP="00A63C37">
      <w:r w:rsidRPr="00285D17">
        <w:t xml:space="preserve">Finanční stabilitu a schopnost města plnit svoje závazky lze posoudit na základě ukazatele platební schopnosti prvního řádu (optimum pod hranicí 2, maximální přípustná hodnota 6) a platební schopnosti druhého řádu (pod 20 % optimální stav, do 40 % stav uspokojivý). V obou případech se jedná o dobré hodnoty, v případě platební schopnosti I. Řádu lze pak konstatovat, že jsou hodnoty optimální. Oba ukazatele profitují zejména z uvážlivého dluhového hospodaření a relativně dobrých hodnot provozního přebytku.   </w:t>
      </w:r>
    </w:p>
    <w:bookmarkStart w:id="66" w:name="_Toc62211721"/>
    <w:bookmarkStart w:id="67" w:name="_Toc118978218"/>
    <w:p w:rsidR="00A63C37" w:rsidRPr="00DA6167" w:rsidRDefault="00E8249A" w:rsidP="00A63C37">
      <w:pPr>
        <w:pStyle w:val="Nadpis2"/>
      </w:pPr>
      <w:r>
        <w:rPr>
          <w:rFonts w:ascii="Verdana" w:hAnsi="Verdana"/>
          <w:noProof/>
          <w:sz w:val="19"/>
          <w:lang w:eastAsia="cs-CZ"/>
        </w:rPr>
        <mc:AlternateContent>
          <mc:Choice Requires="wps">
            <w:drawing>
              <wp:anchor distT="0" distB="0" distL="114300" distR="114300" simplePos="0" relativeHeight="251877888" behindDoc="0" locked="0" layoutInCell="1" allowOverlap="1">
                <wp:simplePos x="0" y="0"/>
                <wp:positionH relativeFrom="page">
                  <wp:posOffset>539115</wp:posOffset>
                </wp:positionH>
                <wp:positionV relativeFrom="paragraph">
                  <wp:posOffset>295910</wp:posOffset>
                </wp:positionV>
                <wp:extent cx="1403985" cy="771525"/>
                <wp:effectExtent l="0" t="0" r="0" b="0"/>
                <wp:wrapNone/>
                <wp:docPr id="727" name="Textové pole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03985" cy="771525"/>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DA6167" w:rsidRPr="00855C6C" w:rsidRDefault="00DA6167" w:rsidP="00A63C37">
                            <w:pPr>
                              <w:spacing w:after="0"/>
                              <w:jc w:val="left"/>
                              <w:rPr>
                                <w:rStyle w:val="Odkaznakoment"/>
                                <w:rFonts w:cstheme="minorHAnsi"/>
                                <w:i/>
                                <w:sz w:val="20"/>
                                <w:szCs w:val="20"/>
                              </w:rPr>
                            </w:pPr>
                            <w:r w:rsidRPr="00855C6C">
                              <w:rPr>
                                <w:rStyle w:val="Odkaznakoment"/>
                                <w:rFonts w:cstheme="minorHAnsi"/>
                                <w:i/>
                                <w:sz w:val="20"/>
                                <w:szCs w:val="20"/>
                              </w:rPr>
                              <w:t xml:space="preserve">Zůstatky na účtech na konci roku </w:t>
                            </w:r>
                            <w:r w:rsidRPr="00B7241E">
                              <w:rPr>
                                <w:i/>
                                <w:sz w:val="20"/>
                                <w:szCs w:val="20"/>
                              </w:rPr>
                              <w:t>2021</w:t>
                            </w:r>
                            <w:r w:rsidRPr="00855C6C">
                              <w:rPr>
                                <w:rStyle w:val="Odkaznakoment"/>
                                <w:rFonts w:cstheme="minorHAnsi"/>
                                <w:i/>
                                <w:sz w:val="20"/>
                                <w:szCs w:val="20"/>
                              </w:rPr>
                              <w:t xml:space="preserve"> ve výši </w:t>
                            </w:r>
                          </w:p>
                          <w:p w:rsidR="00DA6167" w:rsidRPr="00332988" w:rsidRDefault="00DA6167" w:rsidP="00A63C37">
                            <w:pPr>
                              <w:spacing w:before="0" w:after="0"/>
                              <w:jc w:val="left"/>
                              <w:rPr>
                                <w:rStyle w:val="Odkaznakoment"/>
                                <w:rFonts w:cstheme="minorHAnsi"/>
                                <w:b/>
                                <w:i/>
                                <w:color w:val="548DD4" w:themeColor="text2" w:themeTint="99"/>
                                <w:sz w:val="28"/>
                                <w:szCs w:val="28"/>
                              </w:rPr>
                            </w:pPr>
                            <w:r>
                              <w:rPr>
                                <w:b/>
                                <w:i/>
                                <w:color w:val="548DD4" w:themeColor="text2" w:themeTint="99"/>
                                <w:sz w:val="28"/>
                                <w:szCs w:val="28"/>
                              </w:rPr>
                              <w:t>735</w:t>
                            </w:r>
                            <w:r w:rsidRPr="00B7241E">
                              <w:rPr>
                                <w:b/>
                                <w:i/>
                                <w:color w:val="548DD4" w:themeColor="text2" w:themeTint="99"/>
                                <w:sz w:val="28"/>
                                <w:szCs w:val="28"/>
                              </w:rPr>
                              <w:t>,</w:t>
                            </w:r>
                            <w:r>
                              <w:rPr>
                                <w:b/>
                                <w:i/>
                                <w:color w:val="548DD4" w:themeColor="text2" w:themeTint="99"/>
                                <w:sz w:val="28"/>
                                <w:szCs w:val="28"/>
                              </w:rPr>
                              <w:t>9</w:t>
                            </w:r>
                            <w:r>
                              <w:rPr>
                                <w:rStyle w:val="Odkaznakoment"/>
                                <w:rFonts w:cstheme="minorHAnsi"/>
                                <w:b/>
                                <w:i/>
                                <w:color w:val="548DD4" w:themeColor="text2" w:themeTint="99"/>
                                <w:sz w:val="28"/>
                                <w:szCs w:val="28"/>
                              </w:rPr>
                              <w:t xml:space="preserve"> mil. Kč</w:t>
                            </w:r>
                          </w:p>
                          <w:p w:rsidR="00DA6167" w:rsidRPr="001B58F3" w:rsidRDefault="00DA6167" w:rsidP="00A63C37">
                            <w:pPr>
                              <w:spacing w:after="0"/>
                              <w:jc w:val="left"/>
                              <w:rPr>
                                <w:rFonts w:cstheme="minorHAnsi"/>
                                <w:i/>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margin">
                  <wp14:pctHeight>0</wp14:pctHeight>
                </wp14:sizeRelV>
              </wp:anchor>
            </w:drawing>
          </mc:Choice>
          <mc:Fallback>
            <w:pict>
              <v:shape id="_x0000_s1051" type="#_x0000_t202" style="position:absolute;left:0;text-align:left;margin-left:42.45pt;margin-top:23.3pt;width:110.55pt;height:60.75pt;z-index:251877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" fillcolor="white [3201]" stroked="f" strokeweight=".5pt">
                <v:path arrowok="t"/>
                <v:textbox inset="0,0,0,0">
                  <w:txbxContent>
                    <w:p w:rsidR="00DA6167" w:rsidRPr="00855C6C" w:rsidRDefault="00DA6167" w:rsidP="00A63C37">
                      <w:pPr>
                        <w:spacing w:after="0"/>
                        <w:jc w:val="left"/>
                        <w:rPr>
                          <w:rStyle w:val="Odkaznakoment"/>
                          <w:rFonts w:cstheme="minorHAnsi"/>
                          <w:i/>
                          <w:sz w:val="20"/>
                          <w:szCs w:val="20"/>
                        </w:rPr>
                      </w:pPr>
                      <w:r w:rsidRPr="00855C6C">
                        <w:rPr>
                          <w:rStyle w:val="Odkaznakoment"/>
                          <w:rFonts w:cstheme="minorHAnsi"/>
                          <w:i/>
                          <w:sz w:val="20"/>
                          <w:szCs w:val="20"/>
                        </w:rPr>
                        <w:t xml:space="preserve">Zůstatky na účtech na konci roku </w:t>
                      </w:r>
                      <w:r w:rsidRPr="00B7241E">
                        <w:rPr>
                          <w:i/>
                          <w:sz w:val="20"/>
                          <w:szCs w:val="20"/>
                        </w:rPr>
                        <w:t>2021</w:t>
                      </w:r>
                      <w:r w:rsidRPr="00855C6C">
                        <w:rPr>
                          <w:rStyle w:val="Odkaznakoment"/>
                          <w:rFonts w:cstheme="minorHAnsi"/>
                          <w:i/>
                          <w:sz w:val="20"/>
                          <w:szCs w:val="20"/>
                        </w:rPr>
                        <w:t xml:space="preserve"> ve výši </w:t>
                      </w:r>
                    </w:p>
                    <w:p w:rsidR="00DA6167" w:rsidRPr="00332988" w:rsidRDefault="00DA6167" w:rsidP="00A63C37">
                      <w:pPr>
                        <w:spacing w:before="0" w:after="0"/>
                        <w:jc w:val="left"/>
                        <w:rPr>
                          <w:rStyle w:val="Odkaznakoment"/>
                          <w:rFonts w:cstheme="minorHAnsi"/>
                          <w:b/>
                          <w:i/>
                          <w:color w:val="548DD4" w:themeColor="text2" w:themeTint="99"/>
                          <w:sz w:val="28"/>
                          <w:szCs w:val="28"/>
                        </w:rPr>
                      </w:pPr>
                      <w:r>
                        <w:rPr>
                          <w:b/>
                          <w:i/>
                          <w:color w:val="548DD4" w:themeColor="text2" w:themeTint="99"/>
                          <w:sz w:val="28"/>
                          <w:szCs w:val="28"/>
                        </w:rPr>
                        <w:t>735</w:t>
                      </w:r>
                      <w:r w:rsidRPr="00B7241E">
                        <w:rPr>
                          <w:b/>
                          <w:i/>
                          <w:color w:val="548DD4" w:themeColor="text2" w:themeTint="99"/>
                          <w:sz w:val="28"/>
                          <w:szCs w:val="28"/>
                        </w:rPr>
                        <w:t>,</w:t>
                      </w:r>
                      <w:r>
                        <w:rPr>
                          <w:b/>
                          <w:i/>
                          <w:color w:val="548DD4" w:themeColor="text2" w:themeTint="99"/>
                          <w:sz w:val="28"/>
                          <w:szCs w:val="28"/>
                        </w:rPr>
                        <w:t>9</w:t>
                      </w:r>
                      <w:r>
                        <w:rPr>
                          <w:rStyle w:val="Odkaznakoment"/>
                          <w:rFonts w:cstheme="minorHAnsi"/>
                          <w:b/>
                          <w:i/>
                          <w:color w:val="548DD4" w:themeColor="text2" w:themeTint="99"/>
                          <w:sz w:val="28"/>
                          <w:szCs w:val="28"/>
                        </w:rPr>
                        <w:t xml:space="preserve"> mil. Kč</w:t>
                      </w:r>
                    </w:p>
                    <w:p w:rsidR="00DA6167" w:rsidRPr="001B58F3" w:rsidRDefault="00DA6167" w:rsidP="00A63C37">
                      <w:pPr>
                        <w:spacing w:after="0"/>
                        <w:jc w:val="left"/>
                        <w:rPr>
                          <w:rFonts w:cstheme="minorHAnsi"/>
                          <w:i/>
                          <w:sz w:val="20"/>
                          <w:szCs w:val="20"/>
                        </w:rPr>
                      </w:pPr>
                    </w:p>
                  </w:txbxContent>
                </v:textbox>
                <w10:wrap anchorx="page"/>
              </v:shape>
            </w:pict>
          </mc:Fallback>
        </mc:AlternateContent>
      </w:r>
      <w:r w:rsidR="00A63C37" w:rsidRPr="00DA6167">
        <w:t>Závěry analýzy</w:t>
      </w:r>
      <w:bookmarkEnd w:id="66"/>
      <w:r w:rsidR="00A63C37" w:rsidRPr="00DA6167">
        <w:t xml:space="preserve"> hospodaření</w:t>
      </w:r>
      <w:bookmarkEnd w:id="67"/>
    </w:p>
    <w:p w:rsidR="00A63C37" w:rsidRPr="0069225D" w:rsidRDefault="00A63C37" w:rsidP="00A63C37">
      <w:r w:rsidRPr="001E6410">
        <w:t xml:space="preserve">Město v období </w:t>
      </w:r>
      <w:proofErr w:type="gramStart"/>
      <w:r w:rsidRPr="001E6410">
        <w:t>2017 - 2021</w:t>
      </w:r>
      <w:proofErr w:type="gramEnd"/>
      <w:r w:rsidRPr="001E6410">
        <w:t xml:space="preserve"> disponovalo zůstatky na účtech ve výši </w:t>
      </w:r>
      <w:r w:rsidR="00203087" w:rsidRPr="001E6410">
        <w:t xml:space="preserve">396,5 </w:t>
      </w:r>
      <w:r w:rsidRPr="001E6410">
        <w:t>mil. Kč (201</w:t>
      </w:r>
      <w:r w:rsidR="00203087" w:rsidRPr="001E6410">
        <w:t>8</w:t>
      </w:r>
      <w:r w:rsidRPr="001E6410">
        <w:t xml:space="preserve">) až </w:t>
      </w:r>
      <w:r w:rsidR="00203087" w:rsidRPr="001E6410">
        <w:t xml:space="preserve">735,9 </w:t>
      </w:r>
      <w:r w:rsidRPr="001E6410">
        <w:t>mil. Kč (202</w:t>
      </w:r>
      <w:r w:rsidR="00203087" w:rsidRPr="001E6410">
        <w:t>1</w:t>
      </w:r>
      <w:r w:rsidRPr="001E6410">
        <w:t xml:space="preserve">). Úroveň dlouhodobých pohledávek se v celém sledovaném období pohybovala v intervalu od </w:t>
      </w:r>
      <w:r w:rsidR="00203087" w:rsidRPr="001E6410">
        <w:t xml:space="preserve">10,9 </w:t>
      </w:r>
      <w:r w:rsidRPr="001E6410">
        <w:t>mil. Kč (20</w:t>
      </w:r>
      <w:r w:rsidR="00203087" w:rsidRPr="001E6410">
        <w:t>21</w:t>
      </w:r>
      <w:r w:rsidRPr="001E6410">
        <w:t>) do 16,1 mil. Kč (201</w:t>
      </w:r>
      <w:r w:rsidR="00203087" w:rsidRPr="001E6410">
        <w:t>7</w:t>
      </w:r>
      <w:r w:rsidRPr="001E6410">
        <w:t xml:space="preserve">). Objem dlouhodobých závazků je v celém období nulový. Stav nesplacených úvěrů se pohyboval v rozmezí od </w:t>
      </w:r>
      <w:r w:rsidR="00203087" w:rsidRPr="001E6410">
        <w:t>56,9</w:t>
      </w:r>
      <w:r w:rsidRPr="001E6410">
        <w:t xml:space="preserve"> mil. Kč (20</w:t>
      </w:r>
      <w:r w:rsidR="00203087" w:rsidRPr="001E6410">
        <w:t>21</w:t>
      </w:r>
      <w:r w:rsidRPr="001E6410">
        <w:t xml:space="preserve">) do </w:t>
      </w:r>
      <w:r w:rsidR="00203087" w:rsidRPr="001E6410">
        <w:t>253,5</w:t>
      </w:r>
      <w:r w:rsidRPr="001E6410">
        <w:t xml:space="preserve"> mil. Kč (20</w:t>
      </w:r>
      <w:r w:rsidR="00203087" w:rsidRPr="001E6410">
        <w:t>17</w:t>
      </w:r>
      <w:r w:rsidRPr="001E6410">
        <w:t>).</w:t>
      </w:r>
    </w:p>
    <w:p w:rsidR="00A63C37" w:rsidRPr="007F7EE4" w:rsidRDefault="00A63C37" w:rsidP="00A63C37">
      <w:pPr>
        <w:pStyle w:val="Graf0"/>
      </w:pPr>
      <w:bookmarkStart w:id="68" w:name="_Toc118977817"/>
      <w:r w:rsidRPr="007F7EE4">
        <w:lastRenderedPageBreak/>
        <w:t>Vývoj počtu obyvatel a počtu žáků</w:t>
      </w:r>
      <w:bookmarkEnd w:id="68"/>
    </w:p>
    <w:p w:rsidR="00A63C37" w:rsidRPr="009318B4" w:rsidRDefault="00416AEE" w:rsidP="00A63C37">
      <w:pPr>
        <w:pStyle w:val="Objekt"/>
      </w:pPr>
      <w:r w:rsidRPr="00416AEE">
        <w:rPr>
          <w:noProof/>
          <w:lang w:eastAsia="cs-CZ"/>
        </w:rPr>
        <w:drawing>
          <wp:inline distT="0" distB="0" distL="0" distR="0">
            <wp:extent cx="4860925" cy="2013517"/>
            <wp:effectExtent l="0" t="0" r="0" b="0"/>
            <wp:docPr id="712" name="Obrázek 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860925" cy="2013517"/>
                    </a:xfrm>
                    <a:prstGeom prst="rect">
                      <a:avLst/>
                    </a:prstGeom>
                    <a:noFill/>
                    <a:ln>
                      <a:noFill/>
                    </a:ln>
                  </pic:spPr>
                </pic:pic>
              </a:graphicData>
            </a:graphic>
          </wp:inline>
        </w:drawing>
      </w:r>
    </w:p>
    <w:p w:rsidR="00A63C37" w:rsidRPr="007631EA" w:rsidRDefault="00E8249A" w:rsidP="00A63C37">
      <w:r>
        <w:rPr>
          <w:rFonts w:ascii="Verdana" w:hAnsi="Verdana"/>
          <w:noProof/>
          <w:sz w:val="19"/>
          <w:lang w:eastAsia="cs-CZ"/>
        </w:rPr>
        <mc:AlternateContent>
          <mc:Choice Requires="wps">
            <w:drawing>
              <wp:anchor distT="0" distB="0" distL="114300" distR="114300" simplePos="0" relativeHeight="251878912" behindDoc="0" locked="0" layoutInCell="1" allowOverlap="1">
                <wp:simplePos x="0" y="0"/>
                <wp:positionH relativeFrom="page">
                  <wp:posOffset>541655</wp:posOffset>
                </wp:positionH>
                <wp:positionV relativeFrom="paragraph">
                  <wp:posOffset>-1270</wp:posOffset>
                </wp:positionV>
                <wp:extent cx="1403985" cy="897255"/>
                <wp:effectExtent l="0" t="0" r="0" b="0"/>
                <wp:wrapNone/>
                <wp:docPr id="728" name="Textové pole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03985" cy="897255"/>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DA6167" w:rsidRPr="001B58F3" w:rsidRDefault="00DA6167" w:rsidP="00A63C37">
                            <w:pPr>
                              <w:jc w:val="left"/>
                              <w:rPr>
                                <w:rFonts w:cstheme="minorHAnsi"/>
                                <w:i/>
                                <w:sz w:val="20"/>
                                <w:szCs w:val="20"/>
                              </w:rPr>
                            </w:pPr>
                            <w:r w:rsidRPr="00BA3D8E">
                              <w:rPr>
                                <w:rStyle w:val="Odkaznakoment"/>
                                <w:rFonts w:cstheme="minorHAnsi"/>
                                <w:b/>
                                <w:i/>
                                <w:color w:val="FF0000"/>
                                <w:sz w:val="20"/>
                                <w:szCs w:val="20"/>
                              </w:rPr>
                              <w:t xml:space="preserve">Trend snižování počtu obyvatel </w:t>
                            </w:r>
                            <w:r>
                              <w:rPr>
                                <w:rStyle w:val="Odkaznakoment"/>
                                <w:rFonts w:cstheme="minorHAnsi"/>
                                <w:b/>
                                <w:i/>
                                <w:color w:val="FF0000"/>
                                <w:sz w:val="20"/>
                                <w:szCs w:val="20"/>
                              </w:rPr>
                              <w:t>i</w:t>
                            </w:r>
                            <w:r w:rsidRPr="00BA3D8E">
                              <w:rPr>
                                <w:rStyle w:val="Odkaznakoment"/>
                                <w:rFonts w:cstheme="minorHAnsi"/>
                                <w:b/>
                                <w:i/>
                                <w:color w:val="FF0000"/>
                                <w:sz w:val="20"/>
                                <w:szCs w:val="20"/>
                              </w:rPr>
                              <w:t xml:space="preserve"> žáků</w:t>
                            </w:r>
                          </w:p>
                        </w:txbxContent>
                      </wps:txbx>
                      <wps:bodyPr rot="0" vert="horz" wrap="square" lIns="0" tIns="0" rIns="0" bIns="0" anchor="t" anchorCtr="0" upright="1">
                        <a:noAutofit/>
                      </wps:bodyPr>
                    </wps:wsp>
                  </a:graphicData>
                </a:graphic>
                <wp14:sizeRelH relativeFrom="page">
                  <wp14:pctWidth>0</wp14:pctWidth>
                </wp14:sizeRelH>
                <wp14:sizeRelV relativeFrom="margin">
                  <wp14:pctHeight>0</wp14:pctHeight>
                </wp14:sizeRelV>
              </wp:anchor>
            </w:drawing>
          </mc:Choice>
          <mc:Fallback>
            <w:pict>
              <v:shape id="_x0000_s1052" type="#_x0000_t202" style="position:absolute;left:0;text-align:left;margin-left:42.65pt;margin-top:-.1pt;width:110.55pt;height:70.65pt;z-index:251878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" fillcolor="white [3201]" stroked="f" strokeweight=".5pt">
                <v:path arrowok="t"/>
                <v:textbox inset="0,0,0,0">
                  <w:txbxContent>
                    <w:p w:rsidR="00DA6167" w:rsidRPr="001B58F3" w:rsidRDefault="00DA6167" w:rsidP="00A63C37">
                      <w:pPr>
                        <w:jc w:val="left"/>
                        <w:rPr>
                          <w:rFonts w:cstheme="minorHAnsi"/>
                          <w:i/>
                          <w:sz w:val="20"/>
                          <w:szCs w:val="20"/>
                        </w:rPr>
                      </w:pPr>
                      <w:r w:rsidRPr="00BA3D8E">
                        <w:rPr>
                          <w:rStyle w:val="Odkaznakoment"/>
                          <w:rFonts w:cstheme="minorHAnsi"/>
                          <w:b/>
                          <w:i/>
                          <w:color w:val="FF0000"/>
                          <w:sz w:val="20"/>
                          <w:szCs w:val="20"/>
                        </w:rPr>
                        <w:t xml:space="preserve">Trend snižování počtu obyvatel </w:t>
                      </w:r>
                      <w:r>
                        <w:rPr>
                          <w:rStyle w:val="Odkaznakoment"/>
                          <w:rFonts w:cstheme="minorHAnsi"/>
                          <w:b/>
                          <w:i/>
                          <w:color w:val="FF0000"/>
                          <w:sz w:val="20"/>
                          <w:szCs w:val="20"/>
                        </w:rPr>
                        <w:t>i</w:t>
                      </w:r>
                      <w:r w:rsidRPr="00BA3D8E">
                        <w:rPr>
                          <w:rStyle w:val="Odkaznakoment"/>
                          <w:rFonts w:cstheme="minorHAnsi"/>
                          <w:b/>
                          <w:i/>
                          <w:color w:val="FF0000"/>
                          <w:sz w:val="20"/>
                          <w:szCs w:val="20"/>
                        </w:rPr>
                        <w:t xml:space="preserve"> žáků</w:t>
                      </w:r>
                    </w:p>
                  </w:txbxContent>
                </v:textbox>
                <w10:wrap anchorx="page"/>
              </v:shape>
            </w:pict>
          </mc:Fallback>
        </mc:AlternateContent>
      </w:r>
      <w:r w:rsidR="00A63C37" w:rsidRPr="006272A0">
        <w:t xml:space="preserve">Počet obyvatel v období </w:t>
      </w:r>
      <w:proofErr w:type="gramStart"/>
      <w:r w:rsidR="00A63C37" w:rsidRPr="00505D58">
        <w:t>2004 –</w:t>
      </w:r>
      <w:r w:rsidR="00E4236F">
        <w:t xml:space="preserve"> </w:t>
      </w:r>
      <w:r w:rsidR="00A63C37" w:rsidRPr="00505D58">
        <w:t>2022</w:t>
      </w:r>
      <w:proofErr w:type="gramEnd"/>
      <w:r w:rsidR="00A63C37" w:rsidRPr="00505D58">
        <w:t xml:space="preserve"> meziročně klesá (-3</w:t>
      </w:r>
      <w:r w:rsidR="00E4236F">
        <w:t xml:space="preserve"> </w:t>
      </w:r>
      <w:r w:rsidR="00A63C37" w:rsidRPr="00505D58">
        <w:t>418</w:t>
      </w:r>
      <w:r w:rsidR="00A63C37" w:rsidRPr="006272A0">
        <w:t xml:space="preserve"> obyvatel). Výjimkou je výrazný</w:t>
      </w:r>
      <w:r w:rsidR="00A63C37">
        <w:t xml:space="preserve"> </w:t>
      </w:r>
      <w:r w:rsidR="00A63C37" w:rsidRPr="00505D58">
        <w:t>nárůst</w:t>
      </w:r>
      <w:r w:rsidR="00A63C37">
        <w:t xml:space="preserve"> počtu obyvatel v roce </w:t>
      </w:r>
      <w:r w:rsidR="00A63C37" w:rsidRPr="00A103CD">
        <w:t>2010</w:t>
      </w:r>
      <w:r w:rsidR="00A63C37">
        <w:t xml:space="preserve"> (</w:t>
      </w:r>
      <w:r w:rsidR="00A63C37" w:rsidRPr="00505D58">
        <w:t>1 254 obyvatel),</w:t>
      </w:r>
      <w:r w:rsidR="00A63C37">
        <w:t xml:space="preserve"> a také mírné přírůstky v letech 2017 a 2019. </w:t>
      </w:r>
      <w:r w:rsidR="00A63C37" w:rsidRPr="00A103CD">
        <w:t xml:space="preserve">Vývoj počtu žáků má hyperbolický vývoj a </w:t>
      </w:r>
      <w:r w:rsidR="00A63C37" w:rsidRPr="006272A0">
        <w:t xml:space="preserve">ve sledovaném období </w:t>
      </w:r>
      <w:proofErr w:type="gramStart"/>
      <w:r w:rsidR="00A63C37" w:rsidRPr="006272A0">
        <w:t>2013 - 2021</w:t>
      </w:r>
      <w:proofErr w:type="gramEnd"/>
      <w:r w:rsidR="00A63C37" w:rsidRPr="006272A0">
        <w:t xml:space="preserve"> poklesl o </w:t>
      </w:r>
      <w:r w:rsidR="00C85E39">
        <w:t>165</w:t>
      </w:r>
      <w:r w:rsidR="00A63C37" w:rsidRPr="006272A0">
        <w:t>. Vývoj těchto dvou kategorií má mírně negativní vliv na inkasované sdílené daně, prioritní ovšem zůstává vývoj ekonomiky. Dopad změny počtu obyvatel a žáků ve výše uvedených časových horizontech lze</w:t>
      </w:r>
      <w:r w:rsidR="00A63C37" w:rsidRPr="004F7C32">
        <w:t xml:space="preserve"> ilustrovat modelovým výpočtem sdílených daní dle přílohy zmíněné vyhlášky 313/2021 Sb. </w:t>
      </w:r>
      <w:r w:rsidR="00A63C37">
        <w:t>Úbytkem</w:t>
      </w:r>
      <w:r w:rsidR="00A63C37" w:rsidRPr="004F7C32">
        <w:t xml:space="preserve"> počtu obyvatel v uvedeném období město </w:t>
      </w:r>
      <w:r w:rsidR="00A63C37">
        <w:t>přichází</w:t>
      </w:r>
      <w:r w:rsidR="00A63C37" w:rsidRPr="004F7C32">
        <w:t xml:space="preserve"> cca </w:t>
      </w:r>
      <w:r w:rsidR="00A63C37">
        <w:t xml:space="preserve">50,6 </w:t>
      </w:r>
      <w:r w:rsidR="00A63C37" w:rsidRPr="004F7C32">
        <w:t xml:space="preserve">mil. Kč na podílu sdílených daní. V případě uvedeného </w:t>
      </w:r>
      <w:r w:rsidR="00A63C37">
        <w:t>poklesu</w:t>
      </w:r>
      <w:r w:rsidR="00A63C37" w:rsidRPr="004F7C32">
        <w:t xml:space="preserve"> počtu žáků město dostává o cca </w:t>
      </w:r>
      <w:r w:rsidR="00A63C37">
        <w:t>2,9</w:t>
      </w:r>
      <w:r w:rsidR="00A63C37" w:rsidRPr="004F7C32">
        <w:t xml:space="preserve"> mil. Kč </w:t>
      </w:r>
      <w:r w:rsidR="00A63C37">
        <w:t>méně</w:t>
      </w:r>
      <w:r w:rsidR="00A63C37" w:rsidRPr="004F7C32">
        <w:t>.</w:t>
      </w:r>
    </w:p>
    <w:p w:rsidR="00A63C37" w:rsidRPr="00BA3D8E" w:rsidRDefault="00E8249A" w:rsidP="00A63C37">
      <w:pPr>
        <w:rPr>
          <w:u w:val="single"/>
        </w:rPr>
      </w:pPr>
      <w:r>
        <w:rPr>
          <w:rFonts w:ascii="Verdana" w:hAnsi="Verdana"/>
          <w:noProof/>
          <w:sz w:val="19"/>
          <w:highlight w:val="cyan"/>
          <w:lang w:eastAsia="cs-CZ"/>
        </w:rPr>
        <mc:AlternateContent>
          <mc:Choice Requires="wps">
            <w:drawing>
              <wp:anchor distT="0" distB="0" distL="114300" distR="114300" simplePos="0" relativeHeight="251879936" behindDoc="0" locked="0" layoutInCell="1" allowOverlap="1">
                <wp:simplePos x="0" y="0"/>
                <wp:positionH relativeFrom="page">
                  <wp:posOffset>541655</wp:posOffset>
                </wp:positionH>
                <wp:positionV relativeFrom="paragraph">
                  <wp:posOffset>0</wp:posOffset>
                </wp:positionV>
                <wp:extent cx="1403985" cy="626110"/>
                <wp:effectExtent l="0" t="0" r="0" b="0"/>
                <wp:wrapNone/>
                <wp:docPr id="729" name="Textové pole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03985" cy="626110"/>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DA6167" w:rsidRPr="00370D4F" w:rsidRDefault="00DA6167" w:rsidP="00A63C37">
                            <w:pPr>
                              <w:spacing w:before="0"/>
                              <w:jc w:val="left"/>
                              <w:rPr>
                                <w:rFonts w:cstheme="minorHAnsi"/>
                                <w:i/>
                                <w:szCs w:val="22"/>
                              </w:rPr>
                            </w:pPr>
                            <w:r>
                              <w:rPr>
                                <w:rStyle w:val="Odkaznakoment"/>
                                <w:rFonts w:cstheme="minorHAnsi"/>
                                <w:i/>
                                <w:sz w:val="20"/>
                                <w:szCs w:val="20"/>
                              </w:rPr>
                              <w:t>Nutnost věnovat velkou pozornost aktuálnímu stavu rozpočtu.</w:t>
                            </w:r>
                          </w:p>
                          <w:p w:rsidR="00DA6167" w:rsidRPr="001B58F3" w:rsidRDefault="00DA6167" w:rsidP="00A63C37">
                            <w:pPr>
                              <w:spacing w:after="0"/>
                              <w:jc w:val="left"/>
                              <w:rPr>
                                <w:rFonts w:cstheme="minorHAnsi"/>
                                <w:i/>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margin">
                  <wp14:pctHeight>0</wp14:pctHeight>
                </wp14:sizeRelV>
              </wp:anchor>
            </w:drawing>
          </mc:Choice>
          <mc:Fallback>
            <w:pict>
              <v:shape id="_x0000_s1053" type="#_x0000_t202" style="position:absolute;left:0;text-align:left;margin-left:42.65pt;margin-top:0;width:110.55pt;height:49.3pt;z-index:251879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" fillcolor="white [3201]" stroked="f" strokeweight=".5pt">
                <v:path arrowok="t"/>
                <v:textbox inset="0,0,0,0">
                  <w:txbxContent>
                    <w:p w:rsidR="00DA6167" w:rsidRPr="00370D4F" w:rsidRDefault="00DA6167" w:rsidP="00A63C37">
                      <w:pPr>
                        <w:spacing w:before="0"/>
                        <w:jc w:val="left"/>
                        <w:rPr>
                          <w:rFonts w:cstheme="minorHAnsi"/>
                          <w:i/>
                          <w:szCs w:val="22"/>
                        </w:rPr>
                      </w:pPr>
                      <w:r>
                        <w:rPr>
                          <w:rStyle w:val="Odkaznakoment"/>
                          <w:rFonts w:cstheme="minorHAnsi"/>
                          <w:i/>
                          <w:sz w:val="20"/>
                          <w:szCs w:val="20"/>
                        </w:rPr>
                        <w:t>Nutnost věnovat velkou pozornost aktuálnímu stavu rozpočtu.</w:t>
                      </w:r>
                    </w:p>
                    <w:p w:rsidR="00DA6167" w:rsidRPr="001B58F3" w:rsidRDefault="00DA6167" w:rsidP="00A63C37">
                      <w:pPr>
                        <w:spacing w:after="0"/>
                        <w:jc w:val="left"/>
                        <w:rPr>
                          <w:rFonts w:cstheme="minorHAnsi"/>
                          <w:i/>
                          <w:sz w:val="20"/>
                          <w:szCs w:val="20"/>
                        </w:rPr>
                      </w:pPr>
                    </w:p>
                  </w:txbxContent>
                </v:textbox>
                <w10:wrap anchorx="page"/>
              </v:shape>
            </w:pict>
          </mc:Fallback>
        </mc:AlternateContent>
      </w:r>
      <w:r w:rsidR="00A63C37" w:rsidRPr="00EF7D93">
        <w:t>O to větší pozornost musí být soustředěna na plánovací dokument (rozpočet),</w:t>
      </w:r>
      <w:r w:rsidR="00A63C37" w:rsidRPr="006F6B3B">
        <w:t xml:space="preserve"> </w:t>
      </w:r>
      <w:r w:rsidR="00A63C37" w:rsidRPr="00EF7D93">
        <w:t>ze kter</w:t>
      </w:r>
      <w:r w:rsidR="00A63C37">
        <w:t>ého</w:t>
      </w:r>
      <w:r w:rsidR="00A63C37" w:rsidRPr="00EF7D93">
        <w:t xml:space="preserve"> vychází střednědob</w:t>
      </w:r>
      <w:r w:rsidR="00A63C37">
        <w:t>ý</w:t>
      </w:r>
      <w:r w:rsidR="00A63C37" w:rsidRPr="00EF7D93">
        <w:t xml:space="preserve"> výhled </w:t>
      </w:r>
      <w:r w:rsidR="00A63C37" w:rsidRPr="00C8684C">
        <w:t>rozpočtu. V rámci analýzy minulého období jsme posuzovali také rozpočet na aktuální rok. Při absolutním meziročním porovnání dle tříd rozpočtové skladby dosahuje pozitivního vývoje třída daňových a nedaňových příjmů</w:t>
      </w:r>
      <w:r w:rsidR="00A63C37" w:rsidRPr="00DA6167">
        <w:t xml:space="preserve">. </w:t>
      </w:r>
      <w:r w:rsidR="00DA6167" w:rsidRPr="00DA6167">
        <w:t>P</w:t>
      </w:r>
      <w:r w:rsidR="00A63C37" w:rsidRPr="00DA6167">
        <w:t>okles přijatých transferů</w:t>
      </w:r>
      <w:r w:rsidR="00A63C37" w:rsidRPr="00C8684C">
        <w:t xml:space="preserve"> je zapříčiněn zapojováním financí do rozpočtu až v průběhu roku (po obdržení rozhodnutí od poskytovatele dotace). Přesto je dosaženo celkového růstu příjmů 40,5 mil. Kč. Výdaje rostou v provozní i kapitálové části rozpočtu, celkový růst výdajů je 457,8 mil. Kč.</w:t>
      </w:r>
    </w:p>
    <w:p w:rsidR="00A63C37" w:rsidRPr="003D22E1" w:rsidRDefault="00A63C37" w:rsidP="00A63C37">
      <w:pPr>
        <w:pStyle w:val="Graf0"/>
      </w:pPr>
      <w:bookmarkStart w:id="69" w:name="_Toc118977818"/>
      <w:r w:rsidRPr="003D22E1">
        <w:t>Meziroční vývoj rozpočtu dle tříd rozpočtové skladby</w:t>
      </w:r>
      <w:bookmarkEnd w:id="69"/>
    </w:p>
    <w:p w:rsidR="00A63C37" w:rsidRDefault="00A63C37" w:rsidP="00A63C37">
      <w:pPr>
        <w:pStyle w:val="Objekt"/>
      </w:pPr>
      <w:r>
        <w:rPr>
          <w:noProof/>
          <w:lang w:eastAsia="cs-CZ"/>
        </w:rPr>
        <w:drawing>
          <wp:inline distT="0" distB="0" distL="0" distR="0">
            <wp:extent cx="4860925" cy="2014183"/>
            <wp:effectExtent l="0" t="0" r="0" b="0"/>
            <wp:docPr id="55" name="Obráze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860925" cy="2014183"/>
                    </a:xfrm>
                    <a:prstGeom prst="rect">
                      <a:avLst/>
                    </a:prstGeom>
                    <a:noFill/>
                    <a:ln>
                      <a:noFill/>
                    </a:ln>
                  </pic:spPr>
                </pic:pic>
              </a:graphicData>
            </a:graphic>
          </wp:inline>
        </w:drawing>
      </w:r>
    </w:p>
    <w:p w:rsidR="00A63C37" w:rsidRPr="00C8684C" w:rsidRDefault="00A63C37" w:rsidP="00A63C37">
      <w:r w:rsidRPr="00EF7D93">
        <w:t xml:space="preserve">V kapitole 1.3.2 jsme posuzovali hodnoty platného rozpočtu s dosaženými skutečnými hodnotami na konci </w:t>
      </w:r>
      <w:r w:rsidRPr="00C8684C">
        <w:t xml:space="preserve">rozpočtového roku. Bylo konstatováno, že rozpočet odráží určitou míru opatrnosti (mírně podhodnocené příjmy a nadhodnocené výdaje). Je třeba ale </w:t>
      </w:r>
      <w:r w:rsidRPr="00C8684C">
        <w:lastRenderedPageBreak/>
        <w:t xml:space="preserve">dodržovat jedno důležité pravidlo – provozní (běžné) výdaje by neměly </w:t>
      </w:r>
      <w:r w:rsidRPr="00C8684C">
        <w:rPr>
          <w:b/>
        </w:rPr>
        <w:t>růst rychleji</w:t>
      </w:r>
      <w:r w:rsidRPr="00C8684C">
        <w:t xml:space="preserve"> než provozní (běžné) příjmy.</w:t>
      </w:r>
    </w:p>
    <w:p w:rsidR="00A63C37" w:rsidRPr="006E1C35" w:rsidRDefault="00A63C37" w:rsidP="00A63C37">
      <w:r w:rsidRPr="00C8684C">
        <w:t>Vlastní investiční aktivita města způsobuje záporné saldo hospodaření v letech 2017 a 2018 (38,5, resp. 64,0 mil. Kč). V obou letech bylo záporné saldo zapříčiněno zvýšenými investičními výdaji. Po zohlednění financování (uhrazených jistin a přijatých půjček) bylo záporné saldo hospodaření také v letech 2017 a 2018 (95,3, resp. 16,0 mil. Kč). Vliv splácení závazků přijatých v předešlém období se projevil zejména na hodnotách ukazatele dluhové služby. Ukazatel ve sledovaném období dosahoval hodnot v intervalu od 4,07 % (2019) do 5,15 % (2017). V celém sledovaném období se jedná o příznivé hodnoty. Saldo hospodaření v rozpočtu na rok 2021 je kryto přebytky hospodaření minulých let ve výši 367,7 mil. Kč.</w:t>
      </w:r>
    </w:p>
    <w:p w:rsidR="00A63C37" w:rsidRPr="007F7EE4" w:rsidRDefault="00A63C37" w:rsidP="00A63C37">
      <w:pPr>
        <w:pStyle w:val="Graf0"/>
      </w:pPr>
      <w:bookmarkStart w:id="70" w:name="_Toc55981690"/>
      <w:bookmarkStart w:id="71" w:name="_Toc118977819"/>
      <w:r w:rsidRPr="007F7EE4">
        <w:t>Saldo provozního a kapitálového rozpočtu</w:t>
      </w:r>
      <w:bookmarkEnd w:id="70"/>
      <w:bookmarkEnd w:id="71"/>
    </w:p>
    <w:p w:rsidR="00A63C37" w:rsidRPr="007631EA" w:rsidRDefault="00A63C37" w:rsidP="00A63C37">
      <w:pPr>
        <w:pStyle w:val="Objekt"/>
      </w:pPr>
      <w:r>
        <w:rPr>
          <w:noProof/>
          <w:lang w:eastAsia="cs-CZ"/>
        </w:rPr>
        <w:drawing>
          <wp:inline distT="0" distB="0" distL="0" distR="0">
            <wp:extent cx="4860925" cy="2014183"/>
            <wp:effectExtent l="0" t="0" r="0" b="0"/>
            <wp:docPr id="56" name="Obráze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860925" cy="2014183"/>
                    </a:xfrm>
                    <a:prstGeom prst="rect">
                      <a:avLst/>
                    </a:prstGeom>
                    <a:noFill/>
                    <a:ln>
                      <a:noFill/>
                    </a:ln>
                  </pic:spPr>
                </pic:pic>
              </a:graphicData>
            </a:graphic>
          </wp:inline>
        </w:drawing>
      </w:r>
    </w:p>
    <w:p w:rsidR="00A63C37" w:rsidRPr="004D0FAA" w:rsidRDefault="00A63C37" w:rsidP="00A63C37">
      <w:pPr>
        <w:pStyle w:val="Nadpis3"/>
      </w:pPr>
      <w:r w:rsidRPr="004D0FAA">
        <w:t>Rekapitulace</w:t>
      </w:r>
    </w:p>
    <w:p w:rsidR="00A63C37" w:rsidRPr="005F1E28" w:rsidRDefault="00A63C37" w:rsidP="00A63C37">
      <w:r>
        <w:t xml:space="preserve">V rámci kapitoly byla provedena analýza hospodaření minulého období s důrazem na vývoj základních ekonomických ukazatelů. Výstup analýzy je základním předpokladem pro sestavení </w:t>
      </w:r>
      <w:r w:rsidRPr="005F1E28">
        <w:t>střednědobého výhledu ro</w:t>
      </w:r>
      <w:r>
        <w:t>zpočtu, který je do značné míry</w:t>
      </w:r>
      <w:r w:rsidRPr="005F1E28">
        <w:t xml:space="preserve"> ovlivněn také externími podmínkami. Níže uvádíme přehled vybraných výstupů analýzy a externích faktorů, které budou nebo mohou ovlivňovat hospodaření výhledového období.</w:t>
      </w:r>
    </w:p>
    <w:p w:rsidR="00A63C37" w:rsidRPr="005F1E28" w:rsidRDefault="00A63C37" w:rsidP="00A63C37">
      <w:r w:rsidRPr="005F1E28">
        <w:t>POZITIVA HOSPODAŘENÍ</w:t>
      </w:r>
    </w:p>
    <w:p w:rsidR="00A63C37" w:rsidRPr="005A207B" w:rsidRDefault="004C2E66" w:rsidP="00A63C37">
      <w:pPr>
        <w:pStyle w:val="Kaskda0"/>
        <w:numPr>
          <w:ilvl w:val="0"/>
          <w:numId w:val="43"/>
        </w:numPr>
      </w:pPr>
      <w:r>
        <w:t xml:space="preserve">Značná </w:t>
      </w:r>
      <w:r w:rsidR="00A63C37" w:rsidRPr="005A207B">
        <w:t>investiční činnost – za pětileté období proinvestováno 1 110,9 mil. Kč</w:t>
      </w:r>
    </w:p>
    <w:p w:rsidR="00A63C37" w:rsidRPr="005A207B" w:rsidRDefault="007F0646" w:rsidP="00A63C37">
      <w:pPr>
        <w:pStyle w:val="Kaskda0"/>
        <w:numPr>
          <w:ilvl w:val="0"/>
          <w:numId w:val="43"/>
        </w:numPr>
      </w:pPr>
      <w:r w:rsidRPr="005A207B">
        <w:t>S</w:t>
      </w:r>
      <w:r w:rsidR="00A63C37" w:rsidRPr="005A207B">
        <w:t xml:space="preserve">nížená hodnota provozního hospodaření (hodnota PP/BP </w:t>
      </w:r>
      <w:r w:rsidR="005A207B" w:rsidRPr="005A207B">
        <w:t xml:space="preserve">od </w:t>
      </w:r>
      <w:r w:rsidR="00A63C37" w:rsidRPr="005A207B">
        <w:t>15,88</w:t>
      </w:r>
      <w:r w:rsidR="005A207B" w:rsidRPr="005A207B">
        <w:t xml:space="preserve"> do 18,71 %</w:t>
      </w:r>
      <w:r w:rsidR="00A63C37" w:rsidRPr="005A207B">
        <w:t xml:space="preserve"> při optimální výši 25 %)</w:t>
      </w:r>
    </w:p>
    <w:p w:rsidR="00A63C37" w:rsidRPr="00C8684C" w:rsidRDefault="00A63C37" w:rsidP="00A63C37">
      <w:pPr>
        <w:pStyle w:val="Kaskda0"/>
        <w:numPr>
          <w:ilvl w:val="0"/>
          <w:numId w:val="43"/>
        </w:numPr>
      </w:pPr>
      <w:r w:rsidRPr="00C8684C">
        <w:t>Nízké dluhové zatížení (maximální hodnota fiskálního pravidla - 39,46 % a ukazatele dluhové služby 5,15 %).</w:t>
      </w:r>
    </w:p>
    <w:p w:rsidR="00A63C37" w:rsidRPr="0069225D" w:rsidRDefault="00A63C37" w:rsidP="00A63C37">
      <w:r w:rsidRPr="00C8684C">
        <w:t>MOŽNÉ OHROŽENÍ HOSPODAŘENÍ</w:t>
      </w:r>
    </w:p>
    <w:p w:rsidR="00A63C37" w:rsidRPr="005F1E28" w:rsidRDefault="00A63C37" w:rsidP="00A63C37">
      <w:pPr>
        <w:pStyle w:val="Kaskda0"/>
        <w:numPr>
          <w:ilvl w:val="0"/>
          <w:numId w:val="42"/>
        </w:numPr>
      </w:pPr>
      <w:r w:rsidRPr="005F1E28">
        <w:t>Prodlužující se ekonomická krize</w:t>
      </w:r>
      <w:r>
        <w:t xml:space="preserve"> (vysoká inflace, válka na Ukrajině)</w:t>
      </w:r>
    </w:p>
    <w:p w:rsidR="00A63C37" w:rsidRPr="005F1E28" w:rsidRDefault="00A63C37" w:rsidP="00A63C37">
      <w:pPr>
        <w:pStyle w:val="Kaskda0"/>
        <w:numPr>
          <w:ilvl w:val="0"/>
          <w:numId w:val="42"/>
        </w:numPr>
      </w:pPr>
      <w:r w:rsidRPr="005F1E28">
        <w:t xml:space="preserve">Zvýšené nároky na krytí provozních i kapitálových výdajů – platy, energetická krize, inflace (ceny materiálu, </w:t>
      </w:r>
      <w:proofErr w:type="gramStart"/>
      <w:r w:rsidRPr="005F1E28">
        <w:t>služeb,</w:t>
      </w:r>
      <w:proofErr w:type="gramEnd"/>
      <w:r w:rsidRPr="005F1E28">
        <w:t xml:space="preserve"> apod.)</w:t>
      </w:r>
    </w:p>
    <w:p w:rsidR="00A63C37" w:rsidRPr="005F1E28" w:rsidRDefault="00A63C37" w:rsidP="00A63C37">
      <w:pPr>
        <w:pStyle w:val="Kaskda0"/>
        <w:numPr>
          <w:ilvl w:val="0"/>
          <w:numId w:val="42"/>
        </w:numPr>
      </w:pPr>
      <w:r w:rsidRPr="005F1E28">
        <w:t>Zvyšování úrokových sazeb</w:t>
      </w:r>
    </w:p>
    <w:p w:rsidR="00A63C37" w:rsidRPr="005F1E28" w:rsidRDefault="00A63C37" w:rsidP="00A63C37">
      <w:pPr>
        <w:pStyle w:val="Kaskda0"/>
        <w:numPr>
          <w:ilvl w:val="0"/>
          <w:numId w:val="42"/>
        </w:numPr>
      </w:pPr>
      <w:r>
        <w:t>Ve sledovaném období k</w:t>
      </w:r>
      <w:r w:rsidRPr="005F1E28">
        <w:t>les</w:t>
      </w:r>
      <w:r w:rsidR="00416AEE">
        <w:t>á</w:t>
      </w:r>
      <w:r w:rsidRPr="005F1E28">
        <w:t xml:space="preserve"> </w:t>
      </w:r>
      <w:r w:rsidRPr="00416AEE">
        <w:t>počet obyvatel (-</w:t>
      </w:r>
      <w:r w:rsidR="00416AEE" w:rsidRPr="00416AEE">
        <w:t>3418</w:t>
      </w:r>
      <w:r w:rsidRPr="00416AEE">
        <w:t>) i žáků (-</w:t>
      </w:r>
      <w:r w:rsidR="00416AEE" w:rsidRPr="00416AEE">
        <w:t>165</w:t>
      </w:r>
      <w:r w:rsidRPr="00416AEE">
        <w:t>)</w:t>
      </w:r>
    </w:p>
    <w:p w:rsidR="00A63C37" w:rsidRPr="005F1E28" w:rsidRDefault="00A63C37" w:rsidP="00A63C37">
      <w:pPr>
        <w:pStyle w:val="Kaskda0"/>
        <w:numPr>
          <w:ilvl w:val="0"/>
          <w:numId w:val="42"/>
        </w:numPr>
      </w:pPr>
      <w:r w:rsidRPr="005F1E28">
        <w:t>Nestabilita veřejných financí</w:t>
      </w:r>
    </w:p>
    <w:p w:rsidR="00066709" w:rsidRPr="00F16F2E" w:rsidRDefault="00A63C37" w:rsidP="00F16F2E">
      <w:pPr>
        <w:pStyle w:val="Kaskda0"/>
        <w:numPr>
          <w:ilvl w:val="0"/>
          <w:numId w:val="42"/>
        </w:numPr>
      </w:pPr>
      <w:r w:rsidRPr="005F1E28">
        <w:t>Uprchlická krize – mezinárodní politická situace</w:t>
      </w:r>
      <w:r w:rsidR="00066709" w:rsidRPr="00F16F2E">
        <w:rPr>
          <w:highlight w:val="yellow"/>
        </w:rPr>
        <w:br w:type="page"/>
      </w:r>
    </w:p>
    <w:p w:rsidR="00B01126" w:rsidRPr="00493382" w:rsidRDefault="00B01126" w:rsidP="00993408">
      <w:pPr>
        <w:pStyle w:val="Nadpis1"/>
      </w:pPr>
      <w:bookmarkStart w:id="72" w:name="_Toc368988442"/>
      <w:bookmarkStart w:id="73" w:name="_Toc370281263"/>
      <w:bookmarkStart w:id="74" w:name="_Toc62211722"/>
      <w:bookmarkStart w:id="75" w:name="_Toc118978219"/>
      <w:r w:rsidRPr="00493382">
        <w:lastRenderedPageBreak/>
        <w:t>Střednědobý výhled rozpočtu</w:t>
      </w:r>
      <w:bookmarkEnd w:id="72"/>
      <w:bookmarkEnd w:id="73"/>
      <w:bookmarkEnd w:id="74"/>
      <w:bookmarkEnd w:id="75"/>
    </w:p>
    <w:p w:rsidR="00FF3363" w:rsidRDefault="00FF3363" w:rsidP="00993408">
      <w:r w:rsidRPr="00FF3363">
        <w:t>Střednědobý výhled rozpočtu je dokument, který modeluje vývoj příjmů i výdajů v budoucím období. Jeho obsahem jsou též smluvně podložené investiční akce a kompletní dluhová služba. Takto sestavený výhled, který reprezentuje proces střed-</w:t>
      </w:r>
      <w:proofErr w:type="spellStart"/>
      <w:r w:rsidRPr="00FF3363">
        <w:t>nědobého</w:t>
      </w:r>
      <w:proofErr w:type="spellEnd"/>
      <w:r w:rsidRPr="00FF3363">
        <w:t xml:space="preserve"> plánování, je podkladem pro řízení rozvoje a samozřejmě i udržitelnosti ekonomické stability územních samosprávných celků. Jeho přínosem je úspora času při sestavování rozpočtu. Na základě informace o výši volných finančních prostředků, využitelných na částečné pokrytí investičních záměrů, přispívá k eliminaci rizik při rozhodování o nových úvěrech. Zároveň usnadňuje tvorbu podkladů pro žádosti o úvěr nebo dotaci.</w:t>
      </w:r>
    </w:p>
    <w:p w:rsidR="00B01126" w:rsidRPr="00493382" w:rsidRDefault="00B01126" w:rsidP="00993408">
      <w:r w:rsidRPr="00DA6167">
        <w:t>Střednědobý výhled rozpočtu je sestaven s jistou mírou opatrnosti, tzn. s mírně nižšími očekávanými příjmy</w:t>
      </w:r>
      <w:r w:rsidR="00DA6167">
        <w:t xml:space="preserve"> (vyjma sdílených daní)</w:t>
      </w:r>
      <w:r w:rsidRPr="00DA6167">
        <w:t xml:space="preserve"> a trochu nadhodnocenými výdaji. Je ale postaven na reálných základech.</w:t>
      </w:r>
      <w:r w:rsidRPr="00493382">
        <w:t xml:space="preserve"> </w:t>
      </w:r>
    </w:p>
    <w:p w:rsidR="00B01126" w:rsidRPr="00A2717D" w:rsidRDefault="00E8249A" w:rsidP="00993408">
      <w:r>
        <w:rPr>
          <w:rFonts w:ascii="Verdana" w:hAnsi="Verdana"/>
          <w:noProof/>
          <w:sz w:val="19"/>
          <w:highlight w:val="cyan"/>
          <w:lang w:eastAsia="cs-CZ"/>
        </w:rPr>
        <mc:AlternateContent>
          <mc:Choice Requires="wps">
            <w:drawing>
              <wp:anchor distT="0" distB="0" distL="114300" distR="114300" simplePos="0" relativeHeight="251801088" behindDoc="0" locked="0" layoutInCell="1" allowOverlap="1">
                <wp:simplePos x="0" y="0"/>
                <wp:positionH relativeFrom="page">
                  <wp:posOffset>541655</wp:posOffset>
                </wp:positionH>
                <wp:positionV relativeFrom="paragraph">
                  <wp:posOffset>1769110</wp:posOffset>
                </wp:positionV>
                <wp:extent cx="1403985" cy="812800"/>
                <wp:effectExtent l="0" t="0" r="0" b="0"/>
                <wp:wrapNone/>
                <wp:docPr id="731" name="Textové pole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03985" cy="812800"/>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DA6167" w:rsidRPr="001B58F3" w:rsidRDefault="00DA6167" w:rsidP="00E03088">
                            <w:pPr>
                              <w:spacing w:after="0"/>
                              <w:jc w:val="left"/>
                              <w:rPr>
                                <w:rFonts w:cstheme="minorHAnsi"/>
                                <w:i/>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margin">
                  <wp14:pctHeight>0</wp14:pctHeight>
                </wp14:sizeRelV>
              </wp:anchor>
            </w:drawing>
          </mc:Choice>
          <mc:Fallback>
            <w:pict>
              <v:shape id="_x0000_s1054" type="#_x0000_t202" style="position:absolute;left:0;text-align:left;margin-left:42.65pt;margin-top:139.3pt;width:110.55pt;height:64pt;z-index:251801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" fillcolor="white [3201]" stroked="f" strokeweight=".5pt">
                <v:path arrowok="t"/>
                <v:textbox inset="0,0,0,0">
                  <w:txbxContent>
                    <w:p w:rsidR="00DA6167" w:rsidRPr="001B58F3" w:rsidRDefault="00DA6167" w:rsidP="00E03088">
                      <w:pPr>
                        <w:spacing w:after="0"/>
                        <w:jc w:val="left"/>
                        <w:rPr>
                          <w:rFonts w:cstheme="minorHAnsi"/>
                          <w:i/>
                          <w:sz w:val="20"/>
                          <w:szCs w:val="20"/>
                        </w:rPr>
                      </w:pPr>
                    </w:p>
                  </w:txbxContent>
                </v:textbox>
                <w10:wrap anchorx="page"/>
              </v:shape>
            </w:pict>
          </mc:Fallback>
        </mc:AlternateContent>
      </w:r>
      <w:r w:rsidR="00FF3363" w:rsidRPr="00FF3363">
        <w:t xml:space="preserve">Jedním z mála zjednodušení při sestavování SVR je vypuštění neinvestičních transferů s účelovým </w:t>
      </w:r>
      <w:proofErr w:type="gramStart"/>
      <w:r w:rsidR="00FF3363" w:rsidRPr="00FF3363">
        <w:t>znakem</w:t>
      </w:r>
      <w:proofErr w:type="gramEnd"/>
      <w:r w:rsidR="00FF3363" w:rsidRPr="00FF3363">
        <w:t xml:space="preserve"> a to jak na straně příjmové</w:t>
      </w:r>
      <w:r w:rsidR="006422DC">
        <w:t>, tak</w:t>
      </w:r>
      <w:r w:rsidR="00FF3363" w:rsidRPr="00FF3363">
        <w:t xml:space="preserve"> i výdajové (např.: neinvestiční přijaté transfery ze státního rozpočtu zejména na položkách 4111 a 4116, apod.). Transfery na příjmové i výdajové straně působí neutrálně na saldo hospodaření, zvyšují však hodnoty příjmů a výdajů. Zároveň nezahrnutím těchto vybraných transferů může meziroční vývoj některých ukazatelů nebo celkových objemů navodit dojem zhoršeného hospodaření.</w:t>
      </w:r>
    </w:p>
    <w:bookmarkStart w:id="76" w:name="_Toc365274726"/>
    <w:bookmarkStart w:id="77" w:name="_Toc368988412"/>
    <w:bookmarkStart w:id="78" w:name="_Toc428350385"/>
    <w:bookmarkStart w:id="79" w:name="_Toc55981703"/>
    <w:bookmarkStart w:id="80" w:name="_Toc118977790"/>
    <w:p w:rsidR="00B01126" w:rsidRPr="00A2717D" w:rsidRDefault="00E8249A" w:rsidP="009A770A">
      <w:pPr>
        <w:pStyle w:val="Tabulka"/>
      </w:pPr>
      <w:r>
        <w:rPr>
          <w:noProof/>
          <w:highlight w:val="cyan"/>
          <w:lang w:eastAsia="cs-CZ"/>
        </w:rPr>
        <mc:AlternateContent>
          <mc:Choice Requires="wps">
            <w:drawing>
              <wp:anchor distT="0" distB="0" distL="114300" distR="114300" simplePos="0" relativeHeight="251827712" behindDoc="0" locked="0" layoutInCell="1" allowOverlap="1">
                <wp:simplePos x="0" y="0"/>
                <wp:positionH relativeFrom="page">
                  <wp:posOffset>541655</wp:posOffset>
                </wp:positionH>
                <wp:positionV relativeFrom="paragraph">
                  <wp:posOffset>0</wp:posOffset>
                </wp:positionV>
                <wp:extent cx="1403985" cy="777875"/>
                <wp:effectExtent l="0" t="0" r="0" b="0"/>
                <wp:wrapNone/>
                <wp:docPr id="746" name="Textové pole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03985" cy="777875"/>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DA6167" w:rsidRPr="00BA3D8E" w:rsidRDefault="00DA6167" w:rsidP="001824DD">
                            <w:pPr>
                              <w:spacing w:before="0"/>
                              <w:jc w:val="left"/>
                              <w:rPr>
                                <w:rFonts w:cstheme="minorHAnsi"/>
                                <w:i/>
                                <w:sz w:val="20"/>
                                <w:szCs w:val="20"/>
                              </w:rPr>
                            </w:pPr>
                            <w:r w:rsidRPr="00A408CA">
                              <w:rPr>
                                <w:rStyle w:val="Odkaznakoment"/>
                                <w:rFonts w:cstheme="minorHAnsi"/>
                                <w:i/>
                                <w:sz w:val="20"/>
                                <w:szCs w:val="20"/>
                              </w:rPr>
                              <w:t>Hodnoty SVR, zejména v provozní části, silně ovlivňuje energetická krize a vysoká inflace.</w:t>
                            </w:r>
                          </w:p>
                          <w:p w:rsidR="00DA6167" w:rsidRPr="001B58F3" w:rsidRDefault="00DA6167" w:rsidP="00434F92">
                            <w:pPr>
                              <w:spacing w:after="0"/>
                              <w:jc w:val="left"/>
                              <w:rPr>
                                <w:rFonts w:cstheme="minorHAnsi"/>
                                <w:i/>
                                <w:sz w:val="20"/>
                                <w:szCs w:val="20"/>
                              </w:rPr>
                            </w:pPr>
                          </w:p>
                          <w:p w:rsidR="00DA6167" w:rsidRPr="001B58F3" w:rsidRDefault="00DA6167" w:rsidP="00E03088">
                            <w:pPr>
                              <w:spacing w:after="0"/>
                              <w:jc w:val="left"/>
                              <w:rPr>
                                <w:rFonts w:cstheme="minorHAnsi"/>
                                <w:i/>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margin">
                  <wp14:pctHeight>0</wp14:pctHeight>
                </wp14:sizeRelV>
              </wp:anchor>
            </w:drawing>
          </mc:Choice>
          <mc:Fallback>
            <w:pict>
              <v:shape id="_x0000_s1055" type="#_x0000_t202" style="position:absolute;left:0;text-align:left;margin-left:42.65pt;margin-top:0;width:110.55pt;height:61.25pt;z-index:251827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" fillcolor="white [3201]" stroked="f" strokeweight=".5pt">
                <v:path arrowok="t"/>
                <v:textbox inset="0,0,0,0">
                  <w:txbxContent>
                    <w:p w:rsidR="00DA6167" w:rsidRPr="00BA3D8E" w:rsidRDefault="00DA6167" w:rsidP="001824DD">
                      <w:pPr>
                        <w:spacing w:before="0"/>
                        <w:jc w:val="left"/>
                        <w:rPr>
                          <w:rFonts w:cstheme="minorHAnsi"/>
                          <w:i/>
                          <w:sz w:val="20"/>
                          <w:szCs w:val="20"/>
                        </w:rPr>
                      </w:pPr>
                      <w:r w:rsidRPr="00A408CA">
                        <w:rPr>
                          <w:rStyle w:val="Odkaznakoment"/>
                          <w:rFonts w:cstheme="minorHAnsi"/>
                          <w:i/>
                          <w:sz w:val="20"/>
                          <w:szCs w:val="20"/>
                        </w:rPr>
                        <w:t>Hodnoty SVR, zejména v provozní části, silně ovlivňuje energetická krize a vysoká inflace.</w:t>
                      </w:r>
                    </w:p>
                    <w:p w:rsidR="00DA6167" w:rsidRPr="001B58F3" w:rsidRDefault="00DA6167" w:rsidP="00434F92">
                      <w:pPr>
                        <w:spacing w:after="0"/>
                        <w:jc w:val="left"/>
                        <w:rPr>
                          <w:rFonts w:cstheme="minorHAnsi"/>
                          <w:i/>
                          <w:sz w:val="20"/>
                          <w:szCs w:val="20"/>
                        </w:rPr>
                      </w:pPr>
                    </w:p>
                    <w:p w:rsidR="00DA6167" w:rsidRPr="001B58F3" w:rsidRDefault="00DA6167" w:rsidP="00E03088">
                      <w:pPr>
                        <w:spacing w:after="0"/>
                        <w:jc w:val="left"/>
                        <w:rPr>
                          <w:rFonts w:cstheme="minorHAnsi"/>
                          <w:i/>
                          <w:sz w:val="20"/>
                          <w:szCs w:val="20"/>
                        </w:rPr>
                      </w:pPr>
                    </w:p>
                  </w:txbxContent>
                </v:textbox>
                <w10:wrap anchorx="page"/>
              </v:shape>
            </w:pict>
          </mc:Fallback>
        </mc:AlternateContent>
      </w:r>
      <w:r w:rsidR="005C35CB" w:rsidRPr="009A770A">
        <w:t>K</w:t>
      </w:r>
      <w:r w:rsidR="00B01126" w:rsidRPr="009A770A">
        <w:t>umulovaný střednědobý výhled rozpočt</w:t>
      </w:r>
      <w:r w:rsidR="00B01126" w:rsidRPr="00A2717D">
        <w:t>u</w:t>
      </w:r>
      <w:bookmarkEnd w:id="76"/>
      <w:bookmarkEnd w:id="77"/>
      <w:bookmarkEnd w:id="78"/>
      <w:bookmarkEnd w:id="79"/>
      <w:bookmarkEnd w:id="80"/>
    </w:p>
    <w:p w:rsidR="00B01126" w:rsidRPr="00A2717D" w:rsidRDefault="005373CB" w:rsidP="00A2717D">
      <w:pPr>
        <w:pStyle w:val="Objekt"/>
        <w:rPr>
          <w:vertAlign w:val="subscript"/>
          <w:lang w:val="en-US"/>
        </w:rPr>
      </w:pPr>
      <w:r w:rsidRPr="005373CB">
        <w:rPr>
          <w:noProof/>
          <w:lang w:eastAsia="cs-CZ"/>
        </w:rPr>
        <w:drawing>
          <wp:inline distT="0" distB="0" distL="0" distR="0">
            <wp:extent cx="4860925" cy="2980328"/>
            <wp:effectExtent l="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860925" cy="2980328"/>
                    </a:xfrm>
                    <a:prstGeom prst="rect">
                      <a:avLst/>
                    </a:prstGeom>
                    <a:noFill/>
                    <a:ln>
                      <a:noFill/>
                    </a:ln>
                  </pic:spPr>
                </pic:pic>
              </a:graphicData>
            </a:graphic>
          </wp:inline>
        </w:drawing>
      </w:r>
    </w:p>
    <w:p w:rsidR="00B01126" w:rsidRPr="007631EA" w:rsidRDefault="00B01126" w:rsidP="00993408">
      <w:pPr>
        <w:pStyle w:val="Nadpis2"/>
      </w:pPr>
      <w:bookmarkStart w:id="81" w:name="_Toc62211723"/>
      <w:bookmarkStart w:id="82" w:name="_Toc118978220"/>
      <w:r w:rsidRPr="007631EA">
        <w:t>Provozní hospodaření výhledového období</w:t>
      </w:r>
      <w:bookmarkEnd w:id="81"/>
      <w:bookmarkEnd w:id="82"/>
    </w:p>
    <w:p w:rsidR="00B01126" w:rsidRPr="00D61273" w:rsidRDefault="009A770A" w:rsidP="00993408">
      <w:r>
        <w:t>Obsah kapitoly je zaměřen na vybrané části sestaveného střednědobého výhledu rozpočtu</w:t>
      </w:r>
      <w:r w:rsidRPr="007631EA">
        <w:t xml:space="preserve">, který zobrazuje </w:t>
      </w:r>
      <w:r>
        <w:t xml:space="preserve">uvedená </w:t>
      </w:r>
      <w:r w:rsidRPr="007631EA">
        <w:t>tabulka kumulovaného výhledu</w:t>
      </w:r>
      <w:r>
        <w:t>.</w:t>
      </w:r>
    </w:p>
    <w:p w:rsidR="004F584E" w:rsidRPr="004D0FAA" w:rsidRDefault="00FF3363" w:rsidP="004F584E">
      <w:pPr>
        <w:pStyle w:val="Nadpis3"/>
      </w:pPr>
      <w:r>
        <w:lastRenderedPageBreak/>
        <w:t>Sdílené daně</w:t>
      </w:r>
    </w:p>
    <w:p w:rsidR="00B01126" w:rsidRPr="00110190" w:rsidRDefault="00E8249A" w:rsidP="00993408">
      <w:r>
        <w:rPr>
          <w:rFonts w:ascii="Verdana" w:hAnsi="Verdana"/>
          <w:noProof/>
          <w:sz w:val="19"/>
          <w:lang w:eastAsia="cs-CZ"/>
        </w:rPr>
        <mc:AlternateContent>
          <mc:Choice Requires="wps">
            <w:drawing>
              <wp:anchor distT="0" distB="0" distL="114300" distR="114300" simplePos="0" relativeHeight="251803136" behindDoc="0" locked="0" layoutInCell="1" allowOverlap="1">
                <wp:simplePos x="0" y="0"/>
                <wp:positionH relativeFrom="page">
                  <wp:posOffset>541655</wp:posOffset>
                </wp:positionH>
                <wp:positionV relativeFrom="paragraph">
                  <wp:posOffset>0</wp:posOffset>
                </wp:positionV>
                <wp:extent cx="1403985" cy="647700"/>
                <wp:effectExtent l="0" t="0" r="0" b="0"/>
                <wp:wrapNone/>
                <wp:docPr id="732" name="Textové pole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03985" cy="647700"/>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DA6167" w:rsidRPr="00370D4F" w:rsidRDefault="00DA6167" w:rsidP="00973A21">
                            <w:pPr>
                              <w:spacing w:before="0"/>
                              <w:jc w:val="left"/>
                              <w:rPr>
                                <w:rFonts w:cstheme="minorHAnsi"/>
                                <w:i/>
                                <w:szCs w:val="22"/>
                              </w:rPr>
                            </w:pPr>
                            <w:r>
                              <w:rPr>
                                <w:rStyle w:val="Odkaznakoment"/>
                                <w:rFonts w:cstheme="minorHAnsi"/>
                                <w:i/>
                                <w:sz w:val="20"/>
                                <w:szCs w:val="20"/>
                              </w:rPr>
                              <w:t>Hodnoty sdílených daní se nejvíce podílejí na vývoji provozních příjmů</w:t>
                            </w:r>
                          </w:p>
                          <w:p w:rsidR="00DA6167" w:rsidRPr="001B58F3" w:rsidRDefault="00DA6167" w:rsidP="00E03088">
                            <w:pPr>
                              <w:spacing w:after="0"/>
                              <w:jc w:val="left"/>
                              <w:rPr>
                                <w:rFonts w:cstheme="minorHAnsi"/>
                                <w:i/>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margin">
                  <wp14:pctHeight>0</wp14:pctHeight>
                </wp14:sizeRelV>
              </wp:anchor>
            </w:drawing>
          </mc:Choice>
          <mc:Fallback>
            <w:pict>
              <v:shape id="_x0000_s1056" type="#_x0000_t202" style="position:absolute;left:0;text-align:left;margin-left:42.65pt;margin-top:0;width:110.55pt;height:51pt;z-index:251803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" fillcolor="white [3201]" stroked="f" strokeweight=".5pt">
                <v:path arrowok="t"/>
                <v:textbox inset="0,0,0,0">
                  <w:txbxContent>
                    <w:p w:rsidR="00DA6167" w:rsidRPr="00370D4F" w:rsidRDefault="00DA6167" w:rsidP="00973A21">
                      <w:pPr>
                        <w:spacing w:before="0"/>
                        <w:jc w:val="left"/>
                        <w:rPr>
                          <w:rFonts w:cstheme="minorHAnsi"/>
                          <w:i/>
                          <w:szCs w:val="22"/>
                        </w:rPr>
                      </w:pPr>
                      <w:r>
                        <w:rPr>
                          <w:rStyle w:val="Odkaznakoment"/>
                          <w:rFonts w:cstheme="minorHAnsi"/>
                          <w:i/>
                          <w:sz w:val="20"/>
                          <w:szCs w:val="20"/>
                        </w:rPr>
                        <w:t>Hodnoty sdílených daní se nejvíce podílejí na vývoji provozních příjmů</w:t>
                      </w:r>
                    </w:p>
                    <w:p w:rsidR="00DA6167" w:rsidRPr="001B58F3" w:rsidRDefault="00DA6167" w:rsidP="00E03088">
                      <w:pPr>
                        <w:spacing w:after="0"/>
                        <w:jc w:val="left"/>
                        <w:rPr>
                          <w:rFonts w:cstheme="minorHAnsi"/>
                          <w:i/>
                          <w:sz w:val="20"/>
                          <w:szCs w:val="20"/>
                        </w:rPr>
                      </w:pPr>
                    </w:p>
                  </w:txbxContent>
                </v:textbox>
                <w10:wrap anchorx="page"/>
              </v:shape>
            </w:pict>
          </mc:Fallback>
        </mc:AlternateContent>
      </w:r>
      <w:r w:rsidR="00B01126" w:rsidRPr="00110190">
        <w:t xml:space="preserve">Příjmy ze sdílených daní meziročně rostou, jsou určeny předpokládaným vývojem na základě </w:t>
      </w:r>
      <w:r w:rsidR="004C28B2" w:rsidRPr="00110190">
        <w:t xml:space="preserve">návrhu </w:t>
      </w:r>
      <w:r w:rsidR="00B01126" w:rsidRPr="00110190">
        <w:t xml:space="preserve">státního rozpočtu na rok </w:t>
      </w:r>
      <w:r w:rsidR="00BB6E62" w:rsidRPr="00110190">
        <w:t>202</w:t>
      </w:r>
      <w:r w:rsidR="00110190" w:rsidRPr="00110190">
        <w:t>3</w:t>
      </w:r>
      <w:r w:rsidR="00B01126" w:rsidRPr="00110190">
        <w:t xml:space="preserve">, střednědobého výhledu státu na roky </w:t>
      </w:r>
      <w:proofErr w:type="gramStart"/>
      <w:r w:rsidR="00BB6E62" w:rsidRPr="00110190">
        <w:t>202</w:t>
      </w:r>
      <w:r w:rsidR="00110190" w:rsidRPr="00110190">
        <w:t>4</w:t>
      </w:r>
      <w:r w:rsidR="00B01126" w:rsidRPr="00110190">
        <w:t xml:space="preserve"> </w:t>
      </w:r>
      <w:r w:rsidR="004F584E" w:rsidRPr="00110190">
        <w:t>-</w:t>
      </w:r>
      <w:r w:rsidR="00B01126" w:rsidRPr="00110190">
        <w:t xml:space="preserve"> 202</w:t>
      </w:r>
      <w:r w:rsidR="00110190" w:rsidRPr="00110190">
        <w:t>5</w:t>
      </w:r>
      <w:proofErr w:type="gramEnd"/>
      <w:r w:rsidR="00B01126" w:rsidRPr="00110190">
        <w:t xml:space="preserve"> a následnou predikcí do roku </w:t>
      </w:r>
      <w:r w:rsidR="00BB6E62" w:rsidRPr="00110190">
        <w:t>2027</w:t>
      </w:r>
      <w:r w:rsidR="00B01126" w:rsidRPr="00110190">
        <w:t xml:space="preserve">. Nárůst sdílených daní od roku </w:t>
      </w:r>
      <w:r w:rsidR="00BB6E62" w:rsidRPr="00110190">
        <w:t>2021</w:t>
      </w:r>
      <w:r w:rsidR="00B01126" w:rsidRPr="00110190">
        <w:t xml:space="preserve"> (skutečnost), resp. </w:t>
      </w:r>
      <w:r w:rsidR="00BB6E62" w:rsidRPr="00110190">
        <w:t>2022</w:t>
      </w:r>
      <w:r w:rsidR="00B01126" w:rsidRPr="00110190">
        <w:t xml:space="preserve"> (plán</w:t>
      </w:r>
      <w:r w:rsidR="008D665E" w:rsidRPr="00110190">
        <w:t>/</w:t>
      </w:r>
      <w:r w:rsidR="00B01126" w:rsidRPr="00110190">
        <w:t>rozpoč</w:t>
      </w:r>
      <w:r w:rsidR="008D665E" w:rsidRPr="00110190">
        <w:t>et</w:t>
      </w:r>
      <w:r w:rsidR="00B01126" w:rsidRPr="00110190">
        <w:t xml:space="preserve">) do konce </w:t>
      </w:r>
      <w:r w:rsidR="000D195F" w:rsidRPr="00110190">
        <w:t>SVR</w:t>
      </w:r>
      <w:r w:rsidR="00B01126" w:rsidRPr="00110190">
        <w:t xml:space="preserve"> je </w:t>
      </w:r>
      <w:r w:rsidR="00BB6E62" w:rsidRPr="00110190">
        <w:t>336,5</w:t>
      </w:r>
      <w:r w:rsidR="0091622F" w:rsidRPr="00110190">
        <w:t xml:space="preserve"> </w:t>
      </w:r>
      <w:r w:rsidR="00B01126" w:rsidRPr="00110190">
        <w:t xml:space="preserve">mil. Kč, resp. </w:t>
      </w:r>
      <w:r w:rsidR="00BB6E62" w:rsidRPr="00110190">
        <w:t>306,4</w:t>
      </w:r>
      <w:r w:rsidR="0091622F" w:rsidRPr="00110190">
        <w:t xml:space="preserve"> </w:t>
      </w:r>
      <w:r w:rsidR="00B01126" w:rsidRPr="00110190">
        <w:t>mil. Kč.</w:t>
      </w:r>
    </w:p>
    <w:p w:rsidR="004C28B2" w:rsidRDefault="004C28B2" w:rsidP="00993408">
      <w:r w:rsidRPr="00110190">
        <w:t>V následujícím grafu je znázorněn vývoj sdílených daní v porovnání s hodnotami predikcí zv</w:t>
      </w:r>
      <w:r w:rsidR="007E238E" w:rsidRPr="00110190">
        <w:t>e</w:t>
      </w:r>
      <w:r w:rsidRPr="00110190">
        <w:t>řejněných</w:t>
      </w:r>
      <w:r>
        <w:t xml:space="preserve"> MF. Je zřejmé, že skutečně dosažené hodnoty jsou zpravidla vyšší než tyto výchozí predikce.</w:t>
      </w:r>
    </w:p>
    <w:p w:rsidR="004F584E" w:rsidRPr="00122D55" w:rsidRDefault="004F584E" w:rsidP="004F584E">
      <w:pPr>
        <w:pStyle w:val="Graf0"/>
      </w:pPr>
      <w:bookmarkStart w:id="83" w:name="_Toc118977820"/>
      <w:r w:rsidRPr="00122D55">
        <w:t>Vývoj sdílených daní</w:t>
      </w:r>
      <w:bookmarkEnd w:id="83"/>
    </w:p>
    <w:p w:rsidR="004F584E" w:rsidRDefault="00D02920" w:rsidP="00993408">
      <w:r w:rsidRPr="00D02920">
        <w:rPr>
          <w:noProof/>
          <w:lang w:eastAsia="cs-CZ"/>
        </w:rPr>
        <w:drawing>
          <wp:inline distT="0" distB="0" distL="0" distR="0">
            <wp:extent cx="4860925" cy="2014183"/>
            <wp:effectExtent l="0" t="0" r="0" b="0"/>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860925" cy="2014183"/>
                    </a:xfrm>
                    <a:prstGeom prst="rect">
                      <a:avLst/>
                    </a:prstGeom>
                    <a:noFill/>
                    <a:ln>
                      <a:noFill/>
                    </a:ln>
                  </pic:spPr>
                </pic:pic>
              </a:graphicData>
            </a:graphic>
          </wp:inline>
        </w:drawing>
      </w:r>
    </w:p>
    <w:p w:rsidR="009A770A" w:rsidRPr="00522B81" w:rsidRDefault="009A770A" w:rsidP="009A770A">
      <w:pPr>
        <w:pStyle w:val="Poznmka"/>
      </w:pPr>
      <w:r>
        <w:t>Poznámka: H</w:t>
      </w:r>
      <w:r w:rsidRPr="00522B81">
        <w:t xml:space="preserve">odnoty </w:t>
      </w:r>
      <w:r>
        <w:t xml:space="preserve">sdílených daní dle MF vycházejí do roku 2022 ze schváleného státního rozpočtu na daný rok, resp. z jeho upřesněných hodnot v průběhu roku. Roky </w:t>
      </w:r>
      <w:proofErr w:type="gramStart"/>
      <w:r>
        <w:t>2023 – 202</w:t>
      </w:r>
      <w:r w:rsidR="00110190">
        <w:t>5</w:t>
      </w:r>
      <w:proofErr w:type="gramEnd"/>
      <w:r>
        <w:t xml:space="preserve"> pak vycházejí z hodnot </w:t>
      </w:r>
      <w:r w:rsidR="00110190">
        <w:t xml:space="preserve">návrhu státního rozpočtu a </w:t>
      </w:r>
      <w:r>
        <w:t>střednědobého výhledu státního</w:t>
      </w:r>
      <w:r w:rsidRPr="00522B81">
        <w:t xml:space="preserve"> rozpočtu</w:t>
      </w:r>
    </w:p>
    <w:p w:rsidR="00B01126" w:rsidRPr="004D0FAA" w:rsidRDefault="00B01126" w:rsidP="004D0FAA">
      <w:pPr>
        <w:pStyle w:val="Nadpis3"/>
      </w:pPr>
      <w:r w:rsidRPr="004D0FAA">
        <w:t>Hodnoty provozního hospodaření</w:t>
      </w:r>
    </w:p>
    <w:p w:rsidR="00B01126" w:rsidRPr="007631EA" w:rsidRDefault="00B01126" w:rsidP="00993408">
      <w:r w:rsidRPr="00901D19">
        <w:t xml:space="preserve">Pro celkový pohled na predikci hospodaření v období střednědobého výhledu rozpočtu má zásadní význam vývoj </w:t>
      </w:r>
      <w:r w:rsidR="00D9228F" w:rsidRPr="00D02920">
        <w:t xml:space="preserve">hodnot </w:t>
      </w:r>
      <w:r w:rsidRPr="00D02920">
        <w:t xml:space="preserve">provozních příjmů a výdajů. Na základě analýzy hospodaření v uplynulém pětiletém období, platného rozpočtu a konzultací s pracovníky </w:t>
      </w:r>
      <w:r w:rsidR="004F584E" w:rsidRPr="00D02920">
        <w:t>o</w:t>
      </w:r>
      <w:r w:rsidRPr="00D02920">
        <w:t>dboru</w:t>
      </w:r>
      <w:r w:rsidR="00901D19" w:rsidRPr="00D02920">
        <w:t xml:space="preserve"> ekonomiky</w:t>
      </w:r>
      <w:r w:rsidRPr="00D02920">
        <w:t xml:space="preserve"> byl </w:t>
      </w:r>
      <w:r w:rsidR="004F584E" w:rsidRPr="00D02920">
        <w:t>predikován</w:t>
      </w:r>
      <w:r w:rsidRPr="00D02920">
        <w:t xml:space="preserve"> vývoj jednotlivých </w:t>
      </w:r>
      <w:r w:rsidR="004F584E" w:rsidRPr="00D02920">
        <w:t xml:space="preserve">provozních </w:t>
      </w:r>
      <w:r w:rsidRPr="00D02920">
        <w:t>položek. Souhrnný pohled na hodnoty celkových provozních (běžných) příjmů a výdajů je zobrazen v následujícím grafu. V něm je ve výhledovém</w:t>
      </w:r>
      <w:r w:rsidRPr="00901D19">
        <w:t xml:space="preserve"> období zachycen mírně se zvětšující rozdíl mezi těmito dvěma základními hodnotami hospodaření města.</w:t>
      </w:r>
    </w:p>
    <w:p w:rsidR="00B01126" w:rsidRPr="007F7EE4" w:rsidRDefault="00B01126" w:rsidP="007F7EE4">
      <w:pPr>
        <w:pStyle w:val="Graf0"/>
      </w:pPr>
      <w:bookmarkStart w:id="84" w:name="_Toc365274608"/>
      <w:bookmarkStart w:id="85" w:name="_Toc368988394"/>
      <w:bookmarkStart w:id="86" w:name="_Toc428351160"/>
      <w:bookmarkStart w:id="87" w:name="_Toc428357455"/>
      <w:bookmarkStart w:id="88" w:name="_Toc55981692"/>
      <w:bookmarkStart w:id="89" w:name="_Toc118977821"/>
      <w:r w:rsidRPr="007F7EE4">
        <w:t>Vývoj běžných příjmů a výdajů</w:t>
      </w:r>
      <w:bookmarkEnd w:id="84"/>
      <w:bookmarkEnd w:id="85"/>
      <w:bookmarkEnd w:id="86"/>
      <w:bookmarkEnd w:id="87"/>
      <w:bookmarkEnd w:id="88"/>
      <w:bookmarkEnd w:id="89"/>
    </w:p>
    <w:p w:rsidR="00B01126" w:rsidRPr="004F4117" w:rsidRDefault="005373CB" w:rsidP="008C3DB0">
      <w:pPr>
        <w:pStyle w:val="Objekt"/>
        <w:rPr>
          <w:highlight w:val="yellow"/>
        </w:rPr>
      </w:pPr>
      <w:r w:rsidRPr="005373CB">
        <w:rPr>
          <w:noProof/>
          <w:lang w:eastAsia="cs-CZ"/>
        </w:rPr>
        <w:drawing>
          <wp:inline distT="0" distB="0" distL="0" distR="0">
            <wp:extent cx="4860925" cy="2013517"/>
            <wp:effectExtent l="0" t="0" r="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860925" cy="2013517"/>
                    </a:xfrm>
                    <a:prstGeom prst="rect">
                      <a:avLst/>
                    </a:prstGeom>
                    <a:noFill/>
                    <a:ln>
                      <a:noFill/>
                    </a:ln>
                  </pic:spPr>
                </pic:pic>
              </a:graphicData>
            </a:graphic>
          </wp:inline>
        </w:drawing>
      </w:r>
    </w:p>
    <w:p w:rsidR="00B01126" w:rsidRPr="004D0FAA" w:rsidRDefault="00E8249A" w:rsidP="004D0FAA">
      <w:pPr>
        <w:pStyle w:val="Nadpis3"/>
      </w:pPr>
      <w:r>
        <w:rPr>
          <w:rFonts w:ascii="Verdana" w:hAnsi="Verdana"/>
          <w:b w:val="0"/>
          <w:sz w:val="19"/>
          <w:highlight w:val="cyan"/>
        </w:rPr>
        <w:lastRenderedPageBreak/>
        <mc:AlternateContent>
          <mc:Choice Requires="wps">
            <w:drawing>
              <wp:anchor distT="0" distB="0" distL="114300" distR="114300" simplePos="0" relativeHeight="251805184" behindDoc="0" locked="0" layoutInCell="1" allowOverlap="1">
                <wp:simplePos x="0" y="0"/>
                <wp:positionH relativeFrom="page">
                  <wp:posOffset>541655</wp:posOffset>
                </wp:positionH>
                <wp:positionV relativeFrom="paragraph">
                  <wp:posOffset>276225</wp:posOffset>
                </wp:positionV>
                <wp:extent cx="1403985" cy="584200"/>
                <wp:effectExtent l="0" t="0" r="0" b="0"/>
                <wp:wrapNone/>
                <wp:docPr id="733" name="Textové pole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03985" cy="584200"/>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DA6167" w:rsidRPr="00370D4F" w:rsidRDefault="00DA6167" w:rsidP="00973A21">
                            <w:pPr>
                              <w:spacing w:before="0"/>
                              <w:jc w:val="left"/>
                              <w:rPr>
                                <w:rFonts w:cstheme="minorHAnsi"/>
                                <w:i/>
                                <w:szCs w:val="22"/>
                              </w:rPr>
                            </w:pPr>
                            <w:r>
                              <w:rPr>
                                <w:rStyle w:val="Odkaznakoment"/>
                                <w:rFonts w:cstheme="minorHAnsi"/>
                                <w:i/>
                                <w:sz w:val="20"/>
                                <w:szCs w:val="20"/>
                              </w:rPr>
                              <w:t>Provozní přebytek je po celé období SVR kladný</w:t>
                            </w:r>
                          </w:p>
                          <w:p w:rsidR="00DA6167" w:rsidRPr="001B58F3" w:rsidRDefault="00DA6167" w:rsidP="00E03088">
                            <w:pPr>
                              <w:spacing w:after="0"/>
                              <w:jc w:val="left"/>
                              <w:rPr>
                                <w:rFonts w:cstheme="minorHAnsi"/>
                                <w:i/>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margin">
                  <wp14:pctHeight>0</wp14:pctHeight>
                </wp14:sizeRelV>
              </wp:anchor>
            </w:drawing>
          </mc:Choice>
          <mc:Fallback>
            <w:pict>
              <v:shape id="_x0000_s1057" type="#_x0000_t202" style="position:absolute;left:0;text-align:left;margin-left:42.65pt;margin-top:21.75pt;width:110.55pt;height:46pt;z-index:251805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" fillcolor="white [3201]" stroked="f" strokeweight=".5pt">
                <v:path arrowok="t"/>
                <v:textbox inset="0,0,0,0">
                  <w:txbxContent>
                    <w:p w:rsidR="00DA6167" w:rsidRPr="00370D4F" w:rsidRDefault="00DA6167" w:rsidP="00973A21">
                      <w:pPr>
                        <w:spacing w:before="0"/>
                        <w:jc w:val="left"/>
                        <w:rPr>
                          <w:rFonts w:cstheme="minorHAnsi"/>
                          <w:i/>
                          <w:szCs w:val="22"/>
                        </w:rPr>
                      </w:pPr>
                      <w:r>
                        <w:rPr>
                          <w:rStyle w:val="Odkaznakoment"/>
                          <w:rFonts w:cstheme="minorHAnsi"/>
                          <w:i/>
                          <w:sz w:val="20"/>
                          <w:szCs w:val="20"/>
                        </w:rPr>
                        <w:t>Provozní přebytek je po celé období SVR kladný</w:t>
                      </w:r>
                    </w:p>
                    <w:p w:rsidR="00DA6167" w:rsidRPr="001B58F3" w:rsidRDefault="00DA6167" w:rsidP="00E03088">
                      <w:pPr>
                        <w:spacing w:after="0"/>
                        <w:jc w:val="left"/>
                        <w:rPr>
                          <w:rFonts w:cstheme="minorHAnsi"/>
                          <w:i/>
                          <w:sz w:val="20"/>
                          <w:szCs w:val="20"/>
                        </w:rPr>
                      </w:pPr>
                    </w:p>
                  </w:txbxContent>
                </v:textbox>
                <w10:wrap anchorx="page"/>
              </v:shape>
            </w:pict>
          </mc:Fallback>
        </mc:AlternateContent>
      </w:r>
      <w:r w:rsidR="00B01126" w:rsidRPr="004D0FAA">
        <w:t>Provozní přebytek</w:t>
      </w:r>
    </w:p>
    <w:p w:rsidR="00B01126" w:rsidRPr="00D61273" w:rsidRDefault="00B01126" w:rsidP="000F1C19">
      <w:bookmarkStart w:id="90" w:name="_Toc365274610"/>
      <w:bookmarkStart w:id="91" w:name="_Toc368988395"/>
      <w:r w:rsidRPr="00D61273">
        <w:rPr>
          <w:b/>
        </w:rPr>
        <w:t>Provozní přebytek</w:t>
      </w:r>
      <w:r w:rsidRPr="00D61273">
        <w:t xml:space="preserve"> (rozdíl </w:t>
      </w:r>
      <w:r w:rsidRPr="00D02920">
        <w:t>mezi běžnými příjmy a běžnými výdaji)</w:t>
      </w:r>
      <w:r w:rsidR="004F584E" w:rsidRPr="00D02920">
        <w:t xml:space="preserve"> by měl optimálně nabývat</w:t>
      </w:r>
      <w:r w:rsidRPr="00D02920">
        <w:t xml:space="preserve"> </w:t>
      </w:r>
      <w:r w:rsidR="004F584E" w:rsidRPr="00D02920">
        <w:t xml:space="preserve">alespoň </w:t>
      </w:r>
      <w:proofErr w:type="gramStart"/>
      <w:r w:rsidR="004F584E" w:rsidRPr="00D02920">
        <w:t>25%</w:t>
      </w:r>
      <w:proofErr w:type="gramEnd"/>
      <w:r w:rsidR="004F584E" w:rsidRPr="00D02920">
        <w:t xml:space="preserve"> běžných příjmů).</w:t>
      </w:r>
      <w:r w:rsidR="00122D55" w:rsidRPr="00D02920">
        <w:t xml:space="preserve"> </w:t>
      </w:r>
      <w:r w:rsidR="004F584E" w:rsidRPr="00D02920">
        <w:t xml:space="preserve">V </w:t>
      </w:r>
      <w:r w:rsidRPr="00D02920">
        <w:t xml:space="preserve">celém </w:t>
      </w:r>
      <w:r w:rsidR="004F584E" w:rsidRPr="00D02920">
        <w:t xml:space="preserve">sledovaném </w:t>
      </w:r>
      <w:r w:rsidRPr="00D02920">
        <w:t xml:space="preserve">období </w:t>
      </w:r>
      <w:r w:rsidR="000D195F" w:rsidRPr="00D02920">
        <w:t>SVR</w:t>
      </w:r>
      <w:r w:rsidRPr="00D02920">
        <w:t xml:space="preserve"> </w:t>
      </w:r>
      <w:r w:rsidR="004F584E" w:rsidRPr="00D02920">
        <w:t xml:space="preserve">je ukazatel </w:t>
      </w:r>
      <w:r w:rsidRPr="00D02920">
        <w:t xml:space="preserve">kladný, a to v rozmezí od </w:t>
      </w:r>
      <w:r w:rsidR="00BB6E62" w:rsidRPr="00D02920">
        <w:t>135,</w:t>
      </w:r>
      <w:r w:rsidR="005373CB">
        <w:t>1</w:t>
      </w:r>
      <w:r w:rsidR="0091622F" w:rsidRPr="00D02920">
        <w:t xml:space="preserve"> </w:t>
      </w:r>
      <w:r w:rsidRPr="00D02920">
        <w:t>mil. Kč (</w:t>
      </w:r>
      <w:r w:rsidR="00BB6E62" w:rsidRPr="00D02920">
        <w:t>2023</w:t>
      </w:r>
      <w:r w:rsidRPr="00D02920">
        <w:t xml:space="preserve">) do </w:t>
      </w:r>
      <w:r w:rsidR="00BB6E62" w:rsidRPr="00D02920">
        <w:t>208,2</w:t>
      </w:r>
      <w:r w:rsidR="0091622F" w:rsidRPr="00D02920">
        <w:t xml:space="preserve"> </w:t>
      </w:r>
      <w:r w:rsidRPr="00D02920">
        <w:t>mil. Kč (</w:t>
      </w:r>
      <w:r w:rsidR="00BB6E62" w:rsidRPr="00D02920">
        <w:t>2027</w:t>
      </w:r>
      <w:r w:rsidRPr="00D02920">
        <w:t xml:space="preserve">). Po odečtení </w:t>
      </w:r>
      <w:r w:rsidRPr="00D02920">
        <w:rPr>
          <w:b/>
        </w:rPr>
        <w:t>splátek jistiny</w:t>
      </w:r>
      <w:r w:rsidRPr="00D02920">
        <w:t xml:space="preserve"> </w:t>
      </w:r>
      <w:r w:rsidR="00901D19" w:rsidRPr="00D02920">
        <w:t xml:space="preserve">v rozmezí od </w:t>
      </w:r>
      <w:r w:rsidR="00BB6E62" w:rsidRPr="00D02920">
        <w:t>127,</w:t>
      </w:r>
      <w:r w:rsidR="005373CB">
        <w:t>4</w:t>
      </w:r>
      <w:r w:rsidR="0091622F" w:rsidRPr="00D02920">
        <w:t xml:space="preserve"> </w:t>
      </w:r>
      <w:r w:rsidR="00901D19" w:rsidRPr="00D02920">
        <w:t>mil. Kč (</w:t>
      </w:r>
      <w:r w:rsidR="00BB6E62" w:rsidRPr="00D02920">
        <w:t>2023</w:t>
      </w:r>
      <w:r w:rsidR="00901D19" w:rsidRPr="00D02920">
        <w:t xml:space="preserve">) do </w:t>
      </w:r>
      <w:r w:rsidR="00BB6E62" w:rsidRPr="00D02920">
        <w:t>208,2</w:t>
      </w:r>
      <w:r w:rsidR="0091622F" w:rsidRPr="00D02920">
        <w:t xml:space="preserve"> </w:t>
      </w:r>
      <w:r w:rsidR="00901D19" w:rsidRPr="00D02920">
        <w:t>mil. Kč (</w:t>
      </w:r>
      <w:r w:rsidR="00BB6E62" w:rsidRPr="00D02920">
        <w:t>2027</w:t>
      </w:r>
      <w:r w:rsidR="00901D19" w:rsidRPr="00D02920">
        <w:t>).</w:t>
      </w:r>
      <w:r w:rsidRPr="00D02920">
        <w:t xml:space="preserve"> </w:t>
      </w:r>
      <w:r w:rsidR="00005B42" w:rsidRPr="00D02920">
        <w:t xml:space="preserve">Částky představují využitelné finanční prostředky z provozního rozpočtu na investice a větší jmenovité akce charakteru oprav a údržby. </w:t>
      </w:r>
      <w:r w:rsidRPr="00D02920">
        <w:t xml:space="preserve">Od roku </w:t>
      </w:r>
      <w:r w:rsidR="00BB6E62" w:rsidRPr="00D02920">
        <w:t>2021</w:t>
      </w:r>
      <w:r w:rsidRPr="00D02920">
        <w:t xml:space="preserve">, resp. </w:t>
      </w:r>
      <w:r w:rsidR="00BB6E62" w:rsidRPr="00D02920">
        <w:t>2022</w:t>
      </w:r>
      <w:r w:rsidRPr="00D02920">
        <w:t xml:space="preserve"> do roku </w:t>
      </w:r>
      <w:r w:rsidR="00BB6E62" w:rsidRPr="00D02920">
        <w:t>2027</w:t>
      </w:r>
      <w:r w:rsidRPr="00D02920">
        <w:t xml:space="preserve"> vykazuje </w:t>
      </w:r>
      <w:r w:rsidR="00D61273" w:rsidRPr="00D02920">
        <w:t>pr</w:t>
      </w:r>
      <w:r w:rsidR="00901D19" w:rsidRPr="00D02920">
        <w:t xml:space="preserve">ovozní přebytek </w:t>
      </w:r>
      <w:r w:rsidR="00BB6E62" w:rsidRPr="00D02920">
        <w:t>pokles</w:t>
      </w:r>
      <w:r w:rsidRPr="00D02920">
        <w:t xml:space="preserve"> o </w:t>
      </w:r>
      <w:r w:rsidR="00BB6E62" w:rsidRPr="00D02920">
        <w:t>9,1</w:t>
      </w:r>
      <w:r w:rsidR="0091622F" w:rsidRPr="00D02920">
        <w:t xml:space="preserve"> </w:t>
      </w:r>
      <w:r w:rsidRPr="00D02920">
        <w:t xml:space="preserve">resp. </w:t>
      </w:r>
      <w:r w:rsidR="00BB6E62" w:rsidRPr="00D02920">
        <w:t>růst</w:t>
      </w:r>
      <w:r w:rsidRPr="00D02920">
        <w:t xml:space="preserve"> o </w:t>
      </w:r>
      <w:r w:rsidR="00BB6E62" w:rsidRPr="00D02920">
        <w:t>140,7</w:t>
      </w:r>
      <w:r w:rsidR="00A019C7" w:rsidRPr="00A019C7">
        <w:t xml:space="preserve"> </w:t>
      </w:r>
      <w:r w:rsidRPr="00A019C7">
        <w:t>mil</w:t>
      </w:r>
      <w:r w:rsidRPr="00D61273">
        <w:t xml:space="preserve">. Kč na </w:t>
      </w:r>
      <w:r w:rsidR="00BB6E62">
        <w:t>208,2</w:t>
      </w:r>
      <w:r w:rsidR="00A019C7">
        <w:t xml:space="preserve"> </w:t>
      </w:r>
      <w:r w:rsidRPr="00D61273">
        <w:t>mil. Kč.</w:t>
      </w:r>
    </w:p>
    <w:p w:rsidR="00B01126" w:rsidRPr="007F7EE4" w:rsidRDefault="00B01126" w:rsidP="007F7EE4">
      <w:pPr>
        <w:pStyle w:val="Graf0"/>
      </w:pPr>
      <w:bookmarkStart w:id="92" w:name="_Toc428351161"/>
      <w:bookmarkStart w:id="93" w:name="_Toc428357456"/>
      <w:bookmarkStart w:id="94" w:name="_Toc55981693"/>
      <w:bookmarkStart w:id="95" w:name="_Toc118977822"/>
      <w:r w:rsidRPr="007F7EE4">
        <w:t>Vývoj provozního přebytku</w:t>
      </w:r>
      <w:bookmarkEnd w:id="90"/>
      <w:bookmarkEnd w:id="91"/>
      <w:bookmarkEnd w:id="92"/>
      <w:bookmarkEnd w:id="93"/>
      <w:bookmarkEnd w:id="94"/>
      <w:bookmarkEnd w:id="95"/>
    </w:p>
    <w:p w:rsidR="00B01126" w:rsidRPr="007631EA" w:rsidRDefault="005373CB" w:rsidP="008C3DB0">
      <w:pPr>
        <w:pStyle w:val="Objekt"/>
      </w:pPr>
      <w:r w:rsidRPr="005373CB">
        <w:rPr>
          <w:noProof/>
          <w:lang w:eastAsia="cs-CZ"/>
        </w:rPr>
        <w:drawing>
          <wp:inline distT="0" distB="0" distL="0" distR="0">
            <wp:extent cx="4860925" cy="2107687"/>
            <wp:effectExtent l="0" t="0" r="0" b="6985"/>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860925" cy="2107687"/>
                    </a:xfrm>
                    <a:prstGeom prst="rect">
                      <a:avLst/>
                    </a:prstGeom>
                    <a:noFill/>
                    <a:ln>
                      <a:noFill/>
                    </a:ln>
                  </pic:spPr>
                </pic:pic>
              </a:graphicData>
            </a:graphic>
          </wp:inline>
        </w:drawing>
      </w:r>
    </w:p>
    <w:p w:rsidR="00B01126" w:rsidRPr="004D0FAA" w:rsidRDefault="00CC7940" w:rsidP="004D0FAA">
      <w:pPr>
        <w:pStyle w:val="Nadpis3"/>
      </w:pPr>
      <w:r w:rsidRPr="004D0FAA">
        <w:t>Ukazatel</w:t>
      </w:r>
      <w:r w:rsidR="00B01126" w:rsidRPr="004D0FAA">
        <w:t xml:space="preserve"> provozních úspor</w:t>
      </w:r>
    </w:p>
    <w:p w:rsidR="00B01126" w:rsidRPr="00901D19" w:rsidRDefault="00E8249A" w:rsidP="00993408">
      <w:r>
        <w:rPr>
          <w:rFonts w:ascii="Verdana" w:hAnsi="Verdana"/>
          <w:noProof/>
          <w:sz w:val="19"/>
          <w:lang w:eastAsia="cs-CZ"/>
        </w:rPr>
        <mc:AlternateContent>
          <mc:Choice Requires="wps">
            <w:drawing>
              <wp:anchor distT="0" distB="0" distL="114300" distR="114300" simplePos="0" relativeHeight="251837952" behindDoc="0" locked="0" layoutInCell="1" allowOverlap="1">
                <wp:simplePos x="0" y="0"/>
                <wp:positionH relativeFrom="page">
                  <wp:posOffset>541655</wp:posOffset>
                </wp:positionH>
                <wp:positionV relativeFrom="paragraph">
                  <wp:posOffset>0</wp:posOffset>
                </wp:positionV>
                <wp:extent cx="1403985" cy="694690"/>
                <wp:effectExtent l="0" t="0" r="0" b="0"/>
                <wp:wrapNone/>
                <wp:docPr id="10" name="Textové pole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03985" cy="694690"/>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DA6167" w:rsidRDefault="00DA6167" w:rsidP="00973A21">
                            <w:pPr>
                              <w:spacing w:before="0" w:after="0"/>
                              <w:jc w:val="left"/>
                              <w:rPr>
                                <w:rStyle w:val="Odkaznakoment"/>
                                <w:rFonts w:cstheme="minorHAnsi"/>
                                <w:i/>
                                <w:sz w:val="20"/>
                                <w:szCs w:val="20"/>
                              </w:rPr>
                            </w:pPr>
                            <w:r>
                              <w:rPr>
                                <w:rStyle w:val="Odkaznakoment"/>
                                <w:rFonts w:cstheme="minorHAnsi"/>
                                <w:i/>
                                <w:sz w:val="20"/>
                                <w:szCs w:val="20"/>
                              </w:rPr>
                              <w:t xml:space="preserve">Hodnoty </w:t>
                            </w:r>
                            <w:r w:rsidRPr="00384B67">
                              <w:rPr>
                                <w:rStyle w:val="Odkaznakoment"/>
                                <w:rFonts w:cstheme="minorHAnsi"/>
                                <w:i/>
                                <w:sz w:val="20"/>
                                <w:szCs w:val="20"/>
                              </w:rPr>
                              <w:t xml:space="preserve">ukazatele provozních úspor </w:t>
                            </w:r>
                            <w:r>
                              <w:rPr>
                                <w:rStyle w:val="Odkaznakoment"/>
                                <w:rFonts w:cstheme="minorHAnsi"/>
                                <w:i/>
                                <w:sz w:val="20"/>
                                <w:szCs w:val="20"/>
                              </w:rPr>
                              <w:t>v rozmezí</w:t>
                            </w:r>
                            <w:r w:rsidRPr="00384B67">
                              <w:rPr>
                                <w:rStyle w:val="Odkaznakoment"/>
                                <w:rFonts w:cstheme="minorHAnsi"/>
                                <w:i/>
                                <w:sz w:val="20"/>
                                <w:szCs w:val="20"/>
                              </w:rPr>
                              <w:t xml:space="preserve"> </w:t>
                            </w:r>
                          </w:p>
                          <w:p w:rsidR="00DA6167" w:rsidRPr="000C462D" w:rsidRDefault="00DA6167" w:rsidP="000C462D">
                            <w:pPr>
                              <w:spacing w:before="0"/>
                              <w:jc w:val="left"/>
                              <w:rPr>
                                <w:rFonts w:cstheme="minorHAnsi"/>
                                <w:b/>
                                <w:i/>
                                <w:color w:val="548DD4" w:themeColor="text2" w:themeTint="99"/>
                                <w:sz w:val="28"/>
                                <w:szCs w:val="28"/>
                              </w:rPr>
                            </w:pPr>
                            <w:r w:rsidRPr="00BB6E62">
                              <w:rPr>
                                <w:b/>
                                <w:i/>
                                <w:color w:val="548DD4" w:themeColor="text2" w:themeTint="99"/>
                                <w:sz w:val="28"/>
                                <w:szCs w:val="28"/>
                              </w:rPr>
                              <w:t>9,91</w:t>
                            </w:r>
                            <w:r w:rsidRPr="00BA3D8E">
                              <w:rPr>
                                <w:rStyle w:val="Odkaznakoment"/>
                                <w:rFonts w:cstheme="minorHAnsi"/>
                                <w:b/>
                                <w:i/>
                                <w:color w:val="548DD4" w:themeColor="text2" w:themeTint="99"/>
                                <w:sz w:val="28"/>
                                <w:szCs w:val="28"/>
                              </w:rPr>
                              <w:t xml:space="preserve"> % - </w:t>
                            </w:r>
                            <w:r w:rsidRPr="00BB6E62">
                              <w:rPr>
                                <w:b/>
                                <w:i/>
                                <w:color w:val="548DD4" w:themeColor="text2" w:themeTint="99"/>
                                <w:sz w:val="28"/>
                                <w:szCs w:val="28"/>
                              </w:rPr>
                              <w:t>14,66</w:t>
                            </w:r>
                            <w:r>
                              <w:rPr>
                                <w:rStyle w:val="Odkaznakoment"/>
                                <w:rFonts w:cstheme="minorHAnsi"/>
                                <w:b/>
                                <w:i/>
                                <w:color w:val="548DD4" w:themeColor="text2" w:themeTint="99"/>
                                <w:sz w:val="28"/>
                                <w:szCs w:val="28"/>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margin">
                  <wp14:pctHeight>0</wp14:pctHeight>
                </wp14:sizeRelV>
              </wp:anchor>
            </w:drawing>
          </mc:Choice>
          <mc:Fallback>
            <w:pict>
              <v:shape id="_x0000_s1058" type="#_x0000_t202" style="position:absolute;left:0;text-align:left;margin-left:42.65pt;margin-top:0;width:110.55pt;height:54.7pt;z-index:251837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" fillcolor="white [3201]" stroked="f" strokeweight=".5pt">
                <v:path arrowok="t"/>
                <v:textbox inset="0,0,0,0">
                  <w:txbxContent>
                    <w:p w:rsidR="00DA6167" w:rsidRDefault="00DA6167" w:rsidP="00973A21">
                      <w:pPr>
                        <w:spacing w:before="0" w:after="0"/>
                        <w:jc w:val="left"/>
                        <w:rPr>
                          <w:rStyle w:val="Odkaznakoment"/>
                          <w:rFonts w:cstheme="minorHAnsi"/>
                          <w:i/>
                          <w:sz w:val="20"/>
                          <w:szCs w:val="20"/>
                        </w:rPr>
                      </w:pPr>
                      <w:r>
                        <w:rPr>
                          <w:rStyle w:val="Odkaznakoment"/>
                          <w:rFonts w:cstheme="minorHAnsi"/>
                          <w:i/>
                          <w:sz w:val="20"/>
                          <w:szCs w:val="20"/>
                        </w:rPr>
                        <w:t xml:space="preserve">Hodnoty </w:t>
                      </w:r>
                      <w:r w:rsidRPr="00384B67">
                        <w:rPr>
                          <w:rStyle w:val="Odkaznakoment"/>
                          <w:rFonts w:cstheme="minorHAnsi"/>
                          <w:i/>
                          <w:sz w:val="20"/>
                          <w:szCs w:val="20"/>
                        </w:rPr>
                        <w:t xml:space="preserve">ukazatele provozních úspor </w:t>
                      </w:r>
                      <w:r>
                        <w:rPr>
                          <w:rStyle w:val="Odkaznakoment"/>
                          <w:rFonts w:cstheme="minorHAnsi"/>
                          <w:i/>
                          <w:sz w:val="20"/>
                          <w:szCs w:val="20"/>
                        </w:rPr>
                        <w:t>v rozmezí</w:t>
                      </w:r>
                      <w:r w:rsidRPr="00384B67">
                        <w:rPr>
                          <w:rStyle w:val="Odkaznakoment"/>
                          <w:rFonts w:cstheme="minorHAnsi"/>
                          <w:i/>
                          <w:sz w:val="20"/>
                          <w:szCs w:val="20"/>
                        </w:rPr>
                        <w:t xml:space="preserve"> </w:t>
                      </w:r>
                    </w:p>
                    <w:p w:rsidR="00DA6167" w:rsidRPr="000C462D" w:rsidRDefault="00DA6167" w:rsidP="000C462D">
                      <w:pPr>
                        <w:spacing w:before="0"/>
                        <w:jc w:val="left"/>
                        <w:rPr>
                          <w:rFonts w:cstheme="minorHAnsi"/>
                          <w:b/>
                          <w:i/>
                          <w:color w:val="548DD4" w:themeColor="text2" w:themeTint="99"/>
                          <w:sz w:val="28"/>
                          <w:szCs w:val="28"/>
                        </w:rPr>
                      </w:pPr>
                      <w:r w:rsidRPr="00BB6E62">
                        <w:rPr>
                          <w:b/>
                          <w:i/>
                          <w:color w:val="548DD4" w:themeColor="text2" w:themeTint="99"/>
                          <w:sz w:val="28"/>
                          <w:szCs w:val="28"/>
                        </w:rPr>
                        <w:t>9,91</w:t>
                      </w:r>
                      <w:r w:rsidRPr="00BA3D8E">
                        <w:rPr>
                          <w:rStyle w:val="Odkaznakoment"/>
                          <w:rFonts w:cstheme="minorHAnsi"/>
                          <w:b/>
                          <w:i/>
                          <w:color w:val="548DD4" w:themeColor="text2" w:themeTint="99"/>
                          <w:sz w:val="28"/>
                          <w:szCs w:val="28"/>
                        </w:rPr>
                        <w:t xml:space="preserve"> % - </w:t>
                      </w:r>
                      <w:r w:rsidRPr="00BB6E62">
                        <w:rPr>
                          <w:b/>
                          <w:i/>
                          <w:color w:val="548DD4" w:themeColor="text2" w:themeTint="99"/>
                          <w:sz w:val="28"/>
                          <w:szCs w:val="28"/>
                        </w:rPr>
                        <w:t>14,66</w:t>
                      </w:r>
                      <w:r>
                        <w:rPr>
                          <w:rStyle w:val="Odkaznakoment"/>
                          <w:rFonts w:cstheme="minorHAnsi"/>
                          <w:b/>
                          <w:i/>
                          <w:color w:val="548DD4" w:themeColor="text2" w:themeTint="99"/>
                          <w:sz w:val="28"/>
                          <w:szCs w:val="28"/>
                        </w:rPr>
                        <w:t xml:space="preserve"> %</w:t>
                      </w:r>
                    </w:p>
                  </w:txbxContent>
                </v:textbox>
                <w10:wrap anchorx="page"/>
              </v:shape>
            </w:pict>
          </mc:Fallback>
        </mc:AlternateContent>
      </w:r>
      <w:r w:rsidR="00B01126" w:rsidRPr="00D02920">
        <w:t>Ukazatel provozních úspor je definován jako podíl provozního přebytku a běžných příjmů</w:t>
      </w:r>
      <w:r w:rsidR="00922ADB" w:rsidRPr="00D02920">
        <w:t xml:space="preserve"> a vyjadřuje, jaká část provozních prostředků může být využita na krytí investičních záměrů města.</w:t>
      </w:r>
      <w:r w:rsidR="00B01126" w:rsidRPr="00D02920">
        <w:t xml:space="preserve"> Ve výhledovém období oba zmíněné ukazatele každoročně rostou, přičemž </w:t>
      </w:r>
      <w:r w:rsidR="009C4B38" w:rsidRPr="00D02920">
        <w:t>provozní přebytek</w:t>
      </w:r>
      <w:r w:rsidR="00CC7940" w:rsidRPr="00D02920">
        <w:t xml:space="preserve"> rost</w:t>
      </w:r>
      <w:r w:rsidR="009C4B38" w:rsidRPr="00D02920">
        <w:t>e</w:t>
      </w:r>
      <w:r w:rsidR="00CC7940" w:rsidRPr="00D02920">
        <w:t xml:space="preserve"> </w:t>
      </w:r>
      <w:r w:rsidR="00B01126" w:rsidRPr="00D02920">
        <w:t xml:space="preserve">rychlejším tempem. </w:t>
      </w:r>
      <w:r w:rsidR="00CC7940" w:rsidRPr="00D02920">
        <w:t>Hodnota ukazatele</w:t>
      </w:r>
      <w:r w:rsidR="00B01126" w:rsidRPr="00D02920">
        <w:t xml:space="preserve"> </w:t>
      </w:r>
      <w:r w:rsidR="00B51330" w:rsidRPr="00D02920">
        <w:t xml:space="preserve">provozních úspor </w:t>
      </w:r>
      <w:r w:rsidR="00B01126" w:rsidRPr="00D02920">
        <w:t xml:space="preserve">upraveného rozpočtu na aktuální kalendářní rok dosahuje hodnoty </w:t>
      </w:r>
      <w:r w:rsidR="00BB6E62" w:rsidRPr="00D02920">
        <w:t>5,38</w:t>
      </w:r>
      <w:r w:rsidR="00A019C7" w:rsidRPr="00D02920">
        <w:t xml:space="preserve"> </w:t>
      </w:r>
      <w:r w:rsidR="00B01126" w:rsidRPr="00D02920">
        <w:t xml:space="preserve">% a vzhledem k výše zmíněnému dochází po skokovém nárůstu k postupnému mírnému zvyšování ukazatele až na hodnotu </w:t>
      </w:r>
      <w:r w:rsidR="00BB6E62" w:rsidRPr="00D02920">
        <w:t>14,66</w:t>
      </w:r>
      <w:r w:rsidR="004F3F67" w:rsidRPr="00D02920">
        <w:t xml:space="preserve"> </w:t>
      </w:r>
      <w:r w:rsidR="00B01126" w:rsidRPr="00D02920">
        <w:t>% v</w:t>
      </w:r>
      <w:r w:rsidR="004F3F67" w:rsidRPr="00D02920">
        <w:t> </w:t>
      </w:r>
      <w:r w:rsidR="00B01126" w:rsidRPr="00D02920">
        <w:t>roce</w:t>
      </w:r>
      <w:r w:rsidR="004F3F67" w:rsidRPr="00D02920">
        <w:t xml:space="preserve"> </w:t>
      </w:r>
      <w:r w:rsidR="00BB6E62" w:rsidRPr="00D02920">
        <w:t>2027</w:t>
      </w:r>
      <w:r w:rsidR="00B01126" w:rsidRPr="00D02920">
        <w:t xml:space="preserve">. </w:t>
      </w:r>
      <w:r w:rsidR="00F62F91" w:rsidRPr="00D02920">
        <w:t xml:space="preserve">Uvedená hodnota představuje oproti roku </w:t>
      </w:r>
      <w:r w:rsidR="00BB6E62" w:rsidRPr="00D02920">
        <w:t>2021</w:t>
      </w:r>
      <w:r w:rsidR="00F62F91" w:rsidRPr="00D02920">
        <w:t xml:space="preserve"> </w:t>
      </w:r>
      <w:r w:rsidR="00BB6E62" w:rsidRPr="00D02920">
        <w:t>pokles</w:t>
      </w:r>
      <w:r w:rsidR="00F62F91" w:rsidRPr="00D02920">
        <w:t xml:space="preserve"> o </w:t>
      </w:r>
      <w:proofErr w:type="gramStart"/>
      <w:r w:rsidR="00BB6E62" w:rsidRPr="00D02920">
        <w:t>3,40</w:t>
      </w:r>
      <w:r w:rsidR="004F3F67" w:rsidRPr="00D02920">
        <w:t xml:space="preserve"> </w:t>
      </w:r>
      <w:r w:rsidR="00F62F91" w:rsidRPr="00D02920">
        <w:t>procentního</w:t>
      </w:r>
      <w:proofErr w:type="gramEnd"/>
      <w:r w:rsidR="00F62F91" w:rsidRPr="00D02920">
        <w:t xml:space="preserve"> bodu a oproti roku </w:t>
      </w:r>
      <w:r w:rsidR="00BB6E62" w:rsidRPr="00D02920">
        <w:t>2022</w:t>
      </w:r>
      <w:r w:rsidR="00F62F91" w:rsidRPr="00D02920">
        <w:t xml:space="preserve"> </w:t>
      </w:r>
      <w:r w:rsidR="00BB6E62" w:rsidRPr="00D02920">
        <w:t>růst</w:t>
      </w:r>
      <w:r w:rsidR="004F3F67" w:rsidRPr="00D02920">
        <w:t xml:space="preserve"> o </w:t>
      </w:r>
      <w:r w:rsidR="00BB6E62" w:rsidRPr="00D02920">
        <w:t>9,27</w:t>
      </w:r>
      <w:r w:rsidR="004F3F67" w:rsidRPr="00D02920">
        <w:t xml:space="preserve"> </w:t>
      </w:r>
      <w:r w:rsidR="00F62F91" w:rsidRPr="00D02920">
        <w:t xml:space="preserve">procentního bodu. </w:t>
      </w:r>
      <w:r w:rsidR="00846D3C" w:rsidRPr="00D02920">
        <w:t>Hodnota ukazatele se tak pohybuje nad minimální úrovní (10 %).</w:t>
      </w:r>
    </w:p>
    <w:p w:rsidR="00B01126" w:rsidRPr="007F7EE4" w:rsidRDefault="00B01126" w:rsidP="007F7EE4">
      <w:pPr>
        <w:pStyle w:val="Graf0"/>
      </w:pPr>
      <w:bookmarkStart w:id="96" w:name="_Toc365274611"/>
      <w:bookmarkStart w:id="97" w:name="_Toc368988396"/>
      <w:bookmarkStart w:id="98" w:name="_Toc428351162"/>
      <w:bookmarkStart w:id="99" w:name="_Toc428357457"/>
      <w:bookmarkStart w:id="100" w:name="_Toc55981694"/>
      <w:bookmarkStart w:id="101" w:name="_Toc118977823"/>
      <w:r w:rsidRPr="007F7EE4">
        <w:t xml:space="preserve">Vývoj </w:t>
      </w:r>
      <w:r w:rsidR="00CC7940" w:rsidRPr="007F7EE4">
        <w:t>ukazatele</w:t>
      </w:r>
      <w:r w:rsidRPr="007F7EE4">
        <w:t xml:space="preserve"> provozních úspor</w:t>
      </w:r>
      <w:bookmarkEnd w:id="96"/>
      <w:bookmarkEnd w:id="97"/>
      <w:bookmarkEnd w:id="98"/>
      <w:bookmarkEnd w:id="99"/>
      <w:bookmarkEnd w:id="100"/>
      <w:bookmarkEnd w:id="101"/>
    </w:p>
    <w:p w:rsidR="00B01126" w:rsidRPr="004F4117" w:rsidRDefault="005373CB" w:rsidP="005A4747">
      <w:pPr>
        <w:pStyle w:val="Objekt"/>
        <w:rPr>
          <w:highlight w:val="yellow"/>
        </w:rPr>
      </w:pPr>
      <w:r w:rsidRPr="005373CB">
        <w:rPr>
          <w:noProof/>
          <w:lang w:eastAsia="cs-CZ"/>
        </w:rPr>
        <w:drawing>
          <wp:inline distT="0" distB="0" distL="0" distR="0">
            <wp:extent cx="4860925" cy="2013517"/>
            <wp:effectExtent l="0" t="0" r="0" b="0"/>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860925" cy="2013517"/>
                    </a:xfrm>
                    <a:prstGeom prst="rect">
                      <a:avLst/>
                    </a:prstGeom>
                    <a:noFill/>
                    <a:ln>
                      <a:noFill/>
                    </a:ln>
                  </pic:spPr>
                </pic:pic>
              </a:graphicData>
            </a:graphic>
          </wp:inline>
        </w:drawing>
      </w:r>
    </w:p>
    <w:p w:rsidR="00B01126" w:rsidRPr="009C4B38" w:rsidRDefault="00B01126" w:rsidP="00993408">
      <w:pPr>
        <w:pStyle w:val="Nadpis2"/>
      </w:pPr>
      <w:bookmarkStart w:id="102" w:name="_Toc62211724"/>
      <w:bookmarkStart w:id="103" w:name="_Toc118978221"/>
      <w:bookmarkStart w:id="104" w:name="_Toc365274612"/>
      <w:bookmarkStart w:id="105" w:name="_Toc368988393"/>
      <w:bookmarkStart w:id="106" w:name="_Toc428351159"/>
      <w:bookmarkStart w:id="107" w:name="_Toc428357454"/>
      <w:bookmarkStart w:id="108" w:name="_Toc55981691"/>
      <w:r w:rsidRPr="009C4B38">
        <w:lastRenderedPageBreak/>
        <w:t>Kapitálové hospodaření výhledového období</w:t>
      </w:r>
      <w:bookmarkEnd w:id="102"/>
      <w:bookmarkEnd w:id="103"/>
    </w:p>
    <w:p w:rsidR="0083383E" w:rsidRPr="00D346B5" w:rsidRDefault="00E8249A" w:rsidP="008A1E30">
      <w:r>
        <w:rPr>
          <w:rFonts w:ascii="Verdana" w:hAnsi="Verdana"/>
          <w:noProof/>
          <w:sz w:val="19"/>
          <w:lang w:eastAsia="cs-CZ"/>
        </w:rPr>
        <mc:AlternateContent>
          <mc:Choice Requires="wps">
            <w:drawing>
              <wp:anchor distT="0" distB="0" distL="114300" distR="114300" simplePos="0" relativeHeight="251811328" behindDoc="0" locked="0" layoutInCell="1" allowOverlap="1">
                <wp:simplePos x="0" y="0"/>
                <wp:positionH relativeFrom="page">
                  <wp:posOffset>541655</wp:posOffset>
                </wp:positionH>
                <wp:positionV relativeFrom="paragraph">
                  <wp:posOffset>0</wp:posOffset>
                </wp:positionV>
                <wp:extent cx="1403985" cy="723900"/>
                <wp:effectExtent l="0" t="0" r="0" b="0"/>
                <wp:wrapNone/>
                <wp:docPr id="735" name="Textové pole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03985" cy="723900"/>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DA6167" w:rsidRDefault="00DA6167" w:rsidP="004C28B2">
                            <w:pPr>
                              <w:spacing w:before="0" w:after="0"/>
                              <w:jc w:val="left"/>
                              <w:rPr>
                                <w:rStyle w:val="Odkaznakoment"/>
                                <w:rFonts w:cstheme="minorHAnsi"/>
                                <w:i/>
                                <w:sz w:val="20"/>
                                <w:szCs w:val="20"/>
                              </w:rPr>
                            </w:pPr>
                            <w:r>
                              <w:rPr>
                                <w:rStyle w:val="Odkaznakoment"/>
                                <w:rFonts w:cstheme="minorHAnsi"/>
                                <w:i/>
                                <w:sz w:val="20"/>
                                <w:szCs w:val="20"/>
                              </w:rPr>
                              <w:t>SVR počítá s investicemi v </w:t>
                            </w:r>
                            <w:r>
                              <w:rPr>
                                <w:rStyle w:val="Odkaznakoment"/>
                                <w:rFonts w:cstheme="minorHAnsi"/>
                                <w:i/>
                                <w:sz w:val="20"/>
                                <w:szCs w:val="20"/>
                              </w:rPr>
                              <w:t>v roce 2023 ve výši</w:t>
                            </w:r>
                          </w:p>
                          <w:p w:rsidR="00DA6167" w:rsidRPr="00846D3C" w:rsidRDefault="00DA6167" w:rsidP="00846D3C">
                            <w:pPr>
                              <w:spacing w:before="0"/>
                              <w:jc w:val="left"/>
                              <w:rPr>
                                <w:rFonts w:cstheme="minorHAnsi"/>
                                <w:b/>
                                <w:i/>
                                <w:color w:val="548DD4" w:themeColor="text2" w:themeTint="99"/>
                                <w:sz w:val="28"/>
                                <w:szCs w:val="28"/>
                              </w:rPr>
                            </w:pPr>
                            <w:r w:rsidRPr="00BB6E62">
                              <w:rPr>
                                <w:b/>
                                <w:i/>
                                <w:color w:val="548DD4" w:themeColor="text2" w:themeTint="99"/>
                                <w:sz w:val="28"/>
                                <w:szCs w:val="28"/>
                              </w:rPr>
                              <w:t>332,0</w:t>
                            </w:r>
                            <w:r>
                              <w:rPr>
                                <w:rStyle w:val="Odkaznakoment"/>
                                <w:rFonts w:cstheme="minorHAnsi"/>
                                <w:b/>
                                <w:i/>
                                <w:color w:val="548DD4" w:themeColor="text2" w:themeTint="99"/>
                                <w:sz w:val="28"/>
                                <w:szCs w:val="28"/>
                              </w:rPr>
                              <w:t xml:space="preserve"> </w:t>
                            </w:r>
                            <w:r w:rsidRPr="00846D3C">
                              <w:rPr>
                                <w:rStyle w:val="Odkaznakoment"/>
                                <w:rFonts w:cstheme="minorHAnsi"/>
                                <w:b/>
                                <w:i/>
                                <w:color w:val="548DD4" w:themeColor="text2" w:themeTint="99"/>
                                <w:sz w:val="28"/>
                                <w:szCs w:val="28"/>
                              </w:rPr>
                              <w:t xml:space="preserve">mil. Kč </w:t>
                            </w:r>
                          </w:p>
                          <w:p w:rsidR="00DA6167" w:rsidRPr="001B58F3" w:rsidRDefault="00DA6167" w:rsidP="00E03088">
                            <w:pPr>
                              <w:spacing w:after="0"/>
                              <w:jc w:val="left"/>
                              <w:rPr>
                                <w:rFonts w:cstheme="minorHAnsi"/>
                                <w:i/>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margin">
                  <wp14:pctHeight>0</wp14:pctHeight>
                </wp14:sizeRelV>
              </wp:anchor>
            </w:drawing>
          </mc:Choice>
          <mc:Fallback>
            <w:pict>
              <v:shape id="_x0000_s1059" type="#_x0000_t202" style="position:absolute;left:0;text-align:left;margin-left:42.65pt;margin-top:0;width:110.55pt;height:57pt;z-index:251811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" fillcolor="white [3201]" stroked="f" strokeweight=".5pt">
                <v:path arrowok="t"/>
                <v:textbox inset="0,0,0,0">
                  <w:txbxContent>
                    <w:p w:rsidR="00DA6167" w:rsidRDefault="00DA6167" w:rsidP="004C28B2">
                      <w:pPr>
                        <w:spacing w:before="0" w:after="0"/>
                        <w:jc w:val="left"/>
                        <w:rPr>
                          <w:rStyle w:val="Odkaznakoment"/>
                          <w:rFonts w:cstheme="minorHAnsi"/>
                          <w:i/>
                          <w:sz w:val="20"/>
                          <w:szCs w:val="20"/>
                        </w:rPr>
                      </w:pPr>
                      <w:r>
                        <w:rPr>
                          <w:rStyle w:val="Odkaznakoment"/>
                          <w:rFonts w:cstheme="minorHAnsi"/>
                          <w:i/>
                          <w:sz w:val="20"/>
                          <w:szCs w:val="20"/>
                        </w:rPr>
                        <w:t>SVR počítá s investicemi v </w:t>
                      </w:r>
                      <w:proofErr w:type="spellStart"/>
                      <w:r>
                        <w:rPr>
                          <w:rStyle w:val="Odkaznakoment"/>
                          <w:rFonts w:cstheme="minorHAnsi"/>
                          <w:i/>
                          <w:sz w:val="20"/>
                          <w:szCs w:val="20"/>
                        </w:rPr>
                        <w:t>v</w:t>
                      </w:r>
                      <w:proofErr w:type="spellEnd"/>
                      <w:r>
                        <w:rPr>
                          <w:rStyle w:val="Odkaznakoment"/>
                          <w:rFonts w:cstheme="minorHAnsi"/>
                          <w:i/>
                          <w:sz w:val="20"/>
                          <w:szCs w:val="20"/>
                        </w:rPr>
                        <w:t> roce 2023 ve výši</w:t>
                      </w:r>
                    </w:p>
                    <w:p w:rsidR="00DA6167" w:rsidRPr="00846D3C" w:rsidRDefault="00DA6167" w:rsidP="00846D3C">
                      <w:pPr>
                        <w:spacing w:before="0"/>
                        <w:jc w:val="left"/>
                        <w:rPr>
                          <w:rFonts w:cstheme="minorHAnsi"/>
                          <w:b/>
                          <w:i/>
                          <w:color w:val="548DD4" w:themeColor="text2" w:themeTint="99"/>
                          <w:sz w:val="28"/>
                          <w:szCs w:val="28"/>
                        </w:rPr>
                      </w:pPr>
                      <w:r w:rsidRPr="00BB6E62">
                        <w:rPr>
                          <w:b/>
                          <w:i/>
                          <w:color w:val="548DD4" w:themeColor="text2" w:themeTint="99"/>
                          <w:sz w:val="28"/>
                          <w:szCs w:val="28"/>
                        </w:rPr>
                        <w:t>332,0</w:t>
                      </w:r>
                      <w:r>
                        <w:rPr>
                          <w:rStyle w:val="Odkaznakoment"/>
                          <w:rFonts w:cstheme="minorHAnsi"/>
                          <w:b/>
                          <w:i/>
                          <w:color w:val="548DD4" w:themeColor="text2" w:themeTint="99"/>
                          <w:sz w:val="28"/>
                          <w:szCs w:val="28"/>
                        </w:rPr>
                        <w:t xml:space="preserve"> </w:t>
                      </w:r>
                      <w:r w:rsidRPr="00846D3C">
                        <w:rPr>
                          <w:rStyle w:val="Odkaznakoment"/>
                          <w:rFonts w:cstheme="minorHAnsi"/>
                          <w:b/>
                          <w:i/>
                          <w:color w:val="548DD4" w:themeColor="text2" w:themeTint="99"/>
                          <w:sz w:val="28"/>
                          <w:szCs w:val="28"/>
                        </w:rPr>
                        <w:t xml:space="preserve">mil. Kč </w:t>
                      </w:r>
                    </w:p>
                    <w:p w:rsidR="00DA6167" w:rsidRPr="001B58F3" w:rsidRDefault="00DA6167" w:rsidP="00E03088">
                      <w:pPr>
                        <w:spacing w:after="0"/>
                        <w:jc w:val="left"/>
                        <w:rPr>
                          <w:rFonts w:cstheme="minorHAnsi"/>
                          <w:i/>
                          <w:sz w:val="20"/>
                          <w:szCs w:val="20"/>
                        </w:rPr>
                      </w:pPr>
                    </w:p>
                  </w:txbxContent>
                </v:textbox>
                <w10:wrap anchorx="page"/>
              </v:shape>
            </w:pict>
          </mc:Fallback>
        </mc:AlternateContent>
      </w:r>
      <w:r w:rsidR="0083383E" w:rsidRPr="00D346B5">
        <w:t xml:space="preserve">V období střednědobého výhledu rozpočtu </w:t>
      </w:r>
      <w:proofErr w:type="gramStart"/>
      <w:r w:rsidR="00BB6E62" w:rsidRPr="00D346B5">
        <w:t>2023 - 2027</w:t>
      </w:r>
      <w:proofErr w:type="gramEnd"/>
      <w:r w:rsidR="0083383E" w:rsidRPr="00D346B5">
        <w:t xml:space="preserve"> se počítá s prodejem pozemků a ostatního DHM </w:t>
      </w:r>
      <w:r w:rsidR="00D02920" w:rsidRPr="00D346B5">
        <w:t xml:space="preserve">pouze v roce 2023, a to </w:t>
      </w:r>
      <w:r w:rsidR="0083383E" w:rsidRPr="00D346B5">
        <w:t xml:space="preserve">v celkové výši </w:t>
      </w:r>
      <w:r w:rsidR="00BB6E62" w:rsidRPr="00D346B5">
        <w:t>25,9</w:t>
      </w:r>
      <w:r w:rsidR="0083383E" w:rsidRPr="00D346B5">
        <w:t xml:space="preserve"> mil. Kč</w:t>
      </w:r>
      <w:r w:rsidR="00D02920" w:rsidRPr="00D346B5">
        <w:t>.</w:t>
      </w:r>
      <w:r w:rsidR="0083383E" w:rsidRPr="00D346B5">
        <w:t xml:space="preserve"> Případný další prodej dlouhodobého majetku bude odvislý od investiční aktivity </w:t>
      </w:r>
      <w:r w:rsidR="00D02920" w:rsidRPr="00D346B5">
        <w:t xml:space="preserve">a potřeb </w:t>
      </w:r>
      <w:r w:rsidR="0083383E" w:rsidRPr="00D346B5">
        <w:t>města v jednotlivých letech výhledu</w:t>
      </w:r>
      <w:r w:rsidR="007A116F" w:rsidRPr="00D346B5">
        <w:t>.</w:t>
      </w:r>
    </w:p>
    <w:p w:rsidR="007A116F" w:rsidRDefault="007A116F" w:rsidP="007A116F">
      <w:r w:rsidRPr="00D346B5">
        <w:t xml:space="preserve">Sestavený střednědobý výhled rozpočtu obsahuje investiční akce </w:t>
      </w:r>
      <w:r w:rsidR="00D02920" w:rsidRPr="00D346B5">
        <w:t xml:space="preserve">pouze v roce 2023, a to </w:t>
      </w:r>
      <w:r w:rsidRPr="00D346B5">
        <w:t xml:space="preserve">ve výši </w:t>
      </w:r>
      <w:r w:rsidR="00BB6E62" w:rsidRPr="00D346B5">
        <w:t>332,0</w:t>
      </w:r>
      <w:r w:rsidR="00D02920" w:rsidRPr="00D346B5">
        <w:t xml:space="preserve"> mil. Kč. </w:t>
      </w:r>
      <w:r w:rsidRPr="00D346B5">
        <w:t>V</w:t>
      </w:r>
      <w:r w:rsidR="00D346B5" w:rsidRPr="00D346B5">
        <w:t xml:space="preserve"> tomto roce nejsou </w:t>
      </w:r>
      <w:r w:rsidRPr="00D346B5">
        <w:t xml:space="preserve">uvažovány investiční transfery, </w:t>
      </w:r>
      <w:r w:rsidR="00D346B5" w:rsidRPr="00D346B5">
        <w:t>jejich využití ovšem není vyloučeno</w:t>
      </w:r>
      <w:r w:rsidRPr="00D346B5">
        <w:t>.</w:t>
      </w:r>
      <w:r w:rsidR="00D346B5">
        <w:t xml:space="preserve"> </w:t>
      </w:r>
    </w:p>
    <w:p w:rsidR="00B01126" w:rsidRPr="00364D6D" w:rsidRDefault="00B01126" w:rsidP="00993408">
      <w:pPr>
        <w:pStyle w:val="Nadpis2"/>
      </w:pPr>
      <w:bookmarkStart w:id="109" w:name="_Toc62211725"/>
      <w:bookmarkStart w:id="110" w:name="_Toc118978222"/>
      <w:r w:rsidRPr="00364D6D">
        <w:t>Celkové hospodaření výhledového období</w:t>
      </w:r>
      <w:bookmarkEnd w:id="109"/>
      <w:bookmarkEnd w:id="110"/>
    </w:p>
    <w:p w:rsidR="001768B6" w:rsidRPr="00364D6D" w:rsidRDefault="001768B6" w:rsidP="001768B6">
      <w:r w:rsidRPr="00364D6D">
        <w:t xml:space="preserve">Výsledek hospodaření zobrazuje celkové saldo rozpočtového hospodaření bez započítání položek financování (bez splátek jistin a případně přijatých </w:t>
      </w:r>
      <w:r w:rsidRPr="00D346B5">
        <w:t>úvěrů v jednotlivých letech). Hodnota údaje „Saldo bez financování“ vyjadřuje hodnotu finančních prostředků, které městu zůstávají na případnou úhradu svých závazků a investice. Od roku 202</w:t>
      </w:r>
      <w:r w:rsidR="00D346B5" w:rsidRPr="00D346B5">
        <w:t>4</w:t>
      </w:r>
      <w:r w:rsidRPr="00D346B5">
        <w:t xml:space="preserve"> do konce období výhledu nabývá kladných hodnot a meziročně roste.</w:t>
      </w:r>
    </w:p>
    <w:p w:rsidR="00B01126" w:rsidRPr="007F7EE4" w:rsidRDefault="00B01126" w:rsidP="007F7EE4">
      <w:pPr>
        <w:pStyle w:val="Graf0"/>
      </w:pPr>
      <w:bookmarkStart w:id="111" w:name="_Toc118977824"/>
      <w:r w:rsidRPr="007F7EE4">
        <w:t>Vývoj salda hospodaření</w:t>
      </w:r>
      <w:bookmarkEnd w:id="104"/>
      <w:bookmarkEnd w:id="105"/>
      <w:bookmarkEnd w:id="106"/>
      <w:bookmarkEnd w:id="107"/>
      <w:bookmarkEnd w:id="108"/>
      <w:bookmarkEnd w:id="111"/>
    </w:p>
    <w:p w:rsidR="00B01126" w:rsidRPr="004F4117" w:rsidRDefault="00245008" w:rsidP="005A4747">
      <w:pPr>
        <w:pStyle w:val="Objekt"/>
        <w:rPr>
          <w:noProof/>
          <w:highlight w:val="yellow"/>
        </w:rPr>
      </w:pPr>
      <w:r>
        <w:rPr>
          <w:noProof/>
          <w:lang w:eastAsia="cs-CZ"/>
        </w:rPr>
        <w:drawing>
          <wp:inline distT="0" distB="0" distL="0" distR="0">
            <wp:extent cx="4860925" cy="2014183"/>
            <wp:effectExtent l="0" t="0" r="0" b="0"/>
            <wp:docPr id="686" name="Obrázek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860925" cy="2014183"/>
                    </a:xfrm>
                    <a:prstGeom prst="rect">
                      <a:avLst/>
                    </a:prstGeom>
                    <a:noFill/>
                    <a:ln>
                      <a:noFill/>
                    </a:ln>
                  </pic:spPr>
                </pic:pic>
              </a:graphicData>
            </a:graphic>
          </wp:inline>
        </w:drawing>
      </w:r>
    </w:p>
    <w:p w:rsidR="00B01126" w:rsidRPr="004D0FAA" w:rsidRDefault="00B01126" w:rsidP="004D0FAA">
      <w:pPr>
        <w:pStyle w:val="Nadpis3"/>
      </w:pPr>
      <w:r w:rsidRPr="004D0FAA">
        <w:t>Volné finanční prostředky</w:t>
      </w:r>
    </w:p>
    <w:p w:rsidR="00C71826" w:rsidRPr="00AA1C64" w:rsidRDefault="00B01126" w:rsidP="00D346B5">
      <w:bookmarkStart w:id="112" w:name="_Toc365274730"/>
      <w:bookmarkStart w:id="113" w:name="_Toc368988413"/>
      <w:r w:rsidRPr="00C71826">
        <w:t>V</w:t>
      </w:r>
      <w:r w:rsidR="002640F1">
        <w:t xml:space="preserve"> následující tabulce na </w:t>
      </w:r>
      <w:r w:rsidRPr="00C71826">
        <w:t>řádku „Volné finanční prostředky“ jsou uvedeny hodnoty finančních prostředků, které městu zůstanou na financování investičních akcí po splnění svých závazků.</w:t>
      </w:r>
    </w:p>
    <w:p w:rsidR="00B01126" w:rsidRPr="007F7EE4" w:rsidRDefault="00B01126" w:rsidP="009A770A">
      <w:pPr>
        <w:pStyle w:val="Tabulka"/>
      </w:pPr>
      <w:bookmarkStart w:id="114" w:name="_Toc428350386"/>
      <w:bookmarkStart w:id="115" w:name="_Toc55981704"/>
      <w:bookmarkStart w:id="116" w:name="_Toc118977791"/>
      <w:r w:rsidRPr="007F7EE4">
        <w:t>Volné finanční prostředky</w:t>
      </w:r>
      <w:bookmarkEnd w:id="112"/>
      <w:bookmarkEnd w:id="113"/>
      <w:bookmarkEnd w:id="114"/>
      <w:bookmarkEnd w:id="115"/>
      <w:bookmarkEnd w:id="116"/>
    </w:p>
    <w:p w:rsidR="00B01126" w:rsidRPr="00FF1588" w:rsidRDefault="005373CB" w:rsidP="005A4747">
      <w:pPr>
        <w:pStyle w:val="Objekt"/>
        <w:rPr>
          <w:lang w:val="en-US"/>
        </w:rPr>
      </w:pPr>
      <w:r w:rsidRPr="005373CB">
        <w:rPr>
          <w:noProof/>
          <w:lang w:eastAsia="cs-CZ"/>
        </w:rPr>
        <w:drawing>
          <wp:inline distT="0" distB="0" distL="0" distR="0">
            <wp:extent cx="4860925" cy="1492146"/>
            <wp:effectExtent l="0" t="0" r="0" b="0"/>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860925" cy="1492146"/>
                    </a:xfrm>
                    <a:prstGeom prst="rect">
                      <a:avLst/>
                    </a:prstGeom>
                    <a:noFill/>
                    <a:ln>
                      <a:noFill/>
                    </a:ln>
                  </pic:spPr>
                </pic:pic>
              </a:graphicData>
            </a:graphic>
          </wp:inline>
        </w:drawing>
      </w:r>
    </w:p>
    <w:p w:rsidR="0083383E" w:rsidRDefault="00B01126" w:rsidP="00C71826">
      <w:r w:rsidRPr="00FF1588">
        <w:t xml:space="preserve">V tabulce je vyjádřen odhad finančních toků v budoucnosti. Tento odhad vychází, stejně jako celý </w:t>
      </w:r>
      <w:r w:rsidR="000D195F" w:rsidRPr="00FF1588">
        <w:t>SVR</w:t>
      </w:r>
      <w:r w:rsidRPr="00FF1588">
        <w:t xml:space="preserve">, ze stávající legislativy a místních podmínek. </w:t>
      </w:r>
      <w:r w:rsidR="0083383E" w:rsidRPr="00FF1588">
        <w:t xml:space="preserve">Teoretická výše finančních prostředků, které může město ze svých prostředků použít na financování </w:t>
      </w:r>
      <w:r w:rsidR="0083383E" w:rsidRPr="00FF1588">
        <w:lastRenderedPageBreak/>
        <w:t>investičních aktivit a jednorázových akcí neinvestičního charakteru</w:t>
      </w:r>
      <w:r w:rsidR="00146580" w:rsidRPr="00FF1588">
        <w:t>,</w:t>
      </w:r>
      <w:r w:rsidR="0083383E" w:rsidRPr="00FF1588">
        <w:t xml:space="preserve"> se pohybuje v rozmezí od </w:t>
      </w:r>
      <w:r w:rsidR="00D346B5" w:rsidRPr="00FF1588">
        <w:t>137,5</w:t>
      </w:r>
      <w:r w:rsidR="0083383E" w:rsidRPr="00FF1588">
        <w:t xml:space="preserve"> mil. Kč (</w:t>
      </w:r>
      <w:r w:rsidR="00BB6E62" w:rsidRPr="00FF1588">
        <w:t>202</w:t>
      </w:r>
      <w:r w:rsidR="00D346B5" w:rsidRPr="00FF1588">
        <w:t>4</w:t>
      </w:r>
      <w:r w:rsidR="0083383E" w:rsidRPr="00FF1588">
        <w:t xml:space="preserve">) do </w:t>
      </w:r>
      <w:r w:rsidR="00BB6E62" w:rsidRPr="00FF1588">
        <w:t>208,2</w:t>
      </w:r>
      <w:r w:rsidR="0083383E" w:rsidRPr="00FF1588">
        <w:t xml:space="preserve"> mil. Kč (</w:t>
      </w:r>
      <w:r w:rsidR="00BB6E62" w:rsidRPr="00FF1588">
        <w:t>2027</w:t>
      </w:r>
      <w:r w:rsidR="0083383E" w:rsidRPr="00FF1588">
        <w:t>).</w:t>
      </w:r>
      <w:r w:rsidR="00922ADB" w:rsidRPr="00FF1588">
        <w:t xml:space="preserve"> Toto jsou hodnoty srovnatelné s hodnotami kapitálových výdajů v minulém období (bez uvažovaných investičních příjmů).</w:t>
      </w:r>
      <w:r w:rsidR="00D346B5" w:rsidRPr="00FF1588">
        <w:t xml:space="preserve"> Průměrná výše investic ve sledovaném p</w:t>
      </w:r>
      <w:r w:rsidR="00FF1588" w:rsidRPr="00FF1588">
        <w:t>ě</w:t>
      </w:r>
      <w:r w:rsidR="00D346B5" w:rsidRPr="00FF1588">
        <w:t>tiletém období byla 222,2 mil. Kč.</w:t>
      </w:r>
    </w:p>
    <w:p w:rsidR="00B01126" w:rsidRDefault="00B01126" w:rsidP="00993408">
      <w:r w:rsidRPr="00AF06D1">
        <w:t>Kromě možnosti zapojit do rozpočtu pře</w:t>
      </w:r>
      <w:r w:rsidR="00A20E5A" w:rsidRPr="00AF06D1">
        <w:t>bytky hospodaření minulých let,</w:t>
      </w:r>
      <w:r w:rsidRPr="00AF06D1">
        <w:t xml:space="preserve"> hledání rezerv a efektivního hospodaření</w:t>
      </w:r>
      <w:r w:rsidR="00A20E5A" w:rsidRPr="00AF06D1">
        <w:t xml:space="preserve"> může město</w:t>
      </w:r>
      <w:r w:rsidRPr="00AF06D1">
        <w:t xml:space="preserve"> ovlivnit výši volných finančních prostředků prodejem majetku ve svém vlastnictví. O prodeji rozhoduje zastupitelstvo a výše bude odpovídat investičním potřebám. Možné je také využít cizích prostředků (např. úvěry, investiční </w:t>
      </w:r>
      <w:proofErr w:type="gramStart"/>
      <w:r w:rsidRPr="00AF06D1">
        <w:t>dotace,</w:t>
      </w:r>
      <w:proofErr w:type="gramEnd"/>
      <w:r w:rsidRPr="00AF06D1">
        <w:t xml:space="preserve"> apod.). Získáme tak disponibilní prostředky pro rozvoj města.</w:t>
      </w:r>
    </w:p>
    <w:p w:rsidR="00AC73DA" w:rsidRPr="007F7EE4" w:rsidRDefault="00AC73DA" w:rsidP="009A770A">
      <w:pPr>
        <w:pStyle w:val="Tabulka"/>
      </w:pPr>
      <w:bookmarkStart w:id="117" w:name="_Toc118977792"/>
      <w:r w:rsidRPr="00AC73DA">
        <w:t>Disponibilní prostředky výhledového období</w:t>
      </w:r>
      <w:bookmarkEnd w:id="117"/>
    </w:p>
    <w:p w:rsidR="00AC73DA" w:rsidRPr="004F4117" w:rsidRDefault="005373CB" w:rsidP="00AC73DA">
      <w:pPr>
        <w:pStyle w:val="Objekt"/>
        <w:rPr>
          <w:highlight w:val="yellow"/>
          <w:lang w:val="en-US"/>
        </w:rPr>
      </w:pPr>
      <w:r w:rsidRPr="005373CB">
        <w:rPr>
          <w:noProof/>
          <w:lang w:eastAsia="cs-CZ"/>
        </w:rPr>
        <w:drawing>
          <wp:inline distT="0" distB="0" distL="0" distR="0">
            <wp:extent cx="2196000" cy="583200"/>
            <wp:effectExtent l="0" t="0" r="0" b="7620"/>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196000" cy="583200"/>
                    </a:xfrm>
                    <a:prstGeom prst="rect">
                      <a:avLst/>
                    </a:prstGeom>
                    <a:noFill/>
                    <a:ln>
                      <a:noFill/>
                    </a:ln>
                  </pic:spPr>
                </pic:pic>
              </a:graphicData>
            </a:graphic>
          </wp:inline>
        </w:drawing>
      </w:r>
    </w:p>
    <w:p w:rsidR="007A5F8C" w:rsidRPr="00522B81" w:rsidRDefault="007A5F8C" w:rsidP="00522B81">
      <w:pPr>
        <w:pStyle w:val="Poznmka"/>
      </w:pPr>
      <w:r w:rsidRPr="00522B81">
        <w:t>Poznámka: Výše zůstatků je vypočtena jako součet Zůstatky na účtech (</w:t>
      </w:r>
      <w:r w:rsidR="00BB6E62">
        <w:t>2021</w:t>
      </w:r>
      <w:r w:rsidRPr="00522B81">
        <w:t>) a Změna stavu peněžních zůstatků (</w:t>
      </w:r>
      <w:r w:rsidR="00BB6E62">
        <w:t>2022</w:t>
      </w:r>
      <w:r w:rsidRPr="00522B81">
        <w:t>)</w:t>
      </w:r>
    </w:p>
    <w:p w:rsidR="007A5F8C" w:rsidRPr="005B3686" w:rsidRDefault="007A5F8C" w:rsidP="00522B81">
      <w:pPr>
        <w:pStyle w:val="Poznmka"/>
        <w:rPr>
          <w:i w:val="0"/>
        </w:rPr>
      </w:pPr>
      <w:bookmarkStart w:id="118" w:name="OLE_LINK1"/>
      <w:r w:rsidRPr="00522B81">
        <w:t>Poznámka: Bezpečná vý</w:t>
      </w:r>
      <w:r w:rsidR="003451AE">
        <w:t xml:space="preserve">še dluhu je obsahem </w:t>
      </w:r>
      <w:r w:rsidRPr="00522B81">
        <w:t>kapitoly</w:t>
      </w:r>
      <w:r w:rsidR="003451AE">
        <w:t xml:space="preserve"> Analýza zadluženosti</w:t>
      </w:r>
    </w:p>
    <w:bookmarkEnd w:id="118"/>
    <w:p w:rsidR="007A5F8C" w:rsidRPr="006970E1" w:rsidRDefault="00E8249A" w:rsidP="007A5F8C">
      <w:r>
        <w:rPr>
          <w:rFonts w:ascii="Verdana" w:hAnsi="Verdana"/>
          <w:noProof/>
          <w:sz w:val="19"/>
          <w:highlight w:val="cyan"/>
          <w:lang w:eastAsia="cs-CZ"/>
        </w:rPr>
        <mc:AlternateContent>
          <mc:Choice Requires="wps">
            <w:drawing>
              <wp:anchor distT="0" distB="0" distL="114300" distR="114300" simplePos="0" relativeHeight="251813376" behindDoc="0" locked="0" layoutInCell="1" allowOverlap="1">
                <wp:simplePos x="0" y="0"/>
                <wp:positionH relativeFrom="page">
                  <wp:posOffset>541655</wp:posOffset>
                </wp:positionH>
                <wp:positionV relativeFrom="paragraph">
                  <wp:posOffset>0</wp:posOffset>
                </wp:positionV>
                <wp:extent cx="1403985" cy="720090"/>
                <wp:effectExtent l="0" t="0" r="0" b="0"/>
                <wp:wrapNone/>
                <wp:docPr id="33" name="Textové pole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03985" cy="720090"/>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DA6167" w:rsidRDefault="00DA6167" w:rsidP="00846D3C">
                            <w:pPr>
                              <w:spacing w:after="0"/>
                              <w:jc w:val="left"/>
                              <w:rPr>
                                <w:rStyle w:val="Odkaznakoment"/>
                                <w:rFonts w:cstheme="minorHAnsi"/>
                                <w:i/>
                                <w:sz w:val="20"/>
                                <w:szCs w:val="20"/>
                              </w:rPr>
                            </w:pPr>
                            <w:r w:rsidRPr="00846D3C">
                              <w:rPr>
                                <w:rStyle w:val="Odkaznakoment"/>
                                <w:rFonts w:cstheme="minorHAnsi"/>
                                <w:i/>
                                <w:sz w:val="20"/>
                                <w:szCs w:val="20"/>
                              </w:rPr>
                              <w:t xml:space="preserve">Na období SVR je predikováno </w:t>
                            </w:r>
                          </w:p>
                          <w:p w:rsidR="00DA6167" w:rsidRPr="00846D3C" w:rsidRDefault="00DA6167" w:rsidP="00846D3C">
                            <w:pPr>
                              <w:spacing w:before="0"/>
                              <w:jc w:val="left"/>
                              <w:rPr>
                                <w:rStyle w:val="Odkaznakoment"/>
                                <w:rFonts w:cstheme="minorHAnsi"/>
                                <w:b/>
                                <w:i/>
                                <w:color w:val="548DD4" w:themeColor="text2" w:themeTint="99"/>
                                <w:sz w:val="28"/>
                                <w:szCs w:val="28"/>
                              </w:rPr>
                            </w:pPr>
                            <w:r w:rsidRPr="00BB6E62">
                              <w:rPr>
                                <w:b/>
                                <w:i/>
                                <w:color w:val="548DD4" w:themeColor="text2" w:themeTint="99"/>
                                <w:sz w:val="28"/>
                                <w:szCs w:val="28"/>
                              </w:rPr>
                              <w:t>1</w:t>
                            </w:r>
                            <w:r>
                              <w:rPr>
                                <w:b/>
                                <w:i/>
                                <w:color w:val="548DD4" w:themeColor="text2" w:themeTint="99"/>
                                <w:sz w:val="28"/>
                                <w:szCs w:val="28"/>
                              </w:rPr>
                              <w:t xml:space="preserve"> 969,1</w:t>
                            </w:r>
                            <w:r w:rsidRPr="00846D3C">
                              <w:rPr>
                                <w:rStyle w:val="Odkaznakoment"/>
                                <w:rFonts w:cstheme="minorHAnsi"/>
                                <w:b/>
                                <w:i/>
                                <w:color w:val="548DD4" w:themeColor="text2" w:themeTint="99"/>
                                <w:sz w:val="28"/>
                                <w:szCs w:val="28"/>
                              </w:rPr>
                              <w:t xml:space="preserve"> mil. Kč</w:t>
                            </w:r>
                          </w:p>
                          <w:p w:rsidR="00DA6167" w:rsidRPr="001B58F3" w:rsidRDefault="00DA6167" w:rsidP="00E03088">
                            <w:pPr>
                              <w:spacing w:after="0"/>
                              <w:jc w:val="left"/>
                              <w:rPr>
                                <w:rFonts w:cstheme="minorHAnsi"/>
                                <w:i/>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margin">
                  <wp14:pctHeight>0</wp14:pctHeight>
                </wp14:sizeRelV>
              </wp:anchor>
            </w:drawing>
          </mc:Choice>
          <mc:Fallback>
            <w:pict>
              <v:shape id="_x0000_s1060" type="#_x0000_t202" style="position:absolute;left:0;text-align:left;margin-left:42.65pt;margin-top:0;width:110.55pt;height:56.7pt;z-index:251813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" fillcolor="white [3201]" stroked="f" strokeweight=".5pt">
                <v:path arrowok="t"/>
                <v:textbox inset="0,0,0,0">
                  <w:txbxContent>
                    <w:p w:rsidR="00DA6167" w:rsidRDefault="00DA6167" w:rsidP="00846D3C">
                      <w:pPr>
                        <w:spacing w:after="0"/>
                        <w:jc w:val="left"/>
                        <w:rPr>
                          <w:rStyle w:val="Odkaznakoment"/>
                          <w:rFonts w:cstheme="minorHAnsi"/>
                          <w:i/>
                          <w:sz w:val="20"/>
                          <w:szCs w:val="20"/>
                        </w:rPr>
                      </w:pPr>
                      <w:r w:rsidRPr="00846D3C">
                        <w:rPr>
                          <w:rStyle w:val="Odkaznakoment"/>
                          <w:rFonts w:cstheme="minorHAnsi"/>
                          <w:i/>
                          <w:sz w:val="20"/>
                          <w:szCs w:val="20"/>
                        </w:rPr>
                        <w:t xml:space="preserve">Na období SVR je predikováno </w:t>
                      </w:r>
                    </w:p>
                    <w:p w:rsidR="00DA6167" w:rsidRPr="00846D3C" w:rsidRDefault="00DA6167" w:rsidP="00846D3C">
                      <w:pPr>
                        <w:spacing w:before="0"/>
                        <w:jc w:val="left"/>
                        <w:rPr>
                          <w:rStyle w:val="Odkaznakoment"/>
                          <w:rFonts w:cstheme="minorHAnsi"/>
                          <w:b/>
                          <w:i/>
                          <w:color w:val="548DD4" w:themeColor="text2" w:themeTint="99"/>
                          <w:sz w:val="28"/>
                          <w:szCs w:val="28"/>
                        </w:rPr>
                      </w:pPr>
                      <w:r w:rsidRPr="00BB6E62">
                        <w:rPr>
                          <w:b/>
                          <w:i/>
                          <w:color w:val="548DD4" w:themeColor="text2" w:themeTint="99"/>
                          <w:sz w:val="28"/>
                          <w:szCs w:val="28"/>
                        </w:rPr>
                        <w:t>1</w:t>
                      </w:r>
                      <w:r>
                        <w:rPr>
                          <w:b/>
                          <w:i/>
                          <w:color w:val="548DD4" w:themeColor="text2" w:themeTint="99"/>
                          <w:sz w:val="28"/>
                          <w:szCs w:val="28"/>
                        </w:rPr>
                        <w:t xml:space="preserve"> 969,1</w:t>
                      </w:r>
                      <w:r w:rsidRPr="00846D3C">
                        <w:rPr>
                          <w:rStyle w:val="Odkaznakoment"/>
                          <w:rFonts w:cstheme="minorHAnsi"/>
                          <w:b/>
                          <w:i/>
                          <w:color w:val="548DD4" w:themeColor="text2" w:themeTint="99"/>
                          <w:sz w:val="28"/>
                          <w:szCs w:val="28"/>
                        </w:rPr>
                        <w:t xml:space="preserve"> mil. Kč</w:t>
                      </w:r>
                    </w:p>
                    <w:p w:rsidR="00DA6167" w:rsidRPr="001B58F3" w:rsidRDefault="00DA6167" w:rsidP="00E03088">
                      <w:pPr>
                        <w:spacing w:after="0"/>
                        <w:jc w:val="left"/>
                        <w:rPr>
                          <w:rFonts w:cstheme="minorHAnsi"/>
                          <w:i/>
                          <w:sz w:val="20"/>
                          <w:szCs w:val="20"/>
                        </w:rPr>
                      </w:pPr>
                    </w:p>
                  </w:txbxContent>
                </v:textbox>
                <w10:wrap anchorx="page"/>
              </v:shape>
            </w:pict>
          </mc:Fallback>
        </mc:AlternateContent>
      </w:r>
      <w:r w:rsidR="007A5F8C" w:rsidRPr="00B8791F">
        <w:t xml:space="preserve">Společnost AQE </w:t>
      </w:r>
      <w:proofErr w:type="spellStart"/>
      <w:r w:rsidR="007A5F8C" w:rsidRPr="00B8791F">
        <w:t>advisors</w:t>
      </w:r>
      <w:proofErr w:type="spellEnd"/>
      <w:r w:rsidR="007A5F8C" w:rsidRPr="00B8791F">
        <w:t xml:space="preserve">, a.s. </w:t>
      </w:r>
      <w:r w:rsidR="007A5F8C" w:rsidRPr="00FF1588">
        <w:t xml:space="preserve">stanovila pro období </w:t>
      </w:r>
      <w:proofErr w:type="gramStart"/>
      <w:r w:rsidR="00BB6E62" w:rsidRPr="00FF1588">
        <w:t>2023 - 2027</w:t>
      </w:r>
      <w:proofErr w:type="gramEnd"/>
      <w:r w:rsidR="007A5F8C" w:rsidRPr="00FF1588">
        <w:t xml:space="preserve"> na základě sestaveného střednědobého výhledu objem teoretických disponibilních prostředků pro rozvoj města </w:t>
      </w:r>
      <w:r w:rsidR="00B8791F" w:rsidRPr="00FF1588">
        <w:t>formou</w:t>
      </w:r>
      <w:r w:rsidR="007A5F8C" w:rsidRPr="00FF1588">
        <w:t xml:space="preserve"> investičních a jednorázových akcí ve výši </w:t>
      </w:r>
      <w:r w:rsidR="00BD2460">
        <w:t>1 969,</w:t>
      </w:r>
      <w:r w:rsidR="005373CB">
        <w:t>1</w:t>
      </w:r>
      <w:r w:rsidR="00B8791F" w:rsidRPr="00FF1588">
        <w:t xml:space="preserve"> </w:t>
      </w:r>
      <w:r w:rsidR="007A5F8C" w:rsidRPr="00FF1588">
        <w:t>mil.</w:t>
      </w:r>
      <w:r w:rsidR="00203087">
        <w:t xml:space="preserve"> Kč.</w:t>
      </w:r>
      <w:r w:rsidR="007A5F8C" w:rsidRPr="00FF1588">
        <w:t xml:space="preserve"> </w:t>
      </w:r>
      <w:r w:rsidR="00A02833" w:rsidRPr="00FF1588">
        <w:t>Jedná se o částku využitelnou nad rámec zapracovaných investic.</w:t>
      </w:r>
      <w:r w:rsidR="00A02833">
        <w:t xml:space="preserve"> </w:t>
      </w:r>
    </w:p>
    <w:p w:rsidR="00B01126" w:rsidRPr="00364D6D" w:rsidRDefault="00B01126" w:rsidP="00993408">
      <w:pPr>
        <w:pStyle w:val="Nadpis2"/>
      </w:pPr>
      <w:bookmarkStart w:id="119" w:name="_Toc62211726"/>
      <w:bookmarkStart w:id="120" w:name="_Toc118978223"/>
      <w:r w:rsidRPr="00364D6D">
        <w:t>Dluhová služba</w:t>
      </w:r>
      <w:bookmarkEnd w:id="119"/>
      <w:bookmarkEnd w:id="120"/>
    </w:p>
    <w:p w:rsidR="00B200B0" w:rsidRPr="00A522F9" w:rsidRDefault="00B200B0" w:rsidP="00B200B0">
      <w:pPr>
        <w:rPr>
          <w:rFonts w:ascii="Calibri" w:hAnsi="Calibri"/>
          <w:sz w:val="20"/>
          <w:szCs w:val="20"/>
          <w:lang w:val="en-US"/>
        </w:rPr>
      </w:pPr>
      <w:r w:rsidRPr="003B5DF4">
        <w:t xml:space="preserve">Dluhová služba poskytuje užitečný přehled o výpůjční aktivitě města a o jeho schopnosti splácet dluh. Celkem musí město v letech </w:t>
      </w:r>
      <w:proofErr w:type="gramStart"/>
      <w:r w:rsidR="00BB6E62">
        <w:t>2023 - 2027</w:t>
      </w:r>
      <w:proofErr w:type="gramEnd"/>
      <w:r w:rsidRPr="003B5DF4">
        <w:t xml:space="preserve"> splatit </w:t>
      </w:r>
      <w:r w:rsidR="00BB6E62">
        <w:t>8,2</w:t>
      </w:r>
      <w:r w:rsidRPr="003B5DF4">
        <w:t xml:space="preserve"> mil. Kč současných závazků včetně úroků (z toho </w:t>
      </w:r>
      <w:r w:rsidR="00BB6E62">
        <w:t>7,7</w:t>
      </w:r>
      <w:r w:rsidRPr="003B5DF4">
        <w:t xml:space="preserve"> mil. Kč </w:t>
      </w:r>
      <w:r w:rsidRPr="00447D97">
        <w:t xml:space="preserve">na splátky jistin). </w:t>
      </w:r>
      <w:r w:rsidR="00FF1588" w:rsidRPr="00447D97">
        <w:t>Tyto závazky budou ovšem splaceny již v roce 2023</w:t>
      </w:r>
      <w:r w:rsidRPr="00447D97">
        <w:t xml:space="preserve">. Ve sledovaném období </w:t>
      </w:r>
      <w:r w:rsidR="00BD2460">
        <w:t xml:space="preserve">střednědobého výhledu rozpočtu </w:t>
      </w:r>
      <w:r w:rsidRPr="00447D97">
        <w:t>se nepočítá s přijetím nového investičního úvě</w:t>
      </w:r>
      <w:r w:rsidR="00FF1588" w:rsidRPr="00447D97">
        <w:t xml:space="preserve">ru, jeho využití ovšem </w:t>
      </w:r>
      <w:r w:rsidR="00447D97" w:rsidRPr="00447D97">
        <w:t>není vyloučeno.</w:t>
      </w:r>
      <w:r w:rsidR="00E73C14">
        <w:t xml:space="preserve"> Město má k dispozici kontokorentní </w:t>
      </w:r>
      <w:r w:rsidR="00736465">
        <w:t>ú</w:t>
      </w:r>
      <w:r w:rsidR="00E73C14">
        <w:t xml:space="preserve">čet s </w:t>
      </w:r>
      <w:r w:rsidR="00736465">
        <w:t>ú</w:t>
      </w:r>
      <w:r w:rsidR="00E73C14">
        <w:t>věrovým rámcem ve výši 200,0 mil. Kč.</w:t>
      </w:r>
    </w:p>
    <w:p w:rsidR="007A5F8C" w:rsidRPr="007F7EE4" w:rsidRDefault="008C3094" w:rsidP="009A770A">
      <w:pPr>
        <w:pStyle w:val="Tabulka"/>
      </w:pPr>
      <w:bookmarkStart w:id="121" w:name="_Toc118977793"/>
      <w:r w:rsidRPr="007F7EE4">
        <w:t>Rozpis dluhové služby</w:t>
      </w:r>
      <w:bookmarkEnd w:id="121"/>
    </w:p>
    <w:p w:rsidR="00DC2176" w:rsidRDefault="00245008" w:rsidP="00DC2176">
      <w:pPr>
        <w:pStyle w:val="Objekt"/>
        <w:rPr>
          <w:highlight w:val="cyan"/>
        </w:rPr>
      </w:pPr>
      <w:r>
        <w:rPr>
          <w:noProof/>
          <w:lang w:eastAsia="cs-CZ"/>
        </w:rPr>
        <w:drawing>
          <wp:inline distT="0" distB="0" distL="0" distR="0">
            <wp:extent cx="4860925" cy="511548"/>
            <wp:effectExtent l="0" t="0" r="0" b="3175"/>
            <wp:docPr id="690" name="Obrázek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860925" cy="511548"/>
                    </a:xfrm>
                    <a:prstGeom prst="rect">
                      <a:avLst/>
                    </a:prstGeom>
                    <a:noFill/>
                    <a:ln>
                      <a:noFill/>
                    </a:ln>
                  </pic:spPr>
                </pic:pic>
              </a:graphicData>
            </a:graphic>
          </wp:inline>
        </w:drawing>
      </w:r>
    </w:p>
    <w:p w:rsidR="00815323" w:rsidRPr="00364D6D" w:rsidRDefault="00E8249A" w:rsidP="00F00A55">
      <w:r>
        <w:rPr>
          <w:rFonts w:ascii="Verdana" w:hAnsi="Verdana"/>
          <w:noProof/>
          <w:sz w:val="19"/>
          <w:lang w:eastAsia="cs-CZ"/>
        </w:rPr>
        <mc:AlternateContent>
          <mc:Choice Requires="wps">
            <w:drawing>
              <wp:anchor distT="0" distB="0" distL="114300" distR="114300" simplePos="0" relativeHeight="251825664" behindDoc="0" locked="0" layoutInCell="1" allowOverlap="1">
                <wp:simplePos x="0" y="0"/>
                <wp:positionH relativeFrom="page">
                  <wp:posOffset>541655</wp:posOffset>
                </wp:positionH>
                <wp:positionV relativeFrom="paragraph">
                  <wp:posOffset>-1270</wp:posOffset>
                </wp:positionV>
                <wp:extent cx="1403985" cy="668655"/>
                <wp:effectExtent l="0" t="0" r="0" b="0"/>
                <wp:wrapNone/>
                <wp:docPr id="745" name="Textové pole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03985" cy="668655"/>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DA6167" w:rsidRDefault="00DA6167" w:rsidP="00434F92">
                            <w:pPr>
                              <w:spacing w:after="0"/>
                              <w:jc w:val="left"/>
                              <w:rPr>
                                <w:rStyle w:val="Odkaznakoment"/>
                                <w:rFonts w:cstheme="minorHAnsi"/>
                                <w:i/>
                                <w:sz w:val="20"/>
                                <w:szCs w:val="20"/>
                              </w:rPr>
                            </w:pPr>
                            <w:r>
                              <w:rPr>
                                <w:rStyle w:val="Odkaznakoment"/>
                                <w:rFonts w:cstheme="minorHAnsi"/>
                                <w:i/>
                                <w:sz w:val="20"/>
                                <w:szCs w:val="20"/>
                              </w:rPr>
                              <w:t>Příznivé hodnoty ukazatele dluhové služby – nejvýše</w:t>
                            </w:r>
                          </w:p>
                          <w:p w:rsidR="00DA6167" w:rsidRPr="00846D3C" w:rsidRDefault="00DA6167" w:rsidP="00434F92">
                            <w:pPr>
                              <w:spacing w:before="0"/>
                              <w:jc w:val="left"/>
                              <w:rPr>
                                <w:rFonts w:cstheme="minorHAnsi"/>
                                <w:b/>
                                <w:i/>
                                <w:color w:val="548DD4" w:themeColor="text2" w:themeTint="99"/>
                                <w:sz w:val="28"/>
                                <w:szCs w:val="28"/>
                              </w:rPr>
                            </w:pPr>
                            <w:r w:rsidRPr="00BB6E62">
                              <w:rPr>
                                <w:b/>
                                <w:i/>
                                <w:color w:val="548DD4" w:themeColor="text2" w:themeTint="99"/>
                                <w:sz w:val="28"/>
                                <w:szCs w:val="28"/>
                              </w:rPr>
                              <w:t>1,27</w:t>
                            </w:r>
                            <w:r w:rsidRPr="00846D3C">
                              <w:rPr>
                                <w:rStyle w:val="Odkaznakoment"/>
                                <w:rFonts w:cstheme="minorHAnsi"/>
                                <w:b/>
                                <w:i/>
                                <w:color w:val="548DD4" w:themeColor="text2" w:themeTint="99"/>
                                <w:sz w:val="28"/>
                                <w:szCs w:val="28"/>
                              </w:rPr>
                              <w:t xml:space="preserve"> %</w:t>
                            </w:r>
                          </w:p>
                          <w:p w:rsidR="00DA6167" w:rsidRPr="001B58F3" w:rsidRDefault="00DA6167" w:rsidP="00434F92">
                            <w:pPr>
                              <w:spacing w:after="0"/>
                              <w:jc w:val="left"/>
                              <w:rPr>
                                <w:rFonts w:cstheme="minorHAnsi"/>
                                <w:i/>
                                <w:sz w:val="20"/>
                                <w:szCs w:val="20"/>
                              </w:rPr>
                            </w:pPr>
                          </w:p>
                          <w:p w:rsidR="00DA6167" w:rsidRPr="001B58F3" w:rsidRDefault="00DA6167" w:rsidP="00434F92">
                            <w:pPr>
                              <w:spacing w:after="0"/>
                              <w:jc w:val="left"/>
                              <w:rPr>
                                <w:rFonts w:cstheme="minorHAnsi"/>
                                <w:i/>
                                <w:sz w:val="20"/>
                                <w:szCs w:val="20"/>
                              </w:rPr>
                            </w:pPr>
                          </w:p>
                          <w:p w:rsidR="00DA6167" w:rsidRPr="001B58F3" w:rsidRDefault="00DA6167" w:rsidP="00434F92">
                            <w:pPr>
                              <w:spacing w:after="0"/>
                              <w:jc w:val="left"/>
                              <w:rPr>
                                <w:rFonts w:cstheme="minorHAnsi"/>
                                <w:i/>
                                <w:sz w:val="20"/>
                                <w:szCs w:val="20"/>
                              </w:rPr>
                            </w:pPr>
                          </w:p>
                          <w:p w:rsidR="00DA6167" w:rsidRPr="001B58F3" w:rsidRDefault="00DA6167" w:rsidP="00E03088">
                            <w:pPr>
                              <w:spacing w:after="0"/>
                              <w:jc w:val="left"/>
                              <w:rPr>
                                <w:rFonts w:cstheme="minorHAnsi"/>
                                <w:i/>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margin">
                  <wp14:pctHeight>0</wp14:pctHeight>
                </wp14:sizeRelV>
              </wp:anchor>
            </w:drawing>
          </mc:Choice>
          <mc:Fallback>
            <w:pict>
              <v:shape id="_x0000_s1061" type="#_x0000_t202" style="position:absolute;left:0;text-align:left;margin-left:42.65pt;margin-top:-.1pt;width:110.55pt;height:52.65pt;z-index:251825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" fillcolor="white [3201]" stroked="f" strokeweight=".5pt">
                <v:path arrowok="t"/>
                <v:textbox inset="0,0,0,0">
                  <w:txbxContent>
                    <w:p w:rsidR="00DA6167" w:rsidRDefault="00DA6167" w:rsidP="00434F92">
                      <w:pPr>
                        <w:spacing w:after="0"/>
                        <w:jc w:val="left"/>
                        <w:rPr>
                          <w:rStyle w:val="Odkaznakoment"/>
                          <w:rFonts w:cstheme="minorHAnsi"/>
                          <w:i/>
                          <w:sz w:val="20"/>
                          <w:szCs w:val="20"/>
                        </w:rPr>
                      </w:pPr>
                      <w:r>
                        <w:rPr>
                          <w:rStyle w:val="Odkaznakoment"/>
                          <w:rFonts w:cstheme="minorHAnsi"/>
                          <w:i/>
                          <w:sz w:val="20"/>
                          <w:szCs w:val="20"/>
                        </w:rPr>
                        <w:t>Příznivé hodnoty ukazatele dluhové služby – nejvýše</w:t>
                      </w:r>
                    </w:p>
                    <w:p w:rsidR="00DA6167" w:rsidRPr="00846D3C" w:rsidRDefault="00DA6167" w:rsidP="00434F92">
                      <w:pPr>
                        <w:spacing w:before="0"/>
                        <w:jc w:val="left"/>
                        <w:rPr>
                          <w:rFonts w:cstheme="minorHAnsi"/>
                          <w:b/>
                          <w:i/>
                          <w:color w:val="548DD4" w:themeColor="text2" w:themeTint="99"/>
                          <w:sz w:val="28"/>
                          <w:szCs w:val="28"/>
                        </w:rPr>
                      </w:pPr>
                      <w:r w:rsidRPr="00BB6E62">
                        <w:rPr>
                          <w:b/>
                          <w:i/>
                          <w:color w:val="548DD4" w:themeColor="text2" w:themeTint="99"/>
                          <w:sz w:val="28"/>
                          <w:szCs w:val="28"/>
                        </w:rPr>
                        <w:t>1,27</w:t>
                      </w:r>
                      <w:r w:rsidRPr="00846D3C">
                        <w:rPr>
                          <w:rStyle w:val="Odkaznakoment"/>
                          <w:rFonts w:cstheme="minorHAnsi"/>
                          <w:b/>
                          <w:i/>
                          <w:color w:val="548DD4" w:themeColor="text2" w:themeTint="99"/>
                          <w:sz w:val="28"/>
                          <w:szCs w:val="28"/>
                        </w:rPr>
                        <w:t xml:space="preserve"> %</w:t>
                      </w:r>
                    </w:p>
                    <w:p w:rsidR="00DA6167" w:rsidRPr="001B58F3" w:rsidRDefault="00DA6167" w:rsidP="00434F92">
                      <w:pPr>
                        <w:spacing w:after="0"/>
                        <w:jc w:val="left"/>
                        <w:rPr>
                          <w:rFonts w:cstheme="minorHAnsi"/>
                          <w:i/>
                          <w:sz w:val="20"/>
                          <w:szCs w:val="20"/>
                        </w:rPr>
                      </w:pPr>
                    </w:p>
                    <w:p w:rsidR="00DA6167" w:rsidRPr="001B58F3" w:rsidRDefault="00DA6167" w:rsidP="00434F92">
                      <w:pPr>
                        <w:spacing w:after="0"/>
                        <w:jc w:val="left"/>
                        <w:rPr>
                          <w:rFonts w:cstheme="minorHAnsi"/>
                          <w:i/>
                          <w:sz w:val="20"/>
                          <w:szCs w:val="20"/>
                        </w:rPr>
                      </w:pPr>
                    </w:p>
                    <w:p w:rsidR="00DA6167" w:rsidRPr="001B58F3" w:rsidRDefault="00DA6167" w:rsidP="00434F92">
                      <w:pPr>
                        <w:spacing w:after="0"/>
                        <w:jc w:val="left"/>
                        <w:rPr>
                          <w:rFonts w:cstheme="minorHAnsi"/>
                          <w:i/>
                          <w:sz w:val="20"/>
                          <w:szCs w:val="20"/>
                        </w:rPr>
                      </w:pPr>
                    </w:p>
                    <w:p w:rsidR="00DA6167" w:rsidRPr="001B58F3" w:rsidRDefault="00DA6167" w:rsidP="00E03088">
                      <w:pPr>
                        <w:spacing w:after="0"/>
                        <w:jc w:val="left"/>
                        <w:rPr>
                          <w:rFonts w:cstheme="minorHAnsi"/>
                          <w:i/>
                          <w:sz w:val="20"/>
                          <w:szCs w:val="20"/>
                        </w:rPr>
                      </w:pPr>
                    </w:p>
                  </w:txbxContent>
                </v:textbox>
                <w10:wrap anchorx="page"/>
              </v:shape>
            </w:pict>
          </mc:Fallback>
        </mc:AlternateContent>
      </w:r>
      <w:r w:rsidR="007A5F8C" w:rsidRPr="00447D97">
        <w:t xml:space="preserve">Střednědobý výhled rozpočtu vychází od roku </w:t>
      </w:r>
      <w:r w:rsidR="00BB6E62" w:rsidRPr="00447D97">
        <w:t>202</w:t>
      </w:r>
      <w:r w:rsidR="00FF1588" w:rsidRPr="00447D97">
        <w:t>5</w:t>
      </w:r>
      <w:r w:rsidR="007A5F8C" w:rsidRPr="00447D97">
        <w:t xml:space="preserve"> z rostoucí dluhové základny (dluhová základna je ekvivalentem celkových příjmů). Dluhová služba meziročně klesá </w:t>
      </w:r>
      <w:r w:rsidR="00FF1588" w:rsidRPr="00447D97">
        <w:t xml:space="preserve">a v roce 2024 nabývá nulové hodnoty. </w:t>
      </w:r>
      <w:r w:rsidR="00815323" w:rsidRPr="00447D97">
        <w:t>Ukazatel dluhové služby se v</w:t>
      </w:r>
      <w:r w:rsidR="00FF1588" w:rsidRPr="00447D97">
        <w:t> roce 2023</w:t>
      </w:r>
      <w:r w:rsidR="00815323" w:rsidRPr="00447D97">
        <w:t xml:space="preserve"> pohybuje </w:t>
      </w:r>
      <w:r w:rsidR="00FF1588" w:rsidRPr="00447D97">
        <w:t>ve výši</w:t>
      </w:r>
      <w:r w:rsidR="00815323" w:rsidRPr="00447D97">
        <w:t xml:space="preserve"> </w:t>
      </w:r>
      <w:r w:rsidR="00BB6E62" w:rsidRPr="00447D97">
        <w:t>1,27</w:t>
      </w:r>
      <w:r w:rsidR="00815323" w:rsidRPr="00447D97">
        <w:t xml:space="preserve"> % (</w:t>
      </w:r>
      <w:r w:rsidR="00BB6E62" w:rsidRPr="00447D97">
        <w:t>2023</w:t>
      </w:r>
      <w:r w:rsidR="00815323" w:rsidRPr="00447D97">
        <w:t xml:space="preserve">). </w:t>
      </w:r>
      <w:r w:rsidR="00FF1588" w:rsidRPr="00447D97">
        <w:t>Budoucí</w:t>
      </w:r>
      <w:r w:rsidR="00FF1588">
        <w:t xml:space="preserve"> hodnota ukazatele bude odvislá od výše nastavených splátek případného úvěru a úrokové zátěže.</w:t>
      </w:r>
    </w:p>
    <w:p w:rsidR="00B01126" w:rsidRPr="007F7EE4" w:rsidRDefault="00B01126" w:rsidP="007F7EE4">
      <w:pPr>
        <w:pStyle w:val="Graf0"/>
      </w:pPr>
      <w:bookmarkStart w:id="122" w:name="_Toc365274609"/>
      <w:bookmarkStart w:id="123" w:name="_Toc368988397"/>
      <w:bookmarkStart w:id="124" w:name="_Toc428351163"/>
      <w:bookmarkStart w:id="125" w:name="_Toc428357458"/>
      <w:bookmarkStart w:id="126" w:name="_Toc58244032"/>
      <w:bookmarkStart w:id="127" w:name="_Toc118977825"/>
      <w:r w:rsidRPr="007F7EE4">
        <w:lastRenderedPageBreak/>
        <w:t>Vývoj dluhové služby</w:t>
      </w:r>
      <w:bookmarkEnd w:id="122"/>
      <w:bookmarkEnd w:id="123"/>
      <w:bookmarkEnd w:id="124"/>
      <w:bookmarkEnd w:id="125"/>
      <w:bookmarkEnd w:id="126"/>
      <w:bookmarkEnd w:id="127"/>
    </w:p>
    <w:p w:rsidR="00E02E36" w:rsidRPr="004F4117" w:rsidRDefault="005373CB" w:rsidP="005A4747">
      <w:pPr>
        <w:pStyle w:val="Objekt"/>
        <w:rPr>
          <w:noProof/>
          <w:highlight w:val="yellow"/>
        </w:rPr>
      </w:pPr>
      <w:bookmarkStart w:id="128" w:name="_Toc523300323"/>
      <w:bookmarkStart w:id="129" w:name="_Toc58244013"/>
      <w:r w:rsidRPr="005373CB">
        <w:rPr>
          <w:noProof/>
          <w:lang w:eastAsia="cs-CZ"/>
        </w:rPr>
        <w:drawing>
          <wp:inline distT="0" distB="0" distL="0" distR="0">
            <wp:extent cx="4860925" cy="2013517"/>
            <wp:effectExtent l="0" t="0" r="0" b="0"/>
            <wp:docPr id="672" name="Obrázek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860925" cy="2013517"/>
                    </a:xfrm>
                    <a:prstGeom prst="rect">
                      <a:avLst/>
                    </a:prstGeom>
                    <a:noFill/>
                    <a:ln>
                      <a:noFill/>
                    </a:ln>
                  </pic:spPr>
                </pic:pic>
              </a:graphicData>
            </a:graphic>
          </wp:inline>
        </w:drawing>
      </w:r>
    </w:p>
    <w:p w:rsidR="00F03800" w:rsidRDefault="006559F6" w:rsidP="003F4DD4">
      <w:pPr>
        <w:pStyle w:val="Nadpis2"/>
      </w:pPr>
      <w:bookmarkStart w:id="130" w:name="_Toc118978224"/>
      <w:r w:rsidRPr="00233938">
        <w:t>A</w:t>
      </w:r>
      <w:r w:rsidR="003F4DD4" w:rsidRPr="00233938">
        <w:t>nalýza zadlužení</w:t>
      </w:r>
      <w:bookmarkEnd w:id="130"/>
      <w:r w:rsidR="009935FB" w:rsidRPr="00233938">
        <w:t xml:space="preserve"> </w:t>
      </w:r>
    </w:p>
    <w:p w:rsidR="008B49E5" w:rsidRPr="008B49E5" w:rsidRDefault="008B49E5" w:rsidP="008B49E5">
      <w:r>
        <w:t>Následující</w:t>
      </w:r>
      <w:r w:rsidRPr="004600C2">
        <w:t xml:space="preserve"> tabulka hodnotí zadlužení města z pohledu zákona č. 23/2017 Sb., o pravidlech rozpočtové odpovědnosti, posuzuje hodnotu fiskálního pravidla a při překročení 60% hranice určuje povinnou výši splátek.</w:t>
      </w:r>
    </w:p>
    <w:bookmarkStart w:id="131" w:name="_Toc118977794"/>
    <w:p w:rsidR="00B01126" w:rsidRPr="007F7EE4" w:rsidRDefault="00E8249A" w:rsidP="009A770A">
      <w:pPr>
        <w:pStyle w:val="Tabulka"/>
      </w:pPr>
      <w:r>
        <w:rPr>
          <w:rFonts w:ascii="Verdana" w:hAnsi="Verdana"/>
          <w:noProof/>
          <w:sz w:val="19"/>
          <w:szCs w:val="22"/>
          <w:highlight w:val="cyan"/>
          <w:lang w:eastAsia="cs-CZ"/>
        </w:rPr>
        <mc:AlternateContent>
          <mc:Choice Requires="wps">
            <w:drawing>
              <wp:anchor distT="0" distB="0" distL="114300" distR="114300" simplePos="0" relativeHeight="251858432" behindDoc="0" locked="0" layoutInCell="1" allowOverlap="1">
                <wp:simplePos x="0" y="0"/>
                <wp:positionH relativeFrom="page">
                  <wp:posOffset>540385</wp:posOffset>
                </wp:positionH>
                <wp:positionV relativeFrom="paragraph">
                  <wp:posOffset>180340</wp:posOffset>
                </wp:positionV>
                <wp:extent cx="1403985" cy="720090"/>
                <wp:effectExtent l="0" t="0" r="0" b="0"/>
                <wp:wrapNone/>
                <wp:docPr id="15" name="Textové pole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03985" cy="720090"/>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DA6167" w:rsidRPr="001B58F3" w:rsidRDefault="00DA6167" w:rsidP="0080074F">
                            <w:pPr>
                              <w:spacing w:after="0"/>
                              <w:jc w:val="left"/>
                              <w:rPr>
                                <w:rFonts w:cstheme="minorHAnsi"/>
                                <w:i/>
                                <w:sz w:val="20"/>
                                <w:szCs w:val="20"/>
                              </w:rPr>
                            </w:pPr>
                            <w:r w:rsidRPr="00736465">
                              <w:rPr>
                                <w:noProof/>
                                <w:lang w:eastAsia="cs-CZ"/>
                              </w:rPr>
                              <w:drawing>
                                <wp:inline distT="0" distB="0" distL="0" distR="0">
                                  <wp:extent cx="1369060" cy="488950"/>
                                  <wp:effectExtent l="0" t="0" r="2540" b="6350"/>
                                  <wp:docPr id="38" name="Obráze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369060" cy="48895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margin">
                  <wp14:pctHeight>0</wp14:pctHeight>
                </wp14:sizeRelV>
              </wp:anchor>
            </w:drawing>
          </mc:Choice>
          <mc:Fallback>
            <w:pict>
              <v:shape id="_x0000_s1062" type="#_x0000_t202" style="position:absolute;left:0;text-align:left;margin-left:42.55pt;margin-top:14.2pt;width:110.55pt;height:56.7pt;z-index:251858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" fillcolor="white [3201]" stroked="f" strokeweight=".5pt">
                <v:path arrowok="t"/>
                <v:textbox inset="0,0,0,0">
                  <w:txbxContent>
                    <w:p w:rsidR="00DA6167" w:rsidRPr="001B58F3" w:rsidRDefault="00DA6167" w:rsidP="0080074F">
                      <w:pPr>
                        <w:spacing w:after="0"/>
                        <w:jc w:val="left"/>
                        <w:rPr>
                          <w:rFonts w:cstheme="minorHAnsi"/>
                          <w:i/>
                          <w:sz w:val="20"/>
                          <w:szCs w:val="20"/>
                        </w:rPr>
                      </w:pPr>
                      <w:r w:rsidRPr="00736465">
                        <w:rPr>
                          <w:noProof/>
                          <w:lang w:eastAsia="cs-CZ"/>
                        </w:rPr>
                        <w:drawing>
                          <wp:inline distT="0" distB="0" distL="0" distR="0">
                            <wp:extent cx="1369060" cy="488950"/>
                            <wp:effectExtent l="0" t="0" r="2540" b="6350"/>
                            <wp:docPr id="38" name="Obráze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369060" cy="488950"/>
                                    </a:xfrm>
                                    <a:prstGeom prst="rect">
                                      <a:avLst/>
                                    </a:prstGeom>
                                    <a:noFill/>
                                    <a:ln>
                                      <a:noFill/>
                                    </a:ln>
                                  </pic:spPr>
                                </pic:pic>
                              </a:graphicData>
                            </a:graphic>
                          </wp:inline>
                        </w:drawing>
                      </w:r>
                    </w:p>
                  </w:txbxContent>
                </v:textbox>
                <w10:wrap anchorx="page"/>
              </v:shape>
            </w:pict>
          </mc:Fallback>
        </mc:AlternateContent>
      </w:r>
      <w:r w:rsidR="00B01126" w:rsidRPr="007F7EE4">
        <w:t>Predikce rozpočtové odpovědnosti</w:t>
      </w:r>
      <w:bookmarkEnd w:id="128"/>
      <w:bookmarkEnd w:id="129"/>
      <w:bookmarkEnd w:id="131"/>
    </w:p>
    <w:p w:rsidR="00E02E36" w:rsidRPr="004F4117" w:rsidRDefault="005373CB" w:rsidP="005A4747">
      <w:pPr>
        <w:pStyle w:val="Objekt"/>
        <w:rPr>
          <w:noProof/>
          <w:highlight w:val="yellow"/>
        </w:rPr>
      </w:pPr>
      <w:r w:rsidRPr="005373CB">
        <w:rPr>
          <w:noProof/>
          <w:lang w:eastAsia="cs-CZ"/>
        </w:rPr>
        <w:drawing>
          <wp:inline distT="0" distB="0" distL="0" distR="0">
            <wp:extent cx="4860925" cy="692782"/>
            <wp:effectExtent l="0" t="0" r="0" b="0"/>
            <wp:docPr id="674" name="Obrázek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860925" cy="692782"/>
                    </a:xfrm>
                    <a:prstGeom prst="rect">
                      <a:avLst/>
                    </a:prstGeom>
                    <a:noFill/>
                    <a:ln>
                      <a:noFill/>
                    </a:ln>
                  </pic:spPr>
                </pic:pic>
              </a:graphicData>
            </a:graphic>
          </wp:inline>
        </w:drawing>
      </w:r>
      <w:r w:rsidR="00203087">
        <w:rPr>
          <w:noProof/>
          <w:highlight w:val="yellow"/>
        </w:rPr>
        <w:t xml:space="preserve"> </w:t>
      </w:r>
    </w:p>
    <w:p w:rsidR="00B01126" w:rsidRPr="00233938" w:rsidRDefault="00B01126" w:rsidP="00E02E36">
      <w:r w:rsidRPr="00233938">
        <w:t xml:space="preserve">Výše celkového povoleného zadlužení je odvislá od výše celkových příjmů a teoretické navýšení dluhu pak navíc od výše dluhu současného. </w:t>
      </w:r>
      <w:r w:rsidR="00B200B0">
        <w:t xml:space="preserve">Město </w:t>
      </w:r>
      <w:r w:rsidR="00BB6E62">
        <w:t>Chomutov</w:t>
      </w:r>
      <w:r w:rsidRPr="00233938">
        <w:t xml:space="preserve"> může ve výhledovém období zvýšit svoje dluhové zatížení o </w:t>
      </w:r>
      <w:r w:rsidR="00736465">
        <w:t>762,1</w:t>
      </w:r>
      <w:r w:rsidR="00CB54E5">
        <w:t xml:space="preserve"> </w:t>
      </w:r>
      <w:r w:rsidRPr="00233938">
        <w:t>mil. Kč (</w:t>
      </w:r>
      <w:r w:rsidR="00BB6E62">
        <w:t>2023</w:t>
      </w:r>
      <w:r w:rsidRPr="00233938">
        <w:t xml:space="preserve">) až </w:t>
      </w:r>
      <w:r w:rsidR="00736465">
        <w:t>827,</w:t>
      </w:r>
      <w:r w:rsidR="00313C51">
        <w:t>0</w:t>
      </w:r>
      <w:r w:rsidRPr="00233938">
        <w:t xml:space="preserve"> mil. Kč (</w:t>
      </w:r>
      <w:r w:rsidR="00BB6E62">
        <w:t>2027</w:t>
      </w:r>
      <w:r w:rsidRPr="00233938">
        <w:t xml:space="preserve">), aniž by </w:t>
      </w:r>
      <w:r w:rsidR="00A84EBA">
        <w:t>překročilo hodnoty</w:t>
      </w:r>
      <w:r w:rsidRPr="00233938">
        <w:t xml:space="preserve"> </w:t>
      </w:r>
      <w:r w:rsidR="00D803B0" w:rsidRPr="00233938">
        <w:t>pravidl</w:t>
      </w:r>
      <w:r w:rsidR="00A84EBA">
        <w:t>a</w:t>
      </w:r>
      <w:r w:rsidR="00D803B0" w:rsidRPr="00233938">
        <w:t xml:space="preserve"> </w:t>
      </w:r>
      <w:r w:rsidRPr="00233938">
        <w:t>rozpočtov</w:t>
      </w:r>
      <w:r w:rsidR="00D803B0" w:rsidRPr="00233938">
        <w:t>é</w:t>
      </w:r>
      <w:r w:rsidRPr="00233938">
        <w:t xml:space="preserve"> odpovědnost</w:t>
      </w:r>
      <w:r w:rsidR="00D803B0" w:rsidRPr="00233938">
        <w:t>i</w:t>
      </w:r>
      <w:r w:rsidRPr="00233938">
        <w:t>.</w:t>
      </w:r>
    </w:p>
    <w:p w:rsidR="00B01126" w:rsidRPr="007F7EE4" w:rsidRDefault="00B01126" w:rsidP="007F7EE4">
      <w:pPr>
        <w:pStyle w:val="Graf0"/>
      </w:pPr>
      <w:bookmarkStart w:id="132" w:name="_Toc523300314"/>
      <w:bookmarkStart w:id="133" w:name="_Toc58244033"/>
      <w:bookmarkStart w:id="134" w:name="_Toc118977826"/>
      <w:r w:rsidRPr="007F7EE4">
        <w:t xml:space="preserve">Vývoj </w:t>
      </w:r>
      <w:bookmarkEnd w:id="132"/>
      <w:r w:rsidRPr="007F7EE4">
        <w:t>teoretického navýšení dluhu</w:t>
      </w:r>
      <w:bookmarkEnd w:id="133"/>
      <w:bookmarkEnd w:id="134"/>
    </w:p>
    <w:p w:rsidR="00B01126" w:rsidRPr="004F4117" w:rsidRDefault="005373CB" w:rsidP="005A4747">
      <w:pPr>
        <w:pStyle w:val="Objekt"/>
        <w:rPr>
          <w:highlight w:val="yellow"/>
        </w:rPr>
      </w:pPr>
      <w:r w:rsidRPr="005373CB">
        <w:rPr>
          <w:noProof/>
          <w:lang w:eastAsia="cs-CZ"/>
        </w:rPr>
        <w:drawing>
          <wp:inline distT="0" distB="0" distL="0" distR="0">
            <wp:extent cx="4860925" cy="2015408"/>
            <wp:effectExtent l="0" t="0" r="0" b="0"/>
            <wp:docPr id="673" name="Obrázek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860925" cy="2015408"/>
                    </a:xfrm>
                    <a:prstGeom prst="rect">
                      <a:avLst/>
                    </a:prstGeom>
                    <a:noFill/>
                    <a:ln>
                      <a:noFill/>
                    </a:ln>
                  </pic:spPr>
                </pic:pic>
              </a:graphicData>
            </a:graphic>
          </wp:inline>
        </w:drawing>
      </w:r>
    </w:p>
    <w:p w:rsidR="00B01126" w:rsidRPr="00364D6D" w:rsidRDefault="00930D02" w:rsidP="00993408">
      <w:pPr>
        <w:rPr>
          <w:szCs w:val="22"/>
        </w:rPr>
      </w:pPr>
      <w:r w:rsidRPr="00364D6D">
        <w:rPr>
          <w:rStyle w:val="Bodytext2Bold"/>
          <w:b w:val="0"/>
          <w:bCs w:val="0"/>
          <w:sz w:val="22"/>
          <w:szCs w:val="22"/>
          <w:shd w:val="clear" w:color="auto" w:fill="auto"/>
        </w:rPr>
        <w:t>Střednědobý</w:t>
      </w:r>
      <w:r w:rsidR="00B01126" w:rsidRPr="00364D6D">
        <w:rPr>
          <w:rStyle w:val="Bodytext2Bold"/>
          <w:b w:val="0"/>
          <w:bCs w:val="0"/>
          <w:sz w:val="22"/>
          <w:szCs w:val="22"/>
          <w:shd w:val="clear" w:color="auto" w:fill="auto"/>
        </w:rPr>
        <w:t xml:space="preserve"> výhled </w:t>
      </w:r>
      <w:r w:rsidRPr="00364D6D">
        <w:rPr>
          <w:rStyle w:val="Bodytext2Bold"/>
          <w:b w:val="0"/>
          <w:bCs w:val="0"/>
          <w:sz w:val="22"/>
          <w:szCs w:val="22"/>
          <w:shd w:val="clear" w:color="auto" w:fill="auto"/>
        </w:rPr>
        <w:t xml:space="preserve">rozpočtu </w:t>
      </w:r>
      <w:r w:rsidR="00B01126" w:rsidRPr="00364D6D">
        <w:rPr>
          <w:rStyle w:val="Bodytext2Bold"/>
          <w:b w:val="0"/>
          <w:bCs w:val="0"/>
          <w:sz w:val="22"/>
          <w:szCs w:val="22"/>
          <w:shd w:val="clear" w:color="auto" w:fill="auto"/>
        </w:rPr>
        <w:t xml:space="preserve">by měl být v podstatě strategickým plánem </w:t>
      </w:r>
      <w:r w:rsidRPr="00364D6D">
        <w:rPr>
          <w:rStyle w:val="Bodytext2Bold"/>
          <w:b w:val="0"/>
          <w:bCs w:val="0"/>
          <w:sz w:val="22"/>
          <w:szCs w:val="22"/>
          <w:shd w:val="clear" w:color="auto" w:fill="auto"/>
        </w:rPr>
        <w:t>municipality</w:t>
      </w:r>
      <w:r w:rsidR="00B01126" w:rsidRPr="00364D6D">
        <w:rPr>
          <w:rStyle w:val="Bodytext2Bold"/>
          <w:b w:val="0"/>
          <w:bCs w:val="0"/>
          <w:sz w:val="22"/>
          <w:szCs w:val="22"/>
          <w:shd w:val="clear" w:color="auto" w:fill="auto"/>
        </w:rPr>
        <w:t>, ve</w:t>
      </w:r>
      <w:r w:rsidR="00B01126" w:rsidRPr="00364D6D">
        <w:rPr>
          <w:szCs w:val="22"/>
        </w:rPr>
        <w:t xml:space="preserve"> kterém jsou nastaveny </w:t>
      </w:r>
      <w:r w:rsidRPr="00364D6D">
        <w:rPr>
          <w:szCs w:val="22"/>
        </w:rPr>
        <w:t>optimální</w:t>
      </w:r>
      <w:r w:rsidR="00B01126" w:rsidRPr="00364D6D">
        <w:rPr>
          <w:szCs w:val="22"/>
        </w:rPr>
        <w:t xml:space="preserve"> hodnoty </w:t>
      </w:r>
      <w:r w:rsidR="00A20E5A" w:rsidRPr="00364D6D">
        <w:rPr>
          <w:szCs w:val="22"/>
        </w:rPr>
        <w:t xml:space="preserve">jejího </w:t>
      </w:r>
      <w:r w:rsidR="00B01126" w:rsidRPr="00364D6D">
        <w:rPr>
          <w:szCs w:val="22"/>
        </w:rPr>
        <w:t>hospodaření a důležit</w:t>
      </w:r>
      <w:r w:rsidRPr="00364D6D">
        <w:rPr>
          <w:szCs w:val="22"/>
        </w:rPr>
        <w:t>é</w:t>
      </w:r>
      <w:r w:rsidR="00B01126" w:rsidRPr="00364D6D">
        <w:rPr>
          <w:szCs w:val="22"/>
        </w:rPr>
        <w:t xml:space="preserve"> ukazatel</w:t>
      </w:r>
      <w:r w:rsidRPr="00364D6D">
        <w:rPr>
          <w:szCs w:val="22"/>
        </w:rPr>
        <w:t>e,</w:t>
      </w:r>
      <w:r w:rsidR="00B01126" w:rsidRPr="00364D6D">
        <w:rPr>
          <w:szCs w:val="22"/>
        </w:rPr>
        <w:t xml:space="preserve"> včetně a</w:t>
      </w:r>
      <w:r w:rsidR="00B01126" w:rsidRPr="00364D6D">
        <w:rPr>
          <w:rStyle w:val="Bodytext2Bold"/>
          <w:b w:val="0"/>
          <w:bCs w:val="0"/>
          <w:sz w:val="22"/>
          <w:szCs w:val="22"/>
          <w:shd w:val="clear" w:color="auto" w:fill="auto"/>
        </w:rPr>
        <w:t xml:space="preserve">ktivního řízení zadluženosti </w:t>
      </w:r>
      <w:r w:rsidR="00B01126" w:rsidRPr="00364D6D">
        <w:rPr>
          <w:szCs w:val="22"/>
        </w:rPr>
        <w:t>s cílem stanovit únosnou dluhovou službu, kterou bude v budoucnu schopna splácet.</w:t>
      </w:r>
    </w:p>
    <w:p w:rsidR="00AF39E1" w:rsidRPr="00736465" w:rsidRDefault="00823476" w:rsidP="00AF39E1">
      <w:pPr>
        <w:rPr>
          <w:szCs w:val="22"/>
        </w:rPr>
      </w:pPr>
      <w:r w:rsidRPr="00F2308A">
        <w:rPr>
          <w:szCs w:val="22"/>
        </w:rPr>
        <w:t xml:space="preserve">Velice rychlým a jednoduchým testem zadluženosti obce je </w:t>
      </w:r>
      <w:r w:rsidRPr="00F2308A">
        <w:rPr>
          <w:b/>
          <w:szCs w:val="22"/>
        </w:rPr>
        <w:t>ukazatel</w:t>
      </w:r>
      <w:r w:rsidR="00F2308A" w:rsidRPr="00F2308A">
        <w:rPr>
          <w:b/>
          <w:szCs w:val="22"/>
        </w:rPr>
        <w:t xml:space="preserve"> provozního krytí dluhu (platební schopnost I. řádu)</w:t>
      </w:r>
      <w:r w:rsidRPr="00F2308A">
        <w:rPr>
          <w:szCs w:val="22"/>
        </w:rPr>
        <w:t>, který říká</w:t>
      </w:r>
      <w:r w:rsidR="00E513AC">
        <w:rPr>
          <w:szCs w:val="22"/>
        </w:rPr>
        <w:t xml:space="preserve">, </w:t>
      </w:r>
      <w:r w:rsidRPr="00F2308A">
        <w:rPr>
          <w:szCs w:val="22"/>
        </w:rPr>
        <w:t xml:space="preserve">za kolik let je obec schopna splatit své </w:t>
      </w:r>
      <w:r w:rsidRPr="00F2308A">
        <w:rPr>
          <w:szCs w:val="22"/>
        </w:rPr>
        <w:lastRenderedPageBreak/>
        <w:t>dlouhodobé závazky z vlastních zdrojů. Jako vlastní zdroj je zde uvažován víceletý (např. čtyřletý</w:t>
      </w:r>
      <w:r w:rsidRPr="00736465">
        <w:rPr>
          <w:szCs w:val="22"/>
        </w:rPr>
        <w:t xml:space="preserve">) průměr přebytku běžného rozpočtu, ke kterému se poměřuje celkový objem dlouhodobých závazků </w:t>
      </w:r>
      <w:r w:rsidR="00C34D07" w:rsidRPr="00736465">
        <w:rPr>
          <w:szCs w:val="22"/>
        </w:rPr>
        <w:t>města</w:t>
      </w:r>
      <w:r w:rsidRPr="00736465">
        <w:rPr>
          <w:szCs w:val="22"/>
        </w:rPr>
        <w:t>. Pokud je výsledkem tohoto poměru maximální hodnota 6, jedná se o přiměřenou zadluže</w:t>
      </w:r>
      <w:r w:rsidR="00AF39E1" w:rsidRPr="00736465">
        <w:rPr>
          <w:szCs w:val="22"/>
        </w:rPr>
        <w:t>nost.</w:t>
      </w:r>
    </w:p>
    <w:p w:rsidR="00AF39E1" w:rsidRPr="00AF39E1" w:rsidRDefault="00AF39E1" w:rsidP="00AF39E1">
      <w:pPr>
        <w:rPr>
          <w:szCs w:val="22"/>
        </w:rPr>
      </w:pPr>
      <w:r w:rsidRPr="00736465">
        <w:t xml:space="preserve">Při stávající výši dluhu </w:t>
      </w:r>
      <w:r w:rsidR="00BB6E62" w:rsidRPr="00736465">
        <w:t>7,</w:t>
      </w:r>
      <w:r w:rsidR="00736465" w:rsidRPr="00736465">
        <w:t>7</w:t>
      </w:r>
      <w:r w:rsidR="009F709C" w:rsidRPr="00736465">
        <w:t xml:space="preserve"> </w:t>
      </w:r>
      <w:r w:rsidRPr="00736465">
        <w:t xml:space="preserve">mil. Kč na </w:t>
      </w:r>
      <w:r w:rsidR="002A577E" w:rsidRPr="00736465">
        <w:t>konci</w:t>
      </w:r>
      <w:r w:rsidRPr="00736465">
        <w:t xml:space="preserve"> roku </w:t>
      </w:r>
      <w:r w:rsidR="00BB6E62" w:rsidRPr="00736465">
        <w:t>2022</w:t>
      </w:r>
      <w:r w:rsidRPr="00736465">
        <w:t xml:space="preserve"> nabývá ukazatel platební schopnosti I. řádu přízniv</w:t>
      </w:r>
      <w:r w:rsidR="00A36034" w:rsidRPr="00736465">
        <w:t>é</w:t>
      </w:r>
      <w:r w:rsidRPr="00736465">
        <w:t xml:space="preserve"> hodnot</w:t>
      </w:r>
      <w:r w:rsidR="00A36034" w:rsidRPr="00736465">
        <w:t xml:space="preserve">y </w:t>
      </w:r>
      <w:r w:rsidR="00736465" w:rsidRPr="00736465">
        <w:t>0,11</w:t>
      </w:r>
      <w:r w:rsidRPr="00736465">
        <w:t xml:space="preserve">. Jeho výše ve výhledovém období </w:t>
      </w:r>
      <w:r w:rsidR="005969B3" w:rsidRPr="00736465">
        <w:t xml:space="preserve">dosáhne </w:t>
      </w:r>
      <w:r w:rsidR="00736465" w:rsidRPr="00736465">
        <w:t>nulové hodnoty</w:t>
      </w:r>
      <w:r w:rsidRPr="00736465">
        <w:t>.</w:t>
      </w:r>
      <w:r w:rsidRPr="004E6919">
        <w:t xml:space="preserve"> </w:t>
      </w:r>
    </w:p>
    <w:bookmarkStart w:id="135" w:name="_Toc118977795"/>
    <w:p w:rsidR="00823476" w:rsidRPr="007F7EE4" w:rsidRDefault="00E8249A" w:rsidP="009A770A">
      <w:pPr>
        <w:pStyle w:val="Tabulka"/>
      </w:pPr>
      <w:r>
        <w:rPr>
          <w:rFonts w:ascii="Verdana" w:hAnsi="Verdana"/>
          <w:noProof/>
          <w:sz w:val="19"/>
          <w:szCs w:val="22"/>
          <w:highlight w:val="cyan"/>
          <w:lang w:eastAsia="cs-CZ"/>
        </w:rPr>
        <mc:AlternateContent>
          <mc:Choice Requires="wps">
            <w:drawing>
              <wp:anchor distT="0" distB="0" distL="114300" distR="114300" simplePos="0" relativeHeight="251852288" behindDoc="0" locked="0" layoutInCell="1" allowOverlap="1">
                <wp:simplePos x="0" y="0"/>
                <wp:positionH relativeFrom="page">
                  <wp:posOffset>539115</wp:posOffset>
                </wp:positionH>
                <wp:positionV relativeFrom="paragraph">
                  <wp:posOffset>180340</wp:posOffset>
                </wp:positionV>
                <wp:extent cx="1403985" cy="720090"/>
                <wp:effectExtent l="0" t="0" r="0" b="0"/>
                <wp:wrapNone/>
                <wp:docPr id="2" name="Textové pole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03985" cy="720090"/>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DA6167" w:rsidRPr="001B58F3" w:rsidRDefault="00DA6167" w:rsidP="0080074F">
                            <w:pPr>
                              <w:spacing w:after="0"/>
                              <w:jc w:val="left"/>
                              <w:rPr>
                                <w:rFonts w:cstheme="minorHAnsi"/>
                                <w:i/>
                                <w:sz w:val="20"/>
                                <w:szCs w:val="20"/>
                              </w:rPr>
                            </w:pPr>
                            <w:r w:rsidRPr="00736465">
                              <w:rPr>
                                <w:noProof/>
                                <w:lang w:eastAsia="cs-CZ"/>
                              </w:rPr>
                              <w:drawing>
                                <wp:inline distT="0" distB="0" distL="0" distR="0">
                                  <wp:extent cx="1363980" cy="488950"/>
                                  <wp:effectExtent l="0" t="0" r="7620" b="6350"/>
                                  <wp:docPr id="39" name="Obráze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363980" cy="48895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margin">
                  <wp14:pctHeight>0</wp14:pctHeight>
                </wp14:sizeRelV>
              </wp:anchor>
            </w:drawing>
          </mc:Choice>
          <mc:Fallback>
            <w:pict>
              <v:shape id="_x0000_s1063" type="#_x0000_t202" style="position:absolute;left:0;text-align:left;margin-left:42.45pt;margin-top:14.2pt;width:110.55pt;height:56.7pt;z-index:251852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" fillcolor="white [3201]" stroked="f" strokeweight=".5pt">
                <v:path arrowok="t"/>
                <v:textbox inset="0,0,0,0">
                  <w:txbxContent>
                    <w:p w:rsidR="00DA6167" w:rsidRPr="001B58F3" w:rsidRDefault="00DA6167" w:rsidP="0080074F">
                      <w:pPr>
                        <w:spacing w:after="0"/>
                        <w:jc w:val="left"/>
                        <w:rPr>
                          <w:rFonts w:cstheme="minorHAnsi"/>
                          <w:i/>
                          <w:sz w:val="20"/>
                          <w:szCs w:val="20"/>
                        </w:rPr>
                      </w:pPr>
                      <w:r w:rsidRPr="00736465">
                        <w:rPr>
                          <w:noProof/>
                          <w:lang w:eastAsia="cs-CZ"/>
                        </w:rPr>
                        <w:drawing>
                          <wp:inline distT="0" distB="0" distL="0" distR="0">
                            <wp:extent cx="1363980" cy="488950"/>
                            <wp:effectExtent l="0" t="0" r="7620" b="6350"/>
                            <wp:docPr id="39" name="Obráze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363980" cy="488950"/>
                                    </a:xfrm>
                                    <a:prstGeom prst="rect">
                                      <a:avLst/>
                                    </a:prstGeom>
                                    <a:noFill/>
                                    <a:ln>
                                      <a:noFill/>
                                    </a:ln>
                                  </pic:spPr>
                                </pic:pic>
                              </a:graphicData>
                            </a:graphic>
                          </wp:inline>
                        </w:drawing>
                      </w:r>
                    </w:p>
                  </w:txbxContent>
                </v:textbox>
                <w10:wrap anchorx="page"/>
              </v:shape>
            </w:pict>
          </mc:Fallback>
        </mc:AlternateContent>
      </w:r>
      <w:r w:rsidR="00823476" w:rsidRPr="007F7EE4">
        <w:t>Predikce platební schopnosti I. řádu</w:t>
      </w:r>
      <w:bookmarkEnd w:id="135"/>
    </w:p>
    <w:p w:rsidR="007B6030" w:rsidRPr="00B200B0" w:rsidRDefault="00313C51" w:rsidP="00823476">
      <w:pPr>
        <w:pStyle w:val="Objekt"/>
        <w:rPr>
          <w:szCs w:val="22"/>
        </w:rPr>
      </w:pPr>
      <w:r w:rsidRPr="00313C51">
        <w:rPr>
          <w:noProof/>
          <w:lang w:eastAsia="cs-CZ"/>
        </w:rPr>
        <w:drawing>
          <wp:inline distT="0" distB="0" distL="0" distR="0">
            <wp:extent cx="4860925" cy="462001"/>
            <wp:effectExtent l="0" t="0" r="0" b="0"/>
            <wp:docPr id="685" name="Obrázek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860925" cy="462001"/>
                    </a:xfrm>
                    <a:prstGeom prst="rect">
                      <a:avLst/>
                    </a:prstGeom>
                    <a:noFill/>
                    <a:ln>
                      <a:noFill/>
                    </a:ln>
                  </pic:spPr>
                </pic:pic>
              </a:graphicData>
            </a:graphic>
          </wp:inline>
        </w:drawing>
      </w:r>
    </w:p>
    <w:p w:rsidR="00B01126" w:rsidRPr="00736465" w:rsidRDefault="00B01126" w:rsidP="00993408">
      <w:pPr>
        <w:rPr>
          <w:szCs w:val="22"/>
        </w:rPr>
      </w:pPr>
      <w:r w:rsidRPr="00B200B0">
        <w:rPr>
          <w:szCs w:val="22"/>
        </w:rPr>
        <w:t xml:space="preserve">Dobře vypovídajícím ukazatelem je takzvané </w:t>
      </w:r>
      <w:r w:rsidRPr="00B200B0">
        <w:rPr>
          <w:b/>
          <w:szCs w:val="22"/>
        </w:rPr>
        <w:t>krytí roční dluhové služby</w:t>
      </w:r>
      <w:r w:rsidR="00823476" w:rsidRPr="00B200B0">
        <w:rPr>
          <w:b/>
          <w:szCs w:val="22"/>
        </w:rPr>
        <w:t xml:space="preserve"> (platební schopnost II. řádu)</w:t>
      </w:r>
      <w:r w:rsidR="005A18E6">
        <w:rPr>
          <w:szCs w:val="22"/>
        </w:rPr>
        <w:t>,</w:t>
      </w:r>
      <w:r w:rsidRPr="00B200B0">
        <w:rPr>
          <w:szCs w:val="22"/>
        </w:rPr>
        <w:t xml:space="preserve"> </w:t>
      </w:r>
      <w:r w:rsidR="005A18E6" w:rsidRPr="005A18E6">
        <w:rPr>
          <w:szCs w:val="22"/>
        </w:rPr>
        <w:t>vyjadřující poměr ročních splátek dluhu k provoznímu přebytku. Výsledné hodnoty ukazují schopnost uhradit roční splátky dluhu z provozního přebytku. Pod 20</w:t>
      </w:r>
      <w:r w:rsidR="00251FA4">
        <w:rPr>
          <w:szCs w:val="22"/>
        </w:rPr>
        <w:t xml:space="preserve"> </w:t>
      </w:r>
      <w:r w:rsidR="005A18E6" w:rsidRPr="005A18E6">
        <w:rPr>
          <w:szCs w:val="22"/>
        </w:rPr>
        <w:t>%</w:t>
      </w:r>
      <w:r w:rsidR="002D22B0">
        <w:rPr>
          <w:szCs w:val="22"/>
        </w:rPr>
        <w:t xml:space="preserve"> se jedná</w:t>
      </w:r>
      <w:r w:rsidR="005A18E6" w:rsidRPr="005A18E6">
        <w:rPr>
          <w:szCs w:val="22"/>
        </w:rPr>
        <w:t xml:space="preserve"> o optimální stav, do hranice 40</w:t>
      </w:r>
      <w:r w:rsidR="00251FA4">
        <w:rPr>
          <w:szCs w:val="22"/>
        </w:rPr>
        <w:t xml:space="preserve"> </w:t>
      </w:r>
      <w:r w:rsidR="005A18E6" w:rsidRPr="005A18E6">
        <w:rPr>
          <w:szCs w:val="22"/>
        </w:rPr>
        <w:t xml:space="preserve">% hodnoty provozního přebytku je stav uspokojivý. </w:t>
      </w:r>
      <w:r w:rsidR="005A18E6" w:rsidRPr="00736465">
        <w:rPr>
          <w:szCs w:val="22"/>
        </w:rPr>
        <w:t xml:space="preserve">Jinými slovy: po uhrazení ročních splátek dluhu zbude dostatek prostředků na krytí vlastních potřeb včetně nových investic, nebo </w:t>
      </w:r>
      <w:r w:rsidR="002D22B0">
        <w:rPr>
          <w:szCs w:val="22"/>
        </w:rPr>
        <w:t>vytváření</w:t>
      </w:r>
      <w:r w:rsidR="005A18E6" w:rsidRPr="00736465">
        <w:rPr>
          <w:szCs w:val="22"/>
        </w:rPr>
        <w:t xml:space="preserve"> finančních rezerv rozpočtu pro další </w:t>
      </w:r>
      <w:r w:rsidR="00251FA4" w:rsidRPr="00736465">
        <w:rPr>
          <w:szCs w:val="22"/>
        </w:rPr>
        <w:t>roky</w:t>
      </w:r>
      <w:r w:rsidR="005A18E6" w:rsidRPr="00736465">
        <w:rPr>
          <w:szCs w:val="22"/>
        </w:rPr>
        <w:t>.</w:t>
      </w:r>
    </w:p>
    <w:p w:rsidR="004E6919" w:rsidRPr="004E6919" w:rsidRDefault="00AF39E1" w:rsidP="004E6919">
      <w:pPr>
        <w:rPr>
          <w:szCs w:val="22"/>
        </w:rPr>
      </w:pPr>
      <w:r w:rsidRPr="00736465">
        <w:rPr>
          <w:szCs w:val="22"/>
        </w:rPr>
        <w:t xml:space="preserve">Pro danou výši roční dluhové služby ve výhledovém období </w:t>
      </w:r>
      <w:r w:rsidR="004E6919" w:rsidRPr="00736465">
        <w:rPr>
          <w:szCs w:val="22"/>
        </w:rPr>
        <w:t xml:space="preserve">nabývá ukazatel platební schopnosti </w:t>
      </w:r>
      <w:r w:rsidR="005969B3" w:rsidRPr="00736465">
        <w:rPr>
          <w:szCs w:val="22"/>
        </w:rPr>
        <w:t>I</w:t>
      </w:r>
      <w:r w:rsidR="004E6919" w:rsidRPr="00736465">
        <w:rPr>
          <w:szCs w:val="22"/>
        </w:rPr>
        <w:t xml:space="preserve">I. řádu pro </w:t>
      </w:r>
      <w:r w:rsidR="00AF42C4" w:rsidRPr="00736465">
        <w:rPr>
          <w:szCs w:val="22"/>
        </w:rPr>
        <w:t xml:space="preserve">město </w:t>
      </w:r>
      <w:r w:rsidR="00BB6E62" w:rsidRPr="00736465">
        <w:t>Chomutov</w:t>
      </w:r>
      <w:r w:rsidR="004E6919" w:rsidRPr="00736465">
        <w:rPr>
          <w:szCs w:val="22"/>
        </w:rPr>
        <w:t xml:space="preserve"> příznivých hodnot</w:t>
      </w:r>
      <w:r w:rsidRPr="00736465">
        <w:rPr>
          <w:szCs w:val="22"/>
        </w:rPr>
        <w:t xml:space="preserve">, </w:t>
      </w:r>
      <w:r w:rsidR="002371A2" w:rsidRPr="00736465">
        <w:rPr>
          <w:szCs w:val="22"/>
        </w:rPr>
        <w:t xml:space="preserve">ve sledovaném období jeho výše </w:t>
      </w:r>
      <w:r w:rsidR="00891CEC" w:rsidRPr="00736465">
        <w:rPr>
          <w:szCs w:val="22"/>
        </w:rPr>
        <w:t xml:space="preserve">nabývá </w:t>
      </w:r>
      <w:r w:rsidR="00C326F4" w:rsidRPr="00736465">
        <w:rPr>
          <w:szCs w:val="22"/>
        </w:rPr>
        <w:t>maximální</w:t>
      </w:r>
      <w:r w:rsidR="002371A2" w:rsidRPr="00736465">
        <w:rPr>
          <w:szCs w:val="22"/>
        </w:rPr>
        <w:t xml:space="preserve"> </w:t>
      </w:r>
      <w:r w:rsidR="00891CEC" w:rsidRPr="00736465">
        <w:rPr>
          <w:szCs w:val="22"/>
        </w:rPr>
        <w:t xml:space="preserve">hodnoty </w:t>
      </w:r>
      <w:r w:rsidR="00BB6E62" w:rsidRPr="00736465">
        <w:t>5,68 %</w:t>
      </w:r>
      <w:r w:rsidR="00B04FC5" w:rsidRPr="00736465">
        <w:rPr>
          <w:szCs w:val="22"/>
        </w:rPr>
        <w:t xml:space="preserve"> (</w:t>
      </w:r>
      <w:r w:rsidR="00BB6E62" w:rsidRPr="00736465">
        <w:t>2023</w:t>
      </w:r>
      <w:r w:rsidR="00B04FC5" w:rsidRPr="00736465">
        <w:rPr>
          <w:szCs w:val="22"/>
        </w:rPr>
        <w:t>)</w:t>
      </w:r>
      <w:r w:rsidR="00891CEC" w:rsidRPr="00736465">
        <w:rPr>
          <w:szCs w:val="22"/>
        </w:rPr>
        <w:t>.</w:t>
      </w:r>
    </w:p>
    <w:bookmarkStart w:id="136" w:name="_Toc118977796"/>
    <w:p w:rsidR="00B01126" w:rsidRPr="007F7EE4" w:rsidRDefault="00E8249A" w:rsidP="009A770A">
      <w:pPr>
        <w:pStyle w:val="Tabulka"/>
      </w:pPr>
      <w:r>
        <w:rPr>
          <w:rFonts w:ascii="Verdana" w:hAnsi="Verdana"/>
          <w:noProof/>
          <w:sz w:val="19"/>
          <w:szCs w:val="22"/>
          <w:highlight w:val="cyan"/>
          <w:lang w:eastAsia="cs-CZ"/>
        </w:rPr>
        <mc:AlternateContent>
          <mc:Choice Requires="wps">
            <w:drawing>
              <wp:anchor distT="0" distB="0" distL="114300" distR="114300" simplePos="0" relativeHeight="251854336" behindDoc="0" locked="0" layoutInCell="1" allowOverlap="1">
                <wp:simplePos x="0" y="0"/>
                <wp:positionH relativeFrom="page">
                  <wp:posOffset>540385</wp:posOffset>
                </wp:positionH>
                <wp:positionV relativeFrom="paragraph">
                  <wp:posOffset>180340</wp:posOffset>
                </wp:positionV>
                <wp:extent cx="1403985" cy="720090"/>
                <wp:effectExtent l="0" t="0" r="0" b="0"/>
                <wp:wrapNone/>
                <wp:docPr id="7" name="Textové pole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03985" cy="720090"/>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DA6167" w:rsidRPr="001B58F3" w:rsidRDefault="00DA6167" w:rsidP="0080074F">
                            <w:pPr>
                              <w:spacing w:after="0"/>
                              <w:jc w:val="left"/>
                              <w:rPr>
                                <w:rFonts w:cstheme="minorHAnsi"/>
                                <w:i/>
                                <w:sz w:val="20"/>
                                <w:szCs w:val="20"/>
                              </w:rPr>
                            </w:pPr>
                            <w:r w:rsidRPr="00736465">
                              <w:rPr>
                                <w:noProof/>
                                <w:lang w:eastAsia="cs-CZ"/>
                              </w:rPr>
                              <w:drawing>
                                <wp:inline distT="0" distB="0" distL="0" distR="0">
                                  <wp:extent cx="1363980" cy="488950"/>
                                  <wp:effectExtent l="0" t="0" r="7620" b="6350"/>
                                  <wp:docPr id="49" name="Obráze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363980" cy="48895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margin">
                  <wp14:pctHeight>0</wp14:pctHeight>
                </wp14:sizeRelV>
              </wp:anchor>
            </w:drawing>
          </mc:Choice>
          <mc:Fallback>
            <w:pict>
              <v:shape id="_x0000_s1064" type="#_x0000_t202" style="position:absolute;left:0;text-align:left;margin-left:42.55pt;margin-top:14.2pt;width:110.55pt;height:56.7pt;z-index:251854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" fillcolor="white [3201]" stroked="f" strokeweight=".5pt">
                <v:path arrowok="t"/>
                <v:textbox inset="0,0,0,0">
                  <w:txbxContent>
                    <w:p w:rsidR="00DA6167" w:rsidRPr="001B58F3" w:rsidRDefault="00DA6167" w:rsidP="0080074F">
                      <w:pPr>
                        <w:spacing w:after="0"/>
                        <w:jc w:val="left"/>
                        <w:rPr>
                          <w:rFonts w:cstheme="minorHAnsi"/>
                          <w:i/>
                          <w:sz w:val="20"/>
                          <w:szCs w:val="20"/>
                        </w:rPr>
                      </w:pPr>
                      <w:r w:rsidRPr="00736465">
                        <w:rPr>
                          <w:noProof/>
                          <w:lang w:eastAsia="cs-CZ"/>
                        </w:rPr>
                        <w:drawing>
                          <wp:inline distT="0" distB="0" distL="0" distR="0">
                            <wp:extent cx="1363980" cy="488950"/>
                            <wp:effectExtent l="0" t="0" r="7620" b="6350"/>
                            <wp:docPr id="49" name="Obráze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363980" cy="488950"/>
                                    </a:xfrm>
                                    <a:prstGeom prst="rect">
                                      <a:avLst/>
                                    </a:prstGeom>
                                    <a:noFill/>
                                    <a:ln>
                                      <a:noFill/>
                                    </a:ln>
                                  </pic:spPr>
                                </pic:pic>
                              </a:graphicData>
                            </a:graphic>
                          </wp:inline>
                        </w:drawing>
                      </w:r>
                    </w:p>
                  </w:txbxContent>
                </v:textbox>
                <w10:wrap anchorx="page"/>
              </v:shape>
            </w:pict>
          </mc:Fallback>
        </mc:AlternateContent>
      </w:r>
      <w:r w:rsidR="00580AA0" w:rsidRPr="007F7EE4">
        <w:t>Predikce platební schopnosti II. řádu</w:t>
      </w:r>
      <w:bookmarkEnd w:id="136"/>
    </w:p>
    <w:p w:rsidR="00B01126" w:rsidRPr="004F4117" w:rsidRDefault="00313C51" w:rsidP="005A4747">
      <w:pPr>
        <w:pStyle w:val="Objekt"/>
        <w:rPr>
          <w:noProof/>
          <w:szCs w:val="22"/>
          <w:highlight w:val="yellow"/>
          <w:lang w:eastAsia="cs-CZ"/>
        </w:rPr>
      </w:pPr>
      <w:r w:rsidRPr="00313C51">
        <w:rPr>
          <w:noProof/>
          <w:lang w:eastAsia="cs-CZ"/>
        </w:rPr>
        <w:drawing>
          <wp:inline distT="0" distB="0" distL="0" distR="0">
            <wp:extent cx="4860925" cy="462001"/>
            <wp:effectExtent l="0" t="0" r="0" b="0"/>
            <wp:docPr id="689" name="Obrázek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860925" cy="462001"/>
                    </a:xfrm>
                    <a:prstGeom prst="rect">
                      <a:avLst/>
                    </a:prstGeom>
                    <a:noFill/>
                    <a:ln>
                      <a:noFill/>
                    </a:ln>
                  </pic:spPr>
                </pic:pic>
              </a:graphicData>
            </a:graphic>
          </wp:inline>
        </w:drawing>
      </w:r>
    </w:p>
    <w:p w:rsidR="00823476" w:rsidRPr="00736465" w:rsidRDefault="00823476" w:rsidP="00C33820">
      <w:pPr>
        <w:rPr>
          <w:szCs w:val="22"/>
        </w:rPr>
      </w:pPr>
      <w:r w:rsidRPr="00F2308A">
        <w:rPr>
          <w:szCs w:val="22"/>
        </w:rPr>
        <w:t xml:space="preserve">Dalším ukazatelem, kterým lze hodnotit výši dluhů je tzv. ukazatel </w:t>
      </w:r>
      <w:r w:rsidRPr="00F2308A">
        <w:rPr>
          <w:b/>
          <w:szCs w:val="22"/>
        </w:rPr>
        <w:t>Finanční zadluženosti.</w:t>
      </w:r>
      <w:r w:rsidRPr="00F2308A">
        <w:rPr>
          <w:szCs w:val="22"/>
        </w:rPr>
        <w:t xml:space="preserve"> Ukazatel je konstruován jako poměr ročních splátek dluhu k běžným příjmům města a vyjadřuje podíl běžných příjmů, které je potřeba vyčlenit na roční splátku dluhu. Hodnoty ukazatele dosahující výše do 7</w:t>
      </w:r>
      <w:r w:rsidR="00B200B0">
        <w:rPr>
          <w:szCs w:val="22"/>
        </w:rPr>
        <w:t xml:space="preserve"> </w:t>
      </w:r>
      <w:r w:rsidRPr="00F2308A">
        <w:rPr>
          <w:szCs w:val="22"/>
        </w:rPr>
        <w:t xml:space="preserve">% svědčí o dobrém finančním zdraví municipality, hodnoty mezi </w:t>
      </w:r>
      <w:proofErr w:type="gramStart"/>
      <w:r w:rsidRPr="00F2308A">
        <w:rPr>
          <w:szCs w:val="22"/>
        </w:rPr>
        <w:t xml:space="preserve">7 </w:t>
      </w:r>
      <w:r w:rsidR="00B200B0">
        <w:rPr>
          <w:szCs w:val="22"/>
        </w:rPr>
        <w:t>–</w:t>
      </w:r>
      <w:r w:rsidRPr="00F2308A">
        <w:rPr>
          <w:szCs w:val="22"/>
        </w:rPr>
        <w:t xml:space="preserve"> 18</w:t>
      </w:r>
      <w:proofErr w:type="gramEnd"/>
      <w:r w:rsidR="00B200B0">
        <w:rPr>
          <w:szCs w:val="22"/>
        </w:rPr>
        <w:t xml:space="preserve"> </w:t>
      </w:r>
      <w:r w:rsidRPr="00F2308A">
        <w:rPr>
          <w:szCs w:val="22"/>
        </w:rPr>
        <w:t>% jsou uspokojivé, lze však konstatovat nárůst trendu zadlužování a zvýšení míry rizika</w:t>
      </w:r>
      <w:r w:rsidRPr="00736465">
        <w:rPr>
          <w:szCs w:val="22"/>
        </w:rPr>
        <w:t>. Hodnoty nad 18</w:t>
      </w:r>
      <w:r w:rsidR="00B200B0" w:rsidRPr="00736465">
        <w:rPr>
          <w:szCs w:val="22"/>
        </w:rPr>
        <w:t xml:space="preserve"> </w:t>
      </w:r>
      <w:r w:rsidRPr="00736465">
        <w:rPr>
          <w:szCs w:val="22"/>
        </w:rPr>
        <w:t>% vyjadřují zvýšené riziko zadluženosti a ohrožují stabilitu finančního zdraví žadatele.</w:t>
      </w:r>
    </w:p>
    <w:p w:rsidR="00F2308A" w:rsidRPr="004E6919" w:rsidRDefault="0035381A" w:rsidP="00F2308A">
      <w:pPr>
        <w:rPr>
          <w:szCs w:val="22"/>
        </w:rPr>
      </w:pPr>
      <w:r w:rsidRPr="00736465">
        <w:rPr>
          <w:szCs w:val="22"/>
        </w:rPr>
        <w:t>Pro danou výši splátek dluhu nabývá ukazatel finanční zadluženosti pro</w:t>
      </w:r>
      <w:r w:rsidR="00F2308A" w:rsidRPr="00736465">
        <w:rPr>
          <w:szCs w:val="22"/>
        </w:rPr>
        <w:t xml:space="preserve"> </w:t>
      </w:r>
      <w:r w:rsidR="002371A2" w:rsidRPr="00736465">
        <w:rPr>
          <w:szCs w:val="22"/>
        </w:rPr>
        <w:t xml:space="preserve">město </w:t>
      </w:r>
      <w:r w:rsidR="00BB6E62" w:rsidRPr="00736465">
        <w:t>Chomutov</w:t>
      </w:r>
      <w:r w:rsidRPr="00736465">
        <w:rPr>
          <w:szCs w:val="22"/>
        </w:rPr>
        <w:t xml:space="preserve"> příznivých hodnot. Jeho výše ve výhle</w:t>
      </w:r>
      <w:r w:rsidR="004E6919" w:rsidRPr="00736465">
        <w:rPr>
          <w:szCs w:val="22"/>
        </w:rPr>
        <w:t>d</w:t>
      </w:r>
      <w:r w:rsidRPr="00736465">
        <w:rPr>
          <w:szCs w:val="22"/>
        </w:rPr>
        <w:t xml:space="preserve">ovém období nepřekročí hranici </w:t>
      </w:r>
      <w:r w:rsidR="00BB6E62" w:rsidRPr="00736465">
        <w:t>0,6 %</w:t>
      </w:r>
      <w:r w:rsidRPr="00736465">
        <w:rPr>
          <w:szCs w:val="22"/>
        </w:rPr>
        <w:t xml:space="preserve"> </w:t>
      </w:r>
      <w:r w:rsidR="00AB5156" w:rsidRPr="00736465">
        <w:rPr>
          <w:szCs w:val="22"/>
        </w:rPr>
        <w:t>(</w:t>
      </w:r>
      <w:r w:rsidR="00BB6E62" w:rsidRPr="00736465">
        <w:t>202</w:t>
      </w:r>
      <w:r w:rsidR="00736465" w:rsidRPr="00736465">
        <w:t>3</w:t>
      </w:r>
      <w:r w:rsidR="00AB5156" w:rsidRPr="00736465">
        <w:rPr>
          <w:szCs w:val="22"/>
        </w:rPr>
        <w:t xml:space="preserve">) </w:t>
      </w:r>
      <w:r w:rsidRPr="00736465">
        <w:rPr>
          <w:szCs w:val="22"/>
        </w:rPr>
        <w:t xml:space="preserve">a </w:t>
      </w:r>
      <w:r w:rsidR="00736465" w:rsidRPr="00736465">
        <w:rPr>
          <w:szCs w:val="22"/>
        </w:rPr>
        <w:t xml:space="preserve">od roku 2024 </w:t>
      </w:r>
      <w:r w:rsidR="002D22B0">
        <w:rPr>
          <w:szCs w:val="22"/>
        </w:rPr>
        <w:t>má nulovou</w:t>
      </w:r>
      <w:r w:rsidR="00736465" w:rsidRPr="00736465">
        <w:rPr>
          <w:szCs w:val="22"/>
        </w:rPr>
        <w:t xml:space="preserve"> hodnot</w:t>
      </w:r>
      <w:r w:rsidR="002D22B0">
        <w:rPr>
          <w:szCs w:val="22"/>
        </w:rPr>
        <w:t>u</w:t>
      </w:r>
      <w:r w:rsidRPr="00736465">
        <w:rPr>
          <w:szCs w:val="22"/>
        </w:rPr>
        <w:t>.</w:t>
      </w:r>
      <w:r w:rsidRPr="004E6919">
        <w:rPr>
          <w:szCs w:val="22"/>
        </w:rPr>
        <w:t xml:space="preserve"> </w:t>
      </w:r>
    </w:p>
    <w:bookmarkStart w:id="137" w:name="_Toc118977797"/>
    <w:p w:rsidR="00823476" w:rsidRPr="007F7EE4" w:rsidRDefault="00E8249A" w:rsidP="009A770A">
      <w:pPr>
        <w:pStyle w:val="Tabulka"/>
      </w:pPr>
      <w:r>
        <w:rPr>
          <w:rFonts w:ascii="Verdana" w:hAnsi="Verdana"/>
          <w:noProof/>
          <w:sz w:val="19"/>
          <w:szCs w:val="22"/>
          <w:highlight w:val="cyan"/>
          <w:lang w:eastAsia="cs-CZ"/>
        </w:rPr>
        <mc:AlternateContent>
          <mc:Choice Requires="wps">
            <w:drawing>
              <wp:anchor distT="0" distB="0" distL="114300" distR="114300" simplePos="0" relativeHeight="251856384" behindDoc="0" locked="0" layoutInCell="1" allowOverlap="1">
                <wp:simplePos x="0" y="0"/>
                <wp:positionH relativeFrom="page">
                  <wp:posOffset>540385</wp:posOffset>
                </wp:positionH>
                <wp:positionV relativeFrom="paragraph">
                  <wp:posOffset>180340</wp:posOffset>
                </wp:positionV>
                <wp:extent cx="1403985" cy="720090"/>
                <wp:effectExtent l="0" t="0" r="0" b="0"/>
                <wp:wrapNone/>
                <wp:docPr id="13" name="Textové pole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03985" cy="720090"/>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DA6167" w:rsidRPr="001B58F3" w:rsidRDefault="00DA6167" w:rsidP="0080074F">
                            <w:pPr>
                              <w:spacing w:after="0"/>
                              <w:jc w:val="left"/>
                              <w:rPr>
                                <w:rFonts w:cstheme="minorHAnsi"/>
                                <w:i/>
                                <w:sz w:val="20"/>
                                <w:szCs w:val="20"/>
                              </w:rPr>
                            </w:pPr>
                            <w:r w:rsidRPr="00736465">
                              <w:rPr>
                                <w:noProof/>
                                <w:lang w:eastAsia="cs-CZ"/>
                              </w:rPr>
                              <w:drawing>
                                <wp:inline distT="0" distB="0" distL="0" distR="0">
                                  <wp:extent cx="1363980" cy="488950"/>
                                  <wp:effectExtent l="0" t="0" r="7620" b="6350"/>
                                  <wp:docPr id="53" name="Obráze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363980" cy="48895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margin">
                  <wp14:pctHeight>0</wp14:pctHeight>
                </wp14:sizeRelV>
              </wp:anchor>
            </w:drawing>
          </mc:Choice>
          <mc:Fallback>
            <w:pict>
              <v:shape id="_x0000_s1065" type="#_x0000_t202" style="position:absolute;left:0;text-align:left;margin-left:42.55pt;margin-top:14.2pt;width:110.55pt;height:56.7pt;z-index:251856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" fillcolor="white [3201]" stroked="f" strokeweight=".5pt">
                <v:path arrowok="t"/>
                <v:textbox inset="0,0,0,0">
                  <w:txbxContent>
                    <w:p w:rsidR="00DA6167" w:rsidRPr="001B58F3" w:rsidRDefault="00DA6167" w:rsidP="0080074F">
                      <w:pPr>
                        <w:spacing w:after="0"/>
                        <w:jc w:val="left"/>
                        <w:rPr>
                          <w:rFonts w:cstheme="minorHAnsi"/>
                          <w:i/>
                          <w:sz w:val="20"/>
                          <w:szCs w:val="20"/>
                        </w:rPr>
                      </w:pPr>
                      <w:r w:rsidRPr="00736465">
                        <w:rPr>
                          <w:noProof/>
                          <w:lang w:eastAsia="cs-CZ"/>
                        </w:rPr>
                        <w:drawing>
                          <wp:inline distT="0" distB="0" distL="0" distR="0">
                            <wp:extent cx="1363980" cy="488950"/>
                            <wp:effectExtent l="0" t="0" r="7620" b="6350"/>
                            <wp:docPr id="53" name="Obráze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363980" cy="488950"/>
                                    </a:xfrm>
                                    <a:prstGeom prst="rect">
                                      <a:avLst/>
                                    </a:prstGeom>
                                    <a:noFill/>
                                    <a:ln>
                                      <a:noFill/>
                                    </a:ln>
                                  </pic:spPr>
                                </pic:pic>
                              </a:graphicData>
                            </a:graphic>
                          </wp:inline>
                        </w:drawing>
                      </w:r>
                    </w:p>
                  </w:txbxContent>
                </v:textbox>
                <w10:wrap anchorx="page"/>
              </v:shape>
            </w:pict>
          </mc:Fallback>
        </mc:AlternateContent>
      </w:r>
      <w:r w:rsidR="00823476" w:rsidRPr="007F7EE4">
        <w:t>Predikce finanční zadluženosti</w:t>
      </w:r>
      <w:bookmarkEnd w:id="137"/>
    </w:p>
    <w:p w:rsidR="00823476" w:rsidRPr="005C67AD" w:rsidRDefault="00245008" w:rsidP="005C67AD">
      <w:pPr>
        <w:pStyle w:val="Objekt"/>
        <w:rPr>
          <w:highlight w:val="yellow"/>
        </w:rPr>
      </w:pPr>
      <w:r>
        <w:rPr>
          <w:noProof/>
          <w:lang w:eastAsia="cs-CZ"/>
        </w:rPr>
        <w:drawing>
          <wp:inline distT="0" distB="0" distL="0" distR="0">
            <wp:extent cx="4860925" cy="460870"/>
            <wp:effectExtent l="0" t="0" r="0" b="0"/>
            <wp:docPr id="702" name="Obrázek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860925" cy="460870"/>
                    </a:xfrm>
                    <a:prstGeom prst="rect">
                      <a:avLst/>
                    </a:prstGeom>
                    <a:noFill/>
                    <a:ln>
                      <a:noFill/>
                    </a:ln>
                  </pic:spPr>
                </pic:pic>
              </a:graphicData>
            </a:graphic>
          </wp:inline>
        </w:drawing>
      </w:r>
    </w:p>
    <w:p w:rsidR="00B86A95" w:rsidRPr="0035381A" w:rsidRDefault="00B86A95" w:rsidP="00B86A95">
      <w:pPr>
        <w:rPr>
          <w:i/>
          <w:szCs w:val="22"/>
        </w:rPr>
      </w:pPr>
      <w:r w:rsidRPr="0035381A">
        <w:rPr>
          <w:szCs w:val="22"/>
        </w:rPr>
        <w:t xml:space="preserve">Za pomocí výše uvedeného jsme </w:t>
      </w:r>
      <w:r w:rsidR="0035381A" w:rsidRPr="0035381A">
        <w:rPr>
          <w:szCs w:val="22"/>
        </w:rPr>
        <w:t>s</w:t>
      </w:r>
      <w:r w:rsidR="00CA0DE4" w:rsidRPr="0035381A">
        <w:rPr>
          <w:szCs w:val="22"/>
        </w:rPr>
        <w:t xml:space="preserve">tanovili </w:t>
      </w:r>
      <w:r w:rsidRPr="0035381A">
        <w:rPr>
          <w:szCs w:val="22"/>
        </w:rPr>
        <w:t>bezpečnou výši zadlužení pro období střednědobého výhledu. Výpočet vychází z</w:t>
      </w:r>
      <w:r w:rsidR="00C02956">
        <w:rPr>
          <w:szCs w:val="22"/>
        </w:rPr>
        <w:t> </w:t>
      </w:r>
      <w:r w:rsidRPr="0035381A">
        <w:rPr>
          <w:szCs w:val="22"/>
        </w:rPr>
        <w:t>nastaven</w:t>
      </w:r>
      <w:r w:rsidR="00C02956">
        <w:rPr>
          <w:szCs w:val="22"/>
        </w:rPr>
        <w:t>ých hodnot</w:t>
      </w:r>
      <w:r w:rsidRPr="0035381A">
        <w:rPr>
          <w:szCs w:val="22"/>
        </w:rPr>
        <w:t xml:space="preserve"> ukazatelů, kde stěžejní roli hraj</w:t>
      </w:r>
      <w:r w:rsidR="00C33820" w:rsidRPr="0035381A">
        <w:rPr>
          <w:szCs w:val="22"/>
        </w:rPr>
        <w:t>e vývoj</w:t>
      </w:r>
      <w:r w:rsidRPr="0035381A">
        <w:rPr>
          <w:szCs w:val="22"/>
        </w:rPr>
        <w:t xml:space="preserve"> příjm</w:t>
      </w:r>
      <w:r w:rsidR="00C33820" w:rsidRPr="0035381A">
        <w:rPr>
          <w:szCs w:val="22"/>
        </w:rPr>
        <w:t>ů</w:t>
      </w:r>
      <w:r w:rsidRPr="0035381A">
        <w:rPr>
          <w:szCs w:val="22"/>
        </w:rPr>
        <w:t xml:space="preserve"> ze sdílených daní</w:t>
      </w:r>
      <w:r w:rsidR="00C33820" w:rsidRPr="0035381A">
        <w:rPr>
          <w:szCs w:val="22"/>
        </w:rPr>
        <w:t xml:space="preserve">, výše a predikce provozního přebytku samotných </w:t>
      </w:r>
      <w:r w:rsidR="00C33820" w:rsidRPr="0035381A">
        <w:rPr>
          <w:szCs w:val="22"/>
        </w:rPr>
        <w:lastRenderedPageBreak/>
        <w:t>běžných příjmů</w:t>
      </w:r>
      <w:r w:rsidRPr="0035381A">
        <w:rPr>
          <w:szCs w:val="22"/>
        </w:rPr>
        <w:t xml:space="preserve"> na příjmové straně</w:t>
      </w:r>
      <w:r w:rsidR="00CA0DE4" w:rsidRPr="0035381A">
        <w:rPr>
          <w:szCs w:val="22"/>
        </w:rPr>
        <w:t>,</w:t>
      </w:r>
      <w:r w:rsidRPr="0035381A">
        <w:rPr>
          <w:szCs w:val="22"/>
        </w:rPr>
        <w:t xml:space="preserve"> výdaje na platy včetně pojistného</w:t>
      </w:r>
      <w:r w:rsidR="00C33820" w:rsidRPr="0035381A">
        <w:rPr>
          <w:szCs w:val="22"/>
        </w:rPr>
        <w:t xml:space="preserve"> </w:t>
      </w:r>
      <w:r w:rsidR="00164BA3" w:rsidRPr="0035381A">
        <w:rPr>
          <w:szCs w:val="22"/>
        </w:rPr>
        <w:t>a struktura</w:t>
      </w:r>
      <w:r w:rsidR="00C33820" w:rsidRPr="0035381A">
        <w:rPr>
          <w:szCs w:val="22"/>
        </w:rPr>
        <w:t xml:space="preserve"> výdajových položek</w:t>
      </w:r>
      <w:r w:rsidRPr="0035381A">
        <w:rPr>
          <w:szCs w:val="22"/>
        </w:rPr>
        <w:t xml:space="preserve"> na straně běžných výdajů.</w:t>
      </w:r>
      <w:r w:rsidR="00C33820" w:rsidRPr="0035381A">
        <w:rPr>
          <w:szCs w:val="22"/>
        </w:rPr>
        <w:t xml:space="preserve"> Ve splátkách dluhu hraje významnou roli provozní přebytek</w:t>
      </w:r>
      <w:r w:rsidR="00DD3034" w:rsidRPr="0035381A">
        <w:rPr>
          <w:szCs w:val="22"/>
        </w:rPr>
        <w:t xml:space="preserve">. K určení </w:t>
      </w:r>
      <w:r w:rsidR="00DD3034" w:rsidRPr="00BD2460">
        <w:rPr>
          <w:szCs w:val="22"/>
        </w:rPr>
        <w:t>hranice pro bezpečnou výši zadlužení vycházíme z předpokladu, že doba k ce</w:t>
      </w:r>
      <w:r w:rsidR="00E534FE" w:rsidRPr="00BD2460">
        <w:rPr>
          <w:szCs w:val="22"/>
        </w:rPr>
        <w:t>lkovému umoření dluhu nebude del</w:t>
      </w:r>
      <w:r w:rsidR="00DD3034" w:rsidRPr="00BD2460">
        <w:rPr>
          <w:szCs w:val="22"/>
        </w:rPr>
        <w:t xml:space="preserve">ší než 10 let, optimálně by mělo stačit 6 let. </w:t>
      </w:r>
      <w:r w:rsidRPr="00BD2460">
        <w:rPr>
          <w:szCs w:val="22"/>
        </w:rPr>
        <w:t>Hranice</w:t>
      </w:r>
      <w:r w:rsidR="00DD3034" w:rsidRPr="00BD2460">
        <w:rPr>
          <w:szCs w:val="22"/>
        </w:rPr>
        <w:t xml:space="preserve"> </w:t>
      </w:r>
      <w:r w:rsidR="002D36F6" w:rsidRPr="00BD2460">
        <w:rPr>
          <w:szCs w:val="22"/>
        </w:rPr>
        <w:t>pro bezpečn</w:t>
      </w:r>
      <w:r w:rsidR="00BD2460">
        <w:rPr>
          <w:szCs w:val="22"/>
        </w:rPr>
        <w:t>é</w:t>
      </w:r>
      <w:r w:rsidR="002D36F6" w:rsidRPr="00BD2460">
        <w:rPr>
          <w:szCs w:val="22"/>
        </w:rPr>
        <w:t xml:space="preserve"> </w:t>
      </w:r>
      <w:r w:rsidR="00BD2460">
        <w:rPr>
          <w:szCs w:val="22"/>
        </w:rPr>
        <w:t>navýšení</w:t>
      </w:r>
      <w:r w:rsidRPr="00BD2460">
        <w:rPr>
          <w:szCs w:val="22"/>
        </w:rPr>
        <w:t xml:space="preserve"> zadlužení</w:t>
      </w:r>
      <w:r w:rsidRPr="0035381A">
        <w:rPr>
          <w:szCs w:val="22"/>
        </w:rPr>
        <w:t xml:space="preserve"> </w:t>
      </w:r>
      <w:r w:rsidR="00DD3034" w:rsidRPr="0035381A">
        <w:rPr>
          <w:szCs w:val="22"/>
        </w:rPr>
        <w:t>j</w:t>
      </w:r>
      <w:r w:rsidRPr="0035381A">
        <w:rPr>
          <w:szCs w:val="22"/>
        </w:rPr>
        <w:t>e stanov</w:t>
      </w:r>
      <w:r w:rsidR="00DD3034" w:rsidRPr="0035381A">
        <w:rPr>
          <w:szCs w:val="22"/>
        </w:rPr>
        <w:t>ena</w:t>
      </w:r>
      <w:r w:rsidRPr="0035381A">
        <w:rPr>
          <w:szCs w:val="22"/>
        </w:rPr>
        <w:t xml:space="preserve"> na:</w:t>
      </w:r>
    </w:p>
    <w:p w:rsidR="00B86A95" w:rsidRPr="00FB4E51" w:rsidRDefault="00BD2460" w:rsidP="00B86A95">
      <w:pPr>
        <w:pStyle w:val="altNadpis1"/>
        <w:jc w:val="center"/>
      </w:pPr>
      <w:r>
        <w:t>10</w:t>
      </w:r>
      <w:r w:rsidR="00BB6E62">
        <w:t>7</w:t>
      </w:r>
      <w:r>
        <w:t>9</w:t>
      </w:r>
      <w:r w:rsidR="00BB6E62">
        <w:t>,0</w:t>
      </w:r>
      <w:r w:rsidR="00C02956">
        <w:t xml:space="preserve"> </w:t>
      </w:r>
      <w:r w:rsidR="00B86A95" w:rsidRPr="00FB4E51">
        <w:t>mil. Kč</w:t>
      </w:r>
    </w:p>
    <w:p w:rsidR="00B86A95" w:rsidRDefault="00E8249A" w:rsidP="00993408">
      <w:r>
        <w:rPr>
          <w:rFonts w:ascii="Verdana" w:hAnsi="Verdana"/>
          <w:noProof/>
          <w:sz w:val="19"/>
          <w:szCs w:val="22"/>
          <w:highlight w:val="cyan"/>
          <w:lang w:eastAsia="cs-CZ"/>
        </w:rPr>
        <mc:AlternateContent>
          <mc:Choice Requires="wps">
            <w:drawing>
              <wp:anchor distT="0" distB="0" distL="114300" distR="114300" simplePos="0" relativeHeight="251817472" behindDoc="0" locked="0" layoutInCell="1" allowOverlap="1">
                <wp:simplePos x="0" y="0"/>
                <wp:positionH relativeFrom="page">
                  <wp:posOffset>539115</wp:posOffset>
                </wp:positionH>
                <wp:positionV relativeFrom="paragraph">
                  <wp:posOffset>0</wp:posOffset>
                </wp:positionV>
                <wp:extent cx="1403985" cy="878205"/>
                <wp:effectExtent l="0" t="0" r="0" b="0"/>
                <wp:wrapNone/>
                <wp:docPr id="40" name="Textové pole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03985" cy="878205"/>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DA6167" w:rsidRPr="00370D4F" w:rsidRDefault="00DA6167" w:rsidP="004C28B2">
                            <w:pPr>
                              <w:spacing w:before="0"/>
                              <w:jc w:val="left"/>
                              <w:rPr>
                                <w:rFonts w:cstheme="minorHAnsi"/>
                                <w:i/>
                                <w:szCs w:val="22"/>
                              </w:rPr>
                            </w:pPr>
                            <w:r>
                              <w:rPr>
                                <w:rStyle w:val="Odkaznakoment"/>
                                <w:rFonts w:cstheme="minorHAnsi"/>
                                <w:i/>
                                <w:sz w:val="20"/>
                                <w:szCs w:val="20"/>
                              </w:rPr>
                              <w:t xml:space="preserve">Hranice </w:t>
                            </w:r>
                            <w:r w:rsidRPr="00BD2460">
                              <w:rPr>
                                <w:rStyle w:val="Odkaznakoment"/>
                                <w:rFonts w:cstheme="minorHAnsi"/>
                                <w:i/>
                                <w:sz w:val="20"/>
                                <w:szCs w:val="20"/>
                              </w:rPr>
                              <w:t>bezpečné výše zadlužení je vyšší, než určuje zákon o rozpočtové odpovědnosti</w:t>
                            </w:r>
                          </w:p>
                          <w:p w:rsidR="00DA6167" w:rsidRPr="001B58F3" w:rsidRDefault="00DA6167" w:rsidP="00E03088">
                            <w:pPr>
                              <w:spacing w:after="0"/>
                              <w:jc w:val="left"/>
                              <w:rPr>
                                <w:rFonts w:cstheme="minorHAnsi"/>
                                <w:i/>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margin">
                  <wp14:pctHeight>0</wp14:pctHeight>
                </wp14:sizeRelV>
              </wp:anchor>
            </w:drawing>
          </mc:Choice>
          <mc:Fallback>
            <w:pict>
              <v:shape id="_x0000_s1066" type="#_x0000_t202" style="position:absolute;left:0;text-align:left;margin-left:42.45pt;margin-top:0;width:110.55pt;height:69.15pt;z-index:251817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" fillcolor="white [3201]" stroked="f" strokeweight=".5pt">
                <v:path arrowok="t"/>
                <v:textbox inset="0,0,0,0">
                  <w:txbxContent>
                    <w:p w:rsidR="00DA6167" w:rsidRPr="00370D4F" w:rsidRDefault="00DA6167" w:rsidP="004C28B2">
                      <w:pPr>
                        <w:spacing w:before="0"/>
                        <w:jc w:val="left"/>
                        <w:rPr>
                          <w:rFonts w:cstheme="minorHAnsi"/>
                          <w:i/>
                          <w:szCs w:val="22"/>
                        </w:rPr>
                      </w:pPr>
                      <w:r>
                        <w:rPr>
                          <w:rStyle w:val="Odkaznakoment"/>
                          <w:rFonts w:cstheme="minorHAnsi"/>
                          <w:i/>
                          <w:sz w:val="20"/>
                          <w:szCs w:val="20"/>
                        </w:rPr>
                        <w:t xml:space="preserve">Hranice </w:t>
                      </w:r>
                      <w:r w:rsidRPr="00BD2460">
                        <w:rPr>
                          <w:rStyle w:val="Odkaznakoment"/>
                          <w:rFonts w:cstheme="minorHAnsi"/>
                          <w:i/>
                          <w:sz w:val="20"/>
                          <w:szCs w:val="20"/>
                        </w:rPr>
                        <w:t>bezpečné výše zadlužení je vyšší, než určuje zákon o rozpočtové odpovědnosti</w:t>
                      </w:r>
                    </w:p>
                    <w:p w:rsidR="00DA6167" w:rsidRPr="001B58F3" w:rsidRDefault="00DA6167" w:rsidP="00E03088">
                      <w:pPr>
                        <w:spacing w:after="0"/>
                        <w:jc w:val="left"/>
                        <w:rPr>
                          <w:rFonts w:cstheme="minorHAnsi"/>
                          <w:i/>
                          <w:sz w:val="20"/>
                          <w:szCs w:val="20"/>
                        </w:rPr>
                      </w:pPr>
                    </w:p>
                  </w:txbxContent>
                </v:textbox>
                <w10:wrap anchorx="page"/>
              </v:shape>
            </w:pict>
          </mc:Fallback>
        </mc:AlternateContent>
      </w:r>
      <w:r w:rsidR="00DD3034" w:rsidRPr="00FB4E51">
        <w:rPr>
          <w:szCs w:val="22"/>
        </w:rPr>
        <w:t xml:space="preserve">Při této výši zadlužení bude zajištěn bezproblémový </w:t>
      </w:r>
      <w:r w:rsidR="00F63AF6" w:rsidRPr="00FB4E51">
        <w:rPr>
          <w:szCs w:val="22"/>
        </w:rPr>
        <w:t xml:space="preserve">provoz a nebude ani omezen další rozvoj města. </w:t>
      </w:r>
      <w:r w:rsidR="00C07709" w:rsidRPr="00FB4E51">
        <w:rPr>
          <w:szCs w:val="22"/>
        </w:rPr>
        <w:t>Nelze ale zaměňovat výši dluhu neomezené</w:t>
      </w:r>
      <w:r w:rsidR="007D7574">
        <w:rPr>
          <w:szCs w:val="22"/>
        </w:rPr>
        <w:t>ho</w:t>
      </w:r>
      <w:r w:rsidR="00C07709" w:rsidRPr="00FB4E51">
        <w:rPr>
          <w:szCs w:val="22"/>
        </w:rPr>
        <w:t xml:space="preserve"> zákonem o rozpočtové odpovědnosti s povinností zajistit splátky z výše dluhu (požadavek zákona). Podle zákona o rozpočtové odpovědnosti je požadavek na zajištění meziročních splátek celkového dluhu </w:t>
      </w:r>
      <w:r w:rsidR="00C02956" w:rsidRPr="00C02956">
        <w:rPr>
          <w:szCs w:val="22"/>
        </w:rPr>
        <w:t>nad hodnoty v tabulce „Predikce rozpočtové odpovědnosti“</w:t>
      </w:r>
      <w:r w:rsidR="00C07709" w:rsidRPr="00FB4E51">
        <w:rPr>
          <w:szCs w:val="22"/>
        </w:rPr>
        <w:t xml:space="preserve"> ve výši 5</w:t>
      </w:r>
      <w:r w:rsidR="00DB59E7">
        <w:rPr>
          <w:szCs w:val="22"/>
        </w:rPr>
        <w:t xml:space="preserve"> </w:t>
      </w:r>
      <w:r w:rsidR="00C07709" w:rsidRPr="00FB4E51">
        <w:rPr>
          <w:szCs w:val="22"/>
        </w:rPr>
        <w:t xml:space="preserve">% </w:t>
      </w:r>
      <w:r w:rsidR="008E6FAF" w:rsidRPr="00FB4E51">
        <w:rPr>
          <w:szCs w:val="22"/>
        </w:rPr>
        <w:t xml:space="preserve">z rozdílu mezi </w:t>
      </w:r>
      <w:r w:rsidR="008E6FAF" w:rsidRPr="00FB4E51">
        <w:t>výší dluhu a 60 % jeho průměrných příjmů za poslední 4 roky</w:t>
      </w:r>
      <w:r w:rsidR="005A5E75" w:rsidRPr="00FB4E51">
        <w:t>.</w:t>
      </w:r>
      <w:r w:rsidR="00DB7CA6" w:rsidRPr="00FB4E51">
        <w:t xml:space="preserve"> </w:t>
      </w:r>
      <w:r w:rsidR="006E7538" w:rsidRPr="00FB4E51">
        <w:t>H</w:t>
      </w:r>
      <w:r w:rsidR="005A5E75" w:rsidRPr="00FB4E51">
        <w:t xml:space="preserve">ranice bezpečného zadlužení </w:t>
      </w:r>
      <w:r w:rsidR="006E7538" w:rsidRPr="00FB4E51">
        <w:t xml:space="preserve">je o </w:t>
      </w:r>
      <w:r w:rsidR="00CD1239">
        <w:t xml:space="preserve">cca </w:t>
      </w:r>
      <w:r w:rsidR="00BB6E62">
        <w:t>33</w:t>
      </w:r>
      <w:r w:rsidR="00BD2460">
        <w:t>9</w:t>
      </w:r>
      <w:r w:rsidR="00BB6E62">
        <w:t>,</w:t>
      </w:r>
      <w:r w:rsidR="00BD2460">
        <w:t>0</w:t>
      </w:r>
      <w:r w:rsidR="006E7538" w:rsidRPr="00FB4E51">
        <w:t xml:space="preserve"> mil. Kč </w:t>
      </w:r>
      <w:r w:rsidR="00BD2460">
        <w:t>vyšší</w:t>
      </w:r>
      <w:r w:rsidR="006E7538" w:rsidRPr="00FB4E51">
        <w:t xml:space="preserve"> než hodnota vypočítaná dle zákona o rozpočtové odpovědnosti</w:t>
      </w:r>
      <w:r w:rsidR="000A374A">
        <w:t xml:space="preserve"> na aktuální rok</w:t>
      </w:r>
      <w:r w:rsidR="006E7538" w:rsidRPr="00FB4E51">
        <w:t xml:space="preserve">. Tato skutečnost vyplývá z algoritmu výpočtu. Zatím co zákon vychází z hodnot celkových příjmů za minulé 4 roky, výpočet hranice bezpečné výše zadlužení využívá hodnoty budoucích let </w:t>
      </w:r>
      <w:r w:rsidR="000D195F" w:rsidRPr="00FB4E51">
        <w:t>SVR</w:t>
      </w:r>
      <w:r w:rsidR="002B549D">
        <w:t>.</w:t>
      </w:r>
    </w:p>
    <w:p w:rsidR="003137C1" w:rsidRDefault="003137C1" w:rsidP="00993408">
      <w:r>
        <w:br w:type="page"/>
      </w:r>
    </w:p>
    <w:p w:rsidR="00B01126" w:rsidRPr="001F6AC2" w:rsidRDefault="00B01126" w:rsidP="00993408">
      <w:pPr>
        <w:pStyle w:val="Nadpis1"/>
      </w:pPr>
      <w:bookmarkStart w:id="138" w:name="_Toc62211729"/>
      <w:bookmarkStart w:id="139" w:name="_Toc118978225"/>
      <w:r w:rsidRPr="001F6AC2">
        <w:lastRenderedPageBreak/>
        <w:t>Ekonomické hodnocení</w:t>
      </w:r>
      <w:bookmarkEnd w:id="138"/>
      <w:bookmarkEnd w:id="139"/>
    </w:p>
    <w:p w:rsidR="00B01126" w:rsidRPr="001F6AC2" w:rsidRDefault="00B01126" w:rsidP="00993408">
      <w:r w:rsidRPr="001F6AC2">
        <w:t xml:space="preserve">Územní samosprávný celek by měl při tvorbě koncepčních materiálů a dlouhodobějších plánů, ale i při hledání všech finančních zdrojů, vycházet z odborného posouzení schopností vlastní ekonomiky. Ekonomická analýza by se měla opírat o komplexní hodnocení řady kritérií, které přináší například </w:t>
      </w:r>
      <w:r w:rsidR="00742F18" w:rsidRPr="001F6AC2">
        <w:t>ekonomické hodnocení</w:t>
      </w:r>
      <w:r w:rsidRPr="001F6AC2">
        <w:t xml:space="preserve"> územního samosprávného celku. </w:t>
      </w:r>
      <w:r w:rsidR="00742F18" w:rsidRPr="001F6AC2">
        <w:t>Ekonomické hodnocení</w:t>
      </w:r>
      <w:r w:rsidR="002D22B0">
        <w:t xml:space="preserve"> společnosti AQE</w:t>
      </w:r>
      <w:r w:rsidRPr="001F6AC2">
        <w:t xml:space="preserve"> </w:t>
      </w:r>
      <w:proofErr w:type="spellStart"/>
      <w:r w:rsidRPr="001F6AC2">
        <w:t>advisors</w:t>
      </w:r>
      <w:proofErr w:type="spellEnd"/>
      <w:r w:rsidRPr="001F6AC2">
        <w:t>, a.s. je sestaven</w:t>
      </w:r>
      <w:r w:rsidR="001A3B44" w:rsidRPr="001F6AC2">
        <w:t>o</w:t>
      </w:r>
      <w:r w:rsidRPr="001F6AC2">
        <w:t xml:space="preserve"> na základě 20 vybraných ukazatelů rozdělených do 5 dílčích oblastí hospodaření.</w:t>
      </w:r>
    </w:p>
    <w:p w:rsidR="008F135F" w:rsidRPr="001F6AC2" w:rsidRDefault="008F135F" w:rsidP="00080619">
      <w:pPr>
        <w:pStyle w:val="Kaskda0"/>
        <w:numPr>
          <w:ilvl w:val="0"/>
          <w:numId w:val="36"/>
        </w:numPr>
      </w:pPr>
      <w:r w:rsidRPr="001F6AC2">
        <w:t>Příjmy – zhodnocení příjmových kategorií</w:t>
      </w:r>
    </w:p>
    <w:p w:rsidR="008F135F" w:rsidRPr="001F6AC2" w:rsidRDefault="008F135F" w:rsidP="00080619">
      <w:pPr>
        <w:pStyle w:val="Kaskda0"/>
        <w:numPr>
          <w:ilvl w:val="0"/>
          <w:numId w:val="36"/>
        </w:numPr>
      </w:pPr>
      <w:r w:rsidRPr="001F6AC2">
        <w:t>Hospodaření – zhodnocení stavu a vývoje hospodaření s příjmy a výdaji</w:t>
      </w:r>
    </w:p>
    <w:p w:rsidR="008F135F" w:rsidRPr="001F6AC2" w:rsidRDefault="008F135F" w:rsidP="00080619">
      <w:pPr>
        <w:pStyle w:val="Kaskda0"/>
        <w:numPr>
          <w:ilvl w:val="0"/>
          <w:numId w:val="36"/>
        </w:numPr>
      </w:pPr>
      <w:r w:rsidRPr="001F6AC2">
        <w:t>Dluhové – zhodnocení dluhové služby a schopnosti splácet dluh</w:t>
      </w:r>
    </w:p>
    <w:p w:rsidR="008F135F" w:rsidRPr="001F6AC2" w:rsidRDefault="008F135F" w:rsidP="00080619">
      <w:pPr>
        <w:pStyle w:val="Kaskda0"/>
        <w:numPr>
          <w:ilvl w:val="0"/>
          <w:numId w:val="36"/>
        </w:numPr>
      </w:pPr>
      <w:r w:rsidRPr="001F6AC2">
        <w:t>Finanční – zhodnocení finanční nezávislosti a její ovlivnitelnost</w:t>
      </w:r>
      <w:r w:rsidR="00E534FE" w:rsidRPr="001F6AC2">
        <w:t>i</w:t>
      </w:r>
      <w:r w:rsidRPr="001F6AC2">
        <w:t xml:space="preserve"> </w:t>
      </w:r>
    </w:p>
    <w:p w:rsidR="008F135F" w:rsidRPr="001F6AC2" w:rsidRDefault="008F135F" w:rsidP="00080619">
      <w:pPr>
        <w:pStyle w:val="Kaskda0"/>
        <w:numPr>
          <w:ilvl w:val="0"/>
          <w:numId w:val="36"/>
        </w:numPr>
      </w:pPr>
      <w:r w:rsidRPr="001F6AC2">
        <w:t>Likvidita – zhodnocení disponibility prostředků a schopnosti jejich aktivace</w:t>
      </w:r>
    </w:p>
    <w:p w:rsidR="00B01126" w:rsidRPr="001F6AC2" w:rsidRDefault="00B01126" w:rsidP="00993408">
      <w:r w:rsidRPr="001F6AC2">
        <w:t>Relativní zhodnocení oblastí je znázorněno v</w:t>
      </w:r>
      <w:r w:rsidR="0041031E" w:rsidRPr="001F6AC2">
        <w:t xml:space="preserve"> následujícím </w:t>
      </w:r>
      <w:r w:rsidR="0041031E" w:rsidRPr="001E6410">
        <w:t>grafu</w:t>
      </w:r>
      <w:r w:rsidRPr="001E6410">
        <w:t>. Z průměrného hodnocen</w:t>
      </w:r>
      <w:r w:rsidR="002D22B0">
        <w:t>í ukazatelů se nejvíce odchylují</w:t>
      </w:r>
      <w:r w:rsidRPr="001E6410">
        <w:t xml:space="preserve"> oblast</w:t>
      </w:r>
      <w:r w:rsidR="002D22B0">
        <w:t>i</w:t>
      </w:r>
      <w:r w:rsidRPr="001E6410">
        <w:t xml:space="preserve"> </w:t>
      </w:r>
      <w:r w:rsidR="00A02833" w:rsidRPr="001E6410">
        <w:t>Příjmová, Hospodaření</w:t>
      </w:r>
      <w:r w:rsidR="001E6410" w:rsidRPr="001E6410">
        <w:t xml:space="preserve"> a</w:t>
      </w:r>
      <w:r w:rsidR="00A02833" w:rsidRPr="001E6410">
        <w:t xml:space="preserve"> Finanční</w:t>
      </w:r>
      <w:r w:rsidRPr="001E6410">
        <w:t>.</w:t>
      </w:r>
      <w:r w:rsidRPr="00427409">
        <w:t xml:space="preserve"> </w:t>
      </w:r>
    </w:p>
    <w:p w:rsidR="00B01126" w:rsidRPr="007F7EE4" w:rsidRDefault="00B01126" w:rsidP="00243A70">
      <w:pPr>
        <w:pStyle w:val="Graf0"/>
      </w:pPr>
      <w:bookmarkStart w:id="140" w:name="_Toc58244034"/>
      <w:bookmarkStart w:id="141" w:name="_Toc118977827"/>
      <w:r w:rsidRPr="007F7EE4">
        <w:t>Relativní zhodnocení dílčích oblastí</w:t>
      </w:r>
      <w:bookmarkEnd w:id="140"/>
      <w:bookmarkEnd w:id="141"/>
    </w:p>
    <w:p w:rsidR="00B01126" w:rsidRPr="004F4117" w:rsidRDefault="00CA47D9" w:rsidP="005A4747">
      <w:pPr>
        <w:pStyle w:val="Objekt"/>
        <w:rPr>
          <w:highlight w:val="yellow"/>
        </w:rPr>
      </w:pPr>
      <w:r w:rsidRPr="00CA47D9">
        <w:rPr>
          <w:noProof/>
          <w:lang w:eastAsia="cs-CZ"/>
        </w:rPr>
        <w:drawing>
          <wp:inline distT="0" distB="0" distL="0" distR="0">
            <wp:extent cx="4860925" cy="1941899"/>
            <wp:effectExtent l="0" t="0" r="0" b="1270"/>
            <wp:docPr id="57" name="Obráze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860925" cy="1941899"/>
                    </a:xfrm>
                    <a:prstGeom prst="rect">
                      <a:avLst/>
                    </a:prstGeom>
                    <a:noFill/>
                    <a:ln>
                      <a:noFill/>
                    </a:ln>
                  </pic:spPr>
                </pic:pic>
              </a:graphicData>
            </a:graphic>
          </wp:inline>
        </w:drawing>
      </w:r>
    </w:p>
    <w:p w:rsidR="00B01126" w:rsidRPr="00522B81" w:rsidRDefault="00B01126" w:rsidP="00522B81">
      <w:pPr>
        <w:pStyle w:val="Poznmka"/>
      </w:pPr>
      <w:r w:rsidRPr="00522B81">
        <w:t>Poznámka: Průměr představuje průměrné hodnocení za všechny hodnocené oblasti</w:t>
      </w:r>
    </w:p>
    <w:p w:rsidR="003B60D4" w:rsidRPr="00051967" w:rsidRDefault="003B60D4" w:rsidP="003B60D4">
      <w:r w:rsidRPr="00277D96">
        <w:t xml:space="preserve">Ekonomická situace je zhodnocena ve dvou obdobích, a to na základě hodnoceného časového rozpětí. Ekonomické hodnocení je prováděno stejnou soustavou ukazatelů, protože je ale zhodnocení výhledového období zatíženo určitou mírou nejistoty, je </w:t>
      </w:r>
      <w:r w:rsidRPr="00051967">
        <w:t xml:space="preserve">využito dvou stupnic s rozdílnou citlivostí na dosažené hodnoty. </w:t>
      </w:r>
    </w:p>
    <w:p w:rsidR="00AB5156" w:rsidRPr="00051967" w:rsidRDefault="00AB5156" w:rsidP="00AB5156">
      <w:pPr>
        <w:pStyle w:val="Kaskda0"/>
        <w:ind w:left="644" w:hanging="360"/>
      </w:pPr>
      <w:r w:rsidRPr="00051967">
        <w:t xml:space="preserve">Ekonomické hodnocení minulého období </w:t>
      </w:r>
      <w:proofErr w:type="gramStart"/>
      <w:r w:rsidR="00BB6E62">
        <w:t>2017</w:t>
      </w:r>
      <w:r w:rsidRPr="00BF2726">
        <w:t xml:space="preserve"> - </w:t>
      </w:r>
      <w:r w:rsidR="00BB6E62">
        <w:t>2021</w:t>
      </w:r>
      <w:proofErr w:type="gramEnd"/>
    </w:p>
    <w:p w:rsidR="00AB5156" w:rsidRPr="00FB4E51" w:rsidRDefault="001E6410" w:rsidP="00AB5156">
      <w:pPr>
        <w:pStyle w:val="Objekt"/>
      </w:pPr>
      <w:r w:rsidRPr="001E6410">
        <w:rPr>
          <w:noProof/>
          <w:lang w:eastAsia="cs-CZ"/>
        </w:rPr>
        <w:drawing>
          <wp:inline distT="0" distB="0" distL="0" distR="0">
            <wp:extent cx="4860925" cy="334651"/>
            <wp:effectExtent l="0" t="0" r="0" b="8255"/>
            <wp:docPr id="58" name="Obráze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860925" cy="334651"/>
                    </a:xfrm>
                    <a:prstGeom prst="rect">
                      <a:avLst/>
                    </a:prstGeom>
                    <a:noFill/>
                    <a:ln>
                      <a:noFill/>
                    </a:ln>
                  </pic:spPr>
                </pic:pic>
              </a:graphicData>
            </a:graphic>
          </wp:inline>
        </w:drawing>
      </w:r>
    </w:p>
    <w:p w:rsidR="00AB5156" w:rsidRPr="001E6410" w:rsidRDefault="00AB5156" w:rsidP="00AB5156">
      <w:pPr>
        <w:pStyle w:val="Kaskda0"/>
        <w:ind w:left="644" w:hanging="360"/>
      </w:pPr>
      <w:r w:rsidRPr="001E6410">
        <w:t xml:space="preserve">Ekonomické hodnocení výhledového období </w:t>
      </w:r>
      <w:proofErr w:type="gramStart"/>
      <w:r w:rsidR="00BB6E62" w:rsidRPr="001E6410">
        <w:t>2023</w:t>
      </w:r>
      <w:r w:rsidRPr="001E6410">
        <w:t xml:space="preserve"> – </w:t>
      </w:r>
      <w:r w:rsidR="00BB6E62" w:rsidRPr="001E6410">
        <w:t>2027</w:t>
      </w:r>
      <w:proofErr w:type="gramEnd"/>
    </w:p>
    <w:p w:rsidR="00AB5156" w:rsidRDefault="00AB5156" w:rsidP="00A973E9">
      <w:pPr>
        <w:spacing w:before="0"/>
      </w:pPr>
      <w:r w:rsidRPr="00716E9C">
        <w:rPr>
          <w:noProof/>
          <w:lang w:eastAsia="cs-CZ"/>
        </w:rPr>
        <w:drawing>
          <wp:inline distT="0" distB="0" distL="0" distR="0">
            <wp:extent cx="4860925" cy="334651"/>
            <wp:effectExtent l="0" t="0" r="0" b="8255"/>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860925" cy="334651"/>
                    </a:xfrm>
                    <a:prstGeom prst="rect">
                      <a:avLst/>
                    </a:prstGeom>
                    <a:noFill/>
                    <a:ln>
                      <a:noFill/>
                    </a:ln>
                  </pic:spPr>
                </pic:pic>
              </a:graphicData>
            </a:graphic>
          </wp:inline>
        </w:drawing>
      </w:r>
    </w:p>
    <w:p w:rsidR="00B01126" w:rsidRPr="00277D96" w:rsidRDefault="00B01126" w:rsidP="005A4747">
      <w:r w:rsidRPr="00FB4E51">
        <w:t>Úspěšné hodnocení</w:t>
      </w:r>
      <w:r w:rsidR="002D22B0">
        <w:t xml:space="preserve"> predikuje v</w:t>
      </w:r>
      <w:r w:rsidR="00C91E56">
        <w:t>ysokou</w:t>
      </w:r>
      <w:r w:rsidR="002D22B0">
        <w:t xml:space="preserve"> pravděpodobnost, </w:t>
      </w:r>
      <w:r w:rsidR="002D22B0" w:rsidRPr="00DA6167">
        <w:t>že město</w:t>
      </w:r>
      <w:r w:rsidR="007349A7" w:rsidRPr="00DA6167">
        <w:t xml:space="preserve"> nebude mít</w:t>
      </w:r>
      <w:r w:rsidR="002D22B0" w:rsidRPr="00DA6167">
        <w:t xml:space="preserve"> v budoucnosti ekonomické problémy</w:t>
      </w:r>
      <w:r w:rsidRPr="00DA6167">
        <w:t>. Poskytuje také potenciálním věřitelům cenné detailní informace, protože výsledek hodnocení vyjadřuje schopnost</w:t>
      </w:r>
      <w:r w:rsidRPr="00277D96">
        <w:t xml:space="preserve"> hodnocené</w:t>
      </w:r>
      <w:r w:rsidR="000D195F" w:rsidRPr="00277D96">
        <w:t>ho</w:t>
      </w:r>
      <w:r w:rsidRPr="00277D96">
        <w:t xml:space="preserve"> </w:t>
      </w:r>
      <w:r w:rsidR="000D195F" w:rsidRPr="00277D96">
        <w:t>ÚSC</w:t>
      </w:r>
      <w:r w:rsidRPr="00277D96">
        <w:t xml:space="preserve"> dostát svým závazkům a tím tedy poskytuje doporučení, zda a za jakých podmínek </w:t>
      </w:r>
      <w:r w:rsidR="00E6424A">
        <w:t>uzavřít</w:t>
      </w:r>
      <w:r w:rsidRPr="00277D96">
        <w:t xml:space="preserve"> s daným subjektem obchodní vztah. Výhoda zdravého hospodaření se promítá také do žádostí o různé dotace a půjčky ze státního rozpočtu a státních fondů. </w:t>
      </w:r>
      <w:r w:rsidR="000D195F" w:rsidRPr="00277D96">
        <w:lastRenderedPageBreak/>
        <w:t>Municipality</w:t>
      </w:r>
      <w:r w:rsidRPr="00277D96">
        <w:t xml:space="preserve"> též používají </w:t>
      </w:r>
      <w:r w:rsidR="00C91E56" w:rsidRPr="00DA6167">
        <w:t xml:space="preserve">příznivá </w:t>
      </w:r>
      <w:r w:rsidRPr="00DA6167">
        <w:t>ratingová hodnocení jako výhodu při</w:t>
      </w:r>
      <w:r w:rsidRPr="00277D96">
        <w:t xml:space="preserve"> vyjednávání s investory. Informace, které rating poskytuje, jsou komplexní a mohou sloužit jako jeden z faktorů, které investoři zvažují během složitého rozhodování při výběru nejvhodnější oblasti pro realizaci svých investičních záměrů.</w:t>
      </w:r>
    </w:p>
    <w:p w:rsidR="005B7F1F" w:rsidRPr="007F7EE4" w:rsidRDefault="005B7F1F" w:rsidP="009A770A">
      <w:pPr>
        <w:pStyle w:val="Tabulka"/>
      </w:pPr>
      <w:bookmarkStart w:id="142" w:name="_Toc118977798"/>
      <w:r w:rsidRPr="007F7EE4">
        <w:t xml:space="preserve">Ekonomické hodnocení města v letech </w:t>
      </w:r>
      <w:proofErr w:type="gramStart"/>
      <w:r w:rsidRPr="007F7EE4">
        <w:t>2013 - 2020</w:t>
      </w:r>
      <w:proofErr w:type="gramEnd"/>
      <w:r w:rsidRPr="007F7EE4">
        <w:t xml:space="preserve"> (staré)</w:t>
      </w:r>
      <w:bookmarkEnd w:id="142"/>
    </w:p>
    <w:tbl>
      <w:tblPr>
        <w:tblW w:w="4533" w:type="pct"/>
        <w:tblCellMar>
          <w:left w:w="0" w:type="dxa"/>
          <w:right w:w="0" w:type="dxa"/>
        </w:tblCellMar>
        <w:tblLook w:val="04A0" w:firstRow="1" w:lastRow="0" w:firstColumn="1" w:lastColumn="0" w:noHBand="0" w:noVBand="1"/>
      </w:tblPr>
      <w:tblGrid>
        <w:gridCol w:w="1152"/>
        <w:gridCol w:w="723"/>
        <w:gridCol w:w="724"/>
        <w:gridCol w:w="724"/>
        <w:gridCol w:w="724"/>
        <w:gridCol w:w="724"/>
        <w:gridCol w:w="724"/>
        <w:gridCol w:w="719"/>
        <w:gridCol w:w="717"/>
      </w:tblGrid>
      <w:tr w:rsidR="00AB5156" w:rsidRPr="001F6AC2" w:rsidTr="00AB5156">
        <w:trPr>
          <w:trHeight w:hRule="exact" w:val="284"/>
        </w:trPr>
        <w:tc>
          <w:tcPr>
            <w:tcW w:w="832" w:type="pct"/>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rsidR="00AB5156" w:rsidRPr="001F6AC2" w:rsidRDefault="00AB5156" w:rsidP="00325803">
            <w:pPr>
              <w:spacing w:before="0" w:line="240" w:lineRule="auto"/>
              <w:jc w:val="center"/>
              <w:rPr>
                <w:rFonts w:eastAsia="Times New Roman" w:cstheme="minorHAnsi"/>
                <w:bCs/>
                <w:szCs w:val="22"/>
              </w:rPr>
            </w:pPr>
            <w:r w:rsidRPr="001F6AC2">
              <w:rPr>
                <w:rFonts w:eastAsia="Times New Roman" w:cstheme="minorHAnsi"/>
                <w:bCs/>
                <w:szCs w:val="22"/>
              </w:rPr>
              <w:t>Hodnocení</w:t>
            </w:r>
          </w:p>
        </w:tc>
        <w:tc>
          <w:tcPr>
            <w:tcW w:w="522" w:type="pct"/>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rsidR="00AB5156" w:rsidRPr="001F6AC2" w:rsidRDefault="00AB5156" w:rsidP="00AB5156">
            <w:pPr>
              <w:spacing w:before="0" w:line="240" w:lineRule="auto"/>
              <w:jc w:val="center"/>
              <w:rPr>
                <w:rFonts w:eastAsia="Times New Roman" w:cstheme="minorHAnsi"/>
                <w:bCs/>
                <w:szCs w:val="22"/>
              </w:rPr>
            </w:pPr>
            <w:r w:rsidRPr="001F6AC2">
              <w:rPr>
                <w:rFonts w:eastAsia="Times New Roman" w:cstheme="minorHAnsi"/>
                <w:bCs/>
                <w:szCs w:val="22"/>
              </w:rPr>
              <w:t>201</w:t>
            </w:r>
            <w:r>
              <w:rPr>
                <w:rFonts w:eastAsia="Times New Roman" w:cstheme="minorHAnsi"/>
                <w:bCs/>
                <w:szCs w:val="22"/>
              </w:rPr>
              <w:t>3</w:t>
            </w:r>
          </w:p>
        </w:tc>
        <w:tc>
          <w:tcPr>
            <w:tcW w:w="522" w:type="pct"/>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rsidR="00AB5156" w:rsidRPr="001F6AC2" w:rsidRDefault="00AB5156" w:rsidP="00AB5156">
            <w:pPr>
              <w:spacing w:before="0" w:line="240" w:lineRule="auto"/>
              <w:jc w:val="center"/>
              <w:rPr>
                <w:rFonts w:eastAsia="Times New Roman" w:cstheme="minorHAnsi"/>
                <w:bCs/>
                <w:szCs w:val="22"/>
              </w:rPr>
            </w:pPr>
            <w:r w:rsidRPr="001F6AC2">
              <w:rPr>
                <w:rFonts w:eastAsia="Times New Roman" w:cstheme="minorHAnsi"/>
                <w:bCs/>
                <w:szCs w:val="22"/>
              </w:rPr>
              <w:t>201</w:t>
            </w:r>
            <w:r>
              <w:rPr>
                <w:rFonts w:eastAsia="Times New Roman" w:cstheme="minorHAnsi"/>
                <w:bCs/>
                <w:szCs w:val="22"/>
              </w:rPr>
              <w:t>4</w:t>
            </w:r>
          </w:p>
        </w:tc>
        <w:tc>
          <w:tcPr>
            <w:tcW w:w="522" w:type="pct"/>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rsidR="00AB5156" w:rsidRPr="001F6AC2" w:rsidRDefault="00AB5156" w:rsidP="00AB5156">
            <w:pPr>
              <w:spacing w:before="0" w:line="240" w:lineRule="auto"/>
              <w:jc w:val="center"/>
              <w:rPr>
                <w:rFonts w:eastAsia="Times New Roman" w:cstheme="minorHAnsi"/>
                <w:bCs/>
                <w:szCs w:val="22"/>
              </w:rPr>
            </w:pPr>
            <w:r w:rsidRPr="001F6AC2">
              <w:rPr>
                <w:rFonts w:eastAsia="Times New Roman" w:cstheme="minorHAnsi"/>
                <w:bCs/>
                <w:szCs w:val="22"/>
              </w:rPr>
              <w:t>201</w:t>
            </w:r>
            <w:r>
              <w:rPr>
                <w:rFonts w:eastAsia="Times New Roman" w:cstheme="minorHAnsi"/>
                <w:bCs/>
                <w:szCs w:val="22"/>
              </w:rPr>
              <w:t>5</w:t>
            </w:r>
          </w:p>
        </w:tc>
        <w:tc>
          <w:tcPr>
            <w:tcW w:w="522" w:type="pct"/>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rsidR="00AB5156" w:rsidRPr="001F6AC2" w:rsidRDefault="00AB5156" w:rsidP="00AB5156">
            <w:pPr>
              <w:spacing w:before="0" w:line="240" w:lineRule="auto"/>
              <w:jc w:val="center"/>
              <w:rPr>
                <w:rFonts w:eastAsia="Times New Roman" w:cstheme="minorHAnsi"/>
                <w:bCs/>
                <w:szCs w:val="22"/>
              </w:rPr>
            </w:pPr>
            <w:r w:rsidRPr="001F6AC2">
              <w:rPr>
                <w:rFonts w:eastAsia="Times New Roman" w:cstheme="minorHAnsi"/>
                <w:bCs/>
                <w:szCs w:val="22"/>
              </w:rPr>
              <w:t>201</w:t>
            </w:r>
            <w:r>
              <w:rPr>
                <w:rFonts w:eastAsia="Times New Roman" w:cstheme="minorHAnsi"/>
                <w:bCs/>
                <w:szCs w:val="22"/>
              </w:rPr>
              <w:t>6</w:t>
            </w:r>
          </w:p>
        </w:tc>
        <w:tc>
          <w:tcPr>
            <w:tcW w:w="522" w:type="pct"/>
            <w:tcBorders>
              <w:top w:val="single" w:sz="4" w:space="0" w:color="auto"/>
              <w:left w:val="nil"/>
              <w:bottom w:val="single" w:sz="4" w:space="0" w:color="auto"/>
              <w:right w:val="single" w:sz="4" w:space="0" w:color="auto"/>
            </w:tcBorders>
            <w:shd w:val="clear" w:color="auto" w:fill="BFBFBF" w:themeFill="background1" w:themeFillShade="BF"/>
            <w:vAlign w:val="center"/>
          </w:tcPr>
          <w:p w:rsidR="00AB5156" w:rsidRPr="001F6AC2" w:rsidRDefault="00AB5156" w:rsidP="00AB5156">
            <w:pPr>
              <w:spacing w:before="0" w:line="240" w:lineRule="auto"/>
              <w:jc w:val="center"/>
              <w:rPr>
                <w:rFonts w:eastAsia="Times New Roman" w:cstheme="minorHAnsi"/>
                <w:bCs/>
                <w:szCs w:val="22"/>
              </w:rPr>
            </w:pPr>
            <w:r w:rsidRPr="001F6AC2">
              <w:rPr>
                <w:rFonts w:eastAsia="Times New Roman" w:cstheme="minorHAnsi"/>
                <w:bCs/>
                <w:szCs w:val="22"/>
              </w:rPr>
              <w:t>201</w:t>
            </w:r>
            <w:r>
              <w:rPr>
                <w:rFonts w:eastAsia="Times New Roman" w:cstheme="minorHAnsi"/>
                <w:bCs/>
                <w:szCs w:val="22"/>
              </w:rPr>
              <w:t>7</w:t>
            </w:r>
          </w:p>
        </w:tc>
        <w:tc>
          <w:tcPr>
            <w:tcW w:w="522" w:type="pct"/>
            <w:tcBorders>
              <w:top w:val="single" w:sz="4" w:space="0" w:color="auto"/>
              <w:left w:val="nil"/>
              <w:bottom w:val="single" w:sz="4" w:space="0" w:color="auto"/>
              <w:right w:val="single" w:sz="4" w:space="0" w:color="auto"/>
            </w:tcBorders>
            <w:shd w:val="clear" w:color="auto" w:fill="BFBFBF" w:themeFill="background1" w:themeFillShade="BF"/>
            <w:vAlign w:val="center"/>
          </w:tcPr>
          <w:p w:rsidR="00AB5156" w:rsidRPr="001F6AC2" w:rsidRDefault="00AB5156" w:rsidP="00AB5156">
            <w:pPr>
              <w:spacing w:before="0" w:line="240" w:lineRule="auto"/>
              <w:jc w:val="center"/>
              <w:rPr>
                <w:rFonts w:eastAsia="Times New Roman" w:cstheme="minorHAnsi"/>
                <w:bCs/>
                <w:szCs w:val="22"/>
              </w:rPr>
            </w:pPr>
            <w:r w:rsidRPr="001F6AC2">
              <w:rPr>
                <w:rFonts w:eastAsia="Times New Roman" w:cstheme="minorHAnsi"/>
                <w:bCs/>
                <w:szCs w:val="22"/>
              </w:rPr>
              <w:t>201</w:t>
            </w:r>
            <w:r>
              <w:rPr>
                <w:rFonts w:eastAsia="Times New Roman" w:cstheme="minorHAnsi"/>
                <w:bCs/>
                <w:szCs w:val="22"/>
              </w:rPr>
              <w:t>8</w:t>
            </w:r>
          </w:p>
        </w:tc>
        <w:tc>
          <w:tcPr>
            <w:tcW w:w="519" w:type="pct"/>
            <w:tcBorders>
              <w:top w:val="single" w:sz="4" w:space="0" w:color="auto"/>
              <w:left w:val="nil"/>
              <w:bottom w:val="single" w:sz="4" w:space="0" w:color="auto"/>
              <w:right w:val="single" w:sz="4" w:space="0" w:color="auto"/>
            </w:tcBorders>
            <w:shd w:val="clear" w:color="auto" w:fill="BFBFBF" w:themeFill="background1" w:themeFillShade="BF"/>
            <w:vAlign w:val="center"/>
          </w:tcPr>
          <w:p w:rsidR="00AB5156" w:rsidRPr="001F6AC2" w:rsidRDefault="00AB5156" w:rsidP="00AB5156">
            <w:pPr>
              <w:spacing w:before="0" w:line="240" w:lineRule="auto"/>
              <w:jc w:val="center"/>
              <w:rPr>
                <w:rFonts w:eastAsia="Times New Roman" w:cstheme="minorHAnsi"/>
                <w:bCs/>
                <w:szCs w:val="22"/>
              </w:rPr>
            </w:pPr>
            <w:r w:rsidRPr="001F6AC2">
              <w:rPr>
                <w:rFonts w:eastAsia="Times New Roman" w:cstheme="minorHAnsi"/>
                <w:bCs/>
                <w:szCs w:val="22"/>
              </w:rPr>
              <w:t>20</w:t>
            </w:r>
            <w:r>
              <w:rPr>
                <w:rFonts w:eastAsia="Times New Roman" w:cstheme="minorHAnsi"/>
                <w:bCs/>
                <w:szCs w:val="22"/>
              </w:rPr>
              <w:t>19</w:t>
            </w:r>
          </w:p>
        </w:tc>
        <w:tc>
          <w:tcPr>
            <w:tcW w:w="517" w:type="pct"/>
            <w:tcBorders>
              <w:top w:val="single" w:sz="4" w:space="0" w:color="auto"/>
              <w:left w:val="nil"/>
              <w:bottom w:val="single" w:sz="4" w:space="0" w:color="auto"/>
              <w:right w:val="single" w:sz="4" w:space="0" w:color="auto"/>
            </w:tcBorders>
            <w:shd w:val="clear" w:color="auto" w:fill="BFBFBF" w:themeFill="background1" w:themeFillShade="BF"/>
            <w:vAlign w:val="center"/>
          </w:tcPr>
          <w:p w:rsidR="00AB5156" w:rsidRPr="001F6AC2" w:rsidRDefault="00AB5156" w:rsidP="00AB5156">
            <w:pPr>
              <w:spacing w:before="0" w:line="240" w:lineRule="auto"/>
              <w:jc w:val="center"/>
              <w:rPr>
                <w:rFonts w:eastAsia="Times New Roman" w:cstheme="minorHAnsi"/>
                <w:bCs/>
                <w:szCs w:val="22"/>
              </w:rPr>
            </w:pPr>
            <w:r w:rsidRPr="001F6AC2">
              <w:rPr>
                <w:rFonts w:eastAsia="Times New Roman" w:cstheme="minorHAnsi"/>
                <w:bCs/>
                <w:szCs w:val="22"/>
              </w:rPr>
              <w:t>2020</w:t>
            </w:r>
          </w:p>
        </w:tc>
      </w:tr>
      <w:tr w:rsidR="00AB5156" w:rsidRPr="001F6AC2" w:rsidTr="00AB5156">
        <w:trPr>
          <w:trHeight w:hRule="exact" w:val="284"/>
        </w:trPr>
        <w:tc>
          <w:tcPr>
            <w:tcW w:w="832" w:type="pct"/>
            <w:tcBorders>
              <w:top w:val="nil"/>
              <w:left w:val="single" w:sz="4" w:space="0" w:color="auto"/>
              <w:bottom w:val="nil"/>
              <w:right w:val="single" w:sz="4" w:space="0" w:color="auto"/>
            </w:tcBorders>
            <w:shd w:val="clear" w:color="auto" w:fill="auto"/>
            <w:noWrap/>
            <w:vAlign w:val="center"/>
            <w:hideMark/>
          </w:tcPr>
          <w:p w:rsidR="00AB5156" w:rsidRPr="001F6AC2" w:rsidRDefault="00AB5156" w:rsidP="00AB5156">
            <w:pPr>
              <w:spacing w:before="0" w:line="240" w:lineRule="auto"/>
              <w:jc w:val="center"/>
              <w:rPr>
                <w:rFonts w:eastAsia="Times New Roman" w:cstheme="minorHAnsi"/>
                <w:bCs/>
                <w:szCs w:val="22"/>
              </w:rPr>
            </w:pPr>
            <w:r w:rsidRPr="001F6AC2">
              <w:rPr>
                <w:rFonts w:eastAsia="Times New Roman" w:cstheme="minorHAnsi"/>
                <w:bCs/>
                <w:szCs w:val="22"/>
              </w:rPr>
              <w:t>Dlouhodobé</w:t>
            </w:r>
          </w:p>
        </w:tc>
        <w:tc>
          <w:tcPr>
            <w:tcW w:w="522" w:type="pct"/>
            <w:tcBorders>
              <w:top w:val="nil"/>
              <w:left w:val="nil"/>
              <w:bottom w:val="nil"/>
              <w:right w:val="single" w:sz="4" w:space="0" w:color="auto"/>
            </w:tcBorders>
            <w:shd w:val="clear" w:color="auto" w:fill="auto"/>
            <w:noWrap/>
            <w:vAlign w:val="center"/>
            <w:hideMark/>
          </w:tcPr>
          <w:p w:rsidR="00AB5156" w:rsidRPr="001F6AC2" w:rsidRDefault="001E6410" w:rsidP="00F15ADB">
            <w:pPr>
              <w:spacing w:before="0" w:line="240" w:lineRule="auto"/>
              <w:jc w:val="center"/>
              <w:rPr>
                <w:rFonts w:eastAsia="Times New Roman" w:cstheme="minorHAnsi"/>
                <w:bCs/>
                <w:szCs w:val="22"/>
              </w:rPr>
            </w:pPr>
            <w:r>
              <w:rPr>
                <w:rFonts w:eastAsia="Times New Roman" w:cstheme="minorHAnsi"/>
                <w:bCs/>
                <w:szCs w:val="22"/>
              </w:rPr>
              <w:t>B-</w:t>
            </w:r>
          </w:p>
        </w:tc>
        <w:tc>
          <w:tcPr>
            <w:tcW w:w="522" w:type="pct"/>
            <w:tcBorders>
              <w:top w:val="nil"/>
              <w:left w:val="nil"/>
              <w:bottom w:val="nil"/>
              <w:right w:val="single" w:sz="4" w:space="0" w:color="auto"/>
            </w:tcBorders>
            <w:shd w:val="clear" w:color="auto" w:fill="auto"/>
            <w:noWrap/>
            <w:vAlign w:val="center"/>
            <w:hideMark/>
          </w:tcPr>
          <w:p w:rsidR="00AB5156" w:rsidRPr="001F6AC2" w:rsidRDefault="001E6410" w:rsidP="00325803">
            <w:pPr>
              <w:spacing w:before="0" w:line="240" w:lineRule="auto"/>
              <w:jc w:val="center"/>
              <w:rPr>
                <w:rFonts w:eastAsia="Times New Roman" w:cstheme="minorHAnsi"/>
                <w:bCs/>
                <w:szCs w:val="22"/>
              </w:rPr>
            </w:pPr>
            <w:r>
              <w:rPr>
                <w:rFonts w:eastAsia="Times New Roman" w:cstheme="minorHAnsi"/>
                <w:bCs/>
                <w:szCs w:val="22"/>
              </w:rPr>
              <w:t>B</w:t>
            </w:r>
            <w:r w:rsidR="00AB5156">
              <w:rPr>
                <w:rFonts w:eastAsia="Times New Roman" w:cstheme="minorHAnsi"/>
                <w:bCs/>
                <w:szCs w:val="22"/>
              </w:rPr>
              <w:t>+</w:t>
            </w:r>
          </w:p>
        </w:tc>
        <w:tc>
          <w:tcPr>
            <w:tcW w:w="522" w:type="pct"/>
            <w:tcBorders>
              <w:top w:val="nil"/>
              <w:left w:val="nil"/>
              <w:bottom w:val="nil"/>
              <w:right w:val="single" w:sz="4" w:space="0" w:color="auto"/>
            </w:tcBorders>
            <w:shd w:val="clear" w:color="auto" w:fill="auto"/>
            <w:noWrap/>
            <w:vAlign w:val="center"/>
            <w:hideMark/>
          </w:tcPr>
          <w:p w:rsidR="00AB5156" w:rsidRPr="001F6AC2" w:rsidRDefault="001E6410" w:rsidP="00325803">
            <w:pPr>
              <w:spacing w:before="0" w:line="240" w:lineRule="auto"/>
              <w:jc w:val="center"/>
              <w:rPr>
                <w:rFonts w:eastAsia="Times New Roman" w:cstheme="minorHAnsi"/>
                <w:bCs/>
                <w:szCs w:val="22"/>
              </w:rPr>
            </w:pPr>
            <w:r>
              <w:rPr>
                <w:rFonts w:eastAsia="Times New Roman" w:cstheme="minorHAnsi"/>
                <w:bCs/>
                <w:szCs w:val="22"/>
              </w:rPr>
              <w:t>B-</w:t>
            </w:r>
          </w:p>
        </w:tc>
        <w:tc>
          <w:tcPr>
            <w:tcW w:w="522" w:type="pct"/>
            <w:tcBorders>
              <w:top w:val="nil"/>
              <w:left w:val="nil"/>
              <w:bottom w:val="nil"/>
              <w:right w:val="single" w:sz="4" w:space="0" w:color="auto"/>
            </w:tcBorders>
            <w:shd w:val="clear" w:color="auto" w:fill="auto"/>
            <w:noWrap/>
            <w:vAlign w:val="center"/>
            <w:hideMark/>
          </w:tcPr>
          <w:p w:rsidR="00AB5156" w:rsidRPr="001F6AC2" w:rsidRDefault="001E6410" w:rsidP="00325803">
            <w:pPr>
              <w:spacing w:before="0" w:line="240" w:lineRule="auto"/>
              <w:jc w:val="center"/>
              <w:rPr>
                <w:rFonts w:eastAsia="Times New Roman" w:cstheme="minorHAnsi"/>
                <w:bCs/>
                <w:szCs w:val="22"/>
              </w:rPr>
            </w:pPr>
            <w:r>
              <w:rPr>
                <w:rFonts w:eastAsia="Times New Roman" w:cstheme="minorHAnsi"/>
                <w:bCs/>
                <w:szCs w:val="22"/>
              </w:rPr>
              <w:t>B</w:t>
            </w:r>
            <w:r w:rsidR="00AB5156">
              <w:rPr>
                <w:rFonts w:eastAsia="Times New Roman" w:cstheme="minorHAnsi"/>
                <w:bCs/>
                <w:szCs w:val="22"/>
              </w:rPr>
              <w:t>+</w:t>
            </w:r>
          </w:p>
        </w:tc>
        <w:tc>
          <w:tcPr>
            <w:tcW w:w="522" w:type="pct"/>
            <w:tcBorders>
              <w:top w:val="nil"/>
              <w:left w:val="nil"/>
              <w:bottom w:val="nil"/>
              <w:right w:val="single" w:sz="4" w:space="0" w:color="auto"/>
            </w:tcBorders>
            <w:vAlign w:val="center"/>
          </w:tcPr>
          <w:p w:rsidR="00AB5156" w:rsidRPr="001F6AC2" w:rsidRDefault="001E6410" w:rsidP="00325803">
            <w:pPr>
              <w:spacing w:before="0" w:line="240" w:lineRule="auto"/>
              <w:jc w:val="center"/>
              <w:rPr>
                <w:rFonts w:eastAsia="Times New Roman" w:cstheme="minorHAnsi"/>
                <w:bCs/>
                <w:szCs w:val="22"/>
              </w:rPr>
            </w:pPr>
            <w:r>
              <w:rPr>
                <w:rFonts w:eastAsia="Times New Roman" w:cstheme="minorHAnsi"/>
                <w:bCs/>
                <w:szCs w:val="22"/>
              </w:rPr>
              <w:t>B</w:t>
            </w:r>
            <w:r w:rsidR="00AB5156">
              <w:rPr>
                <w:rFonts w:eastAsia="Times New Roman" w:cstheme="minorHAnsi"/>
                <w:bCs/>
                <w:szCs w:val="22"/>
              </w:rPr>
              <w:t>+</w:t>
            </w:r>
          </w:p>
        </w:tc>
        <w:tc>
          <w:tcPr>
            <w:tcW w:w="522" w:type="pct"/>
            <w:tcBorders>
              <w:top w:val="nil"/>
              <w:left w:val="nil"/>
              <w:bottom w:val="nil"/>
              <w:right w:val="single" w:sz="4" w:space="0" w:color="auto"/>
            </w:tcBorders>
            <w:vAlign w:val="center"/>
          </w:tcPr>
          <w:p w:rsidR="00AB5156" w:rsidRPr="001F6AC2" w:rsidRDefault="001E6410" w:rsidP="00325803">
            <w:pPr>
              <w:spacing w:before="0" w:line="240" w:lineRule="auto"/>
              <w:jc w:val="center"/>
              <w:rPr>
                <w:rFonts w:eastAsia="Times New Roman" w:cstheme="minorHAnsi"/>
                <w:bCs/>
                <w:szCs w:val="22"/>
              </w:rPr>
            </w:pPr>
            <w:r>
              <w:rPr>
                <w:rFonts w:eastAsia="Times New Roman" w:cstheme="minorHAnsi"/>
                <w:bCs/>
                <w:szCs w:val="22"/>
              </w:rPr>
              <w:t>B</w:t>
            </w:r>
            <w:r w:rsidR="00AB5156">
              <w:rPr>
                <w:rFonts w:eastAsia="Times New Roman" w:cstheme="minorHAnsi"/>
                <w:bCs/>
                <w:szCs w:val="22"/>
              </w:rPr>
              <w:t>+</w:t>
            </w:r>
          </w:p>
        </w:tc>
        <w:tc>
          <w:tcPr>
            <w:tcW w:w="519" w:type="pct"/>
            <w:tcBorders>
              <w:top w:val="nil"/>
              <w:left w:val="nil"/>
              <w:bottom w:val="nil"/>
              <w:right w:val="single" w:sz="4" w:space="0" w:color="auto"/>
            </w:tcBorders>
            <w:vAlign w:val="center"/>
          </w:tcPr>
          <w:p w:rsidR="00AB5156" w:rsidRPr="001F6AC2" w:rsidRDefault="001E6410" w:rsidP="00325803">
            <w:pPr>
              <w:spacing w:before="0" w:line="240" w:lineRule="auto"/>
              <w:jc w:val="center"/>
              <w:rPr>
                <w:rFonts w:eastAsia="Times New Roman" w:cstheme="minorHAnsi"/>
                <w:bCs/>
                <w:szCs w:val="22"/>
              </w:rPr>
            </w:pPr>
            <w:r>
              <w:rPr>
                <w:rFonts w:eastAsia="Times New Roman" w:cstheme="minorHAnsi"/>
                <w:bCs/>
                <w:szCs w:val="22"/>
              </w:rPr>
              <w:t>B</w:t>
            </w:r>
            <w:r w:rsidR="00AB5156">
              <w:rPr>
                <w:rFonts w:eastAsia="Times New Roman" w:cstheme="minorHAnsi"/>
                <w:bCs/>
                <w:szCs w:val="22"/>
              </w:rPr>
              <w:t>+</w:t>
            </w:r>
          </w:p>
        </w:tc>
        <w:tc>
          <w:tcPr>
            <w:tcW w:w="517" w:type="pct"/>
            <w:tcBorders>
              <w:top w:val="nil"/>
              <w:left w:val="nil"/>
              <w:bottom w:val="nil"/>
              <w:right w:val="single" w:sz="4" w:space="0" w:color="auto"/>
            </w:tcBorders>
            <w:vAlign w:val="center"/>
          </w:tcPr>
          <w:p w:rsidR="00AB5156" w:rsidRPr="001F6AC2" w:rsidRDefault="001E6410" w:rsidP="00AB5156">
            <w:pPr>
              <w:spacing w:before="0" w:line="240" w:lineRule="auto"/>
              <w:jc w:val="center"/>
              <w:rPr>
                <w:rFonts w:eastAsia="Times New Roman" w:cstheme="minorHAnsi"/>
                <w:bCs/>
                <w:szCs w:val="22"/>
              </w:rPr>
            </w:pPr>
            <w:r>
              <w:rPr>
                <w:rFonts w:eastAsia="Times New Roman" w:cstheme="minorHAnsi"/>
                <w:bCs/>
                <w:szCs w:val="22"/>
              </w:rPr>
              <w:t>B</w:t>
            </w:r>
            <w:r w:rsidR="00AB5156">
              <w:rPr>
                <w:rFonts w:eastAsia="Times New Roman" w:cstheme="minorHAnsi"/>
                <w:bCs/>
                <w:szCs w:val="22"/>
              </w:rPr>
              <w:t>+</w:t>
            </w:r>
          </w:p>
        </w:tc>
      </w:tr>
      <w:tr w:rsidR="00AB5156" w:rsidRPr="001F6AC2" w:rsidTr="00AB5156">
        <w:trPr>
          <w:trHeight w:hRule="exact" w:val="284"/>
        </w:trPr>
        <w:tc>
          <w:tcPr>
            <w:tcW w:w="832" w:type="pct"/>
            <w:tcBorders>
              <w:top w:val="nil"/>
              <w:left w:val="single" w:sz="4" w:space="0" w:color="auto"/>
              <w:bottom w:val="single" w:sz="4" w:space="0" w:color="auto"/>
              <w:right w:val="single" w:sz="4" w:space="0" w:color="auto"/>
            </w:tcBorders>
            <w:shd w:val="clear" w:color="auto" w:fill="auto"/>
            <w:noWrap/>
            <w:vAlign w:val="center"/>
            <w:hideMark/>
          </w:tcPr>
          <w:p w:rsidR="00AB5156" w:rsidRPr="001F6AC2" w:rsidRDefault="00AB5156" w:rsidP="00AB5156">
            <w:pPr>
              <w:spacing w:before="0" w:line="240" w:lineRule="auto"/>
              <w:jc w:val="center"/>
              <w:rPr>
                <w:rFonts w:eastAsia="Times New Roman" w:cstheme="minorHAnsi"/>
                <w:bCs/>
                <w:szCs w:val="22"/>
              </w:rPr>
            </w:pPr>
            <w:r w:rsidRPr="001F6AC2">
              <w:rPr>
                <w:rFonts w:eastAsia="Times New Roman" w:cstheme="minorHAnsi"/>
                <w:bCs/>
                <w:szCs w:val="22"/>
              </w:rPr>
              <w:t>Krátkodobé</w:t>
            </w:r>
          </w:p>
        </w:tc>
        <w:tc>
          <w:tcPr>
            <w:tcW w:w="522" w:type="pct"/>
            <w:tcBorders>
              <w:top w:val="nil"/>
              <w:left w:val="nil"/>
              <w:bottom w:val="single" w:sz="4" w:space="0" w:color="auto"/>
              <w:right w:val="single" w:sz="4" w:space="0" w:color="auto"/>
            </w:tcBorders>
            <w:shd w:val="clear" w:color="auto" w:fill="auto"/>
            <w:noWrap/>
            <w:vAlign w:val="center"/>
            <w:hideMark/>
          </w:tcPr>
          <w:p w:rsidR="00AB5156" w:rsidRPr="001F6AC2" w:rsidRDefault="00AB5156" w:rsidP="00AB5156">
            <w:pPr>
              <w:spacing w:before="0" w:line="240" w:lineRule="auto"/>
              <w:jc w:val="center"/>
              <w:rPr>
                <w:rFonts w:eastAsia="Times New Roman" w:cstheme="minorHAnsi"/>
                <w:bCs/>
                <w:szCs w:val="22"/>
              </w:rPr>
            </w:pPr>
            <w:r w:rsidRPr="001F6AC2">
              <w:rPr>
                <w:rFonts w:eastAsia="Times New Roman" w:cstheme="minorHAnsi"/>
                <w:bCs/>
                <w:szCs w:val="22"/>
              </w:rPr>
              <w:t>STR</w:t>
            </w:r>
            <w:r>
              <w:rPr>
                <w:rFonts w:eastAsia="Times New Roman" w:cstheme="minorHAnsi"/>
                <w:bCs/>
                <w:szCs w:val="22"/>
              </w:rPr>
              <w:t>2</w:t>
            </w:r>
          </w:p>
        </w:tc>
        <w:tc>
          <w:tcPr>
            <w:tcW w:w="522" w:type="pct"/>
            <w:tcBorders>
              <w:top w:val="nil"/>
              <w:left w:val="nil"/>
              <w:bottom w:val="single" w:sz="4" w:space="0" w:color="auto"/>
              <w:right w:val="single" w:sz="4" w:space="0" w:color="auto"/>
            </w:tcBorders>
            <w:shd w:val="clear" w:color="auto" w:fill="auto"/>
            <w:noWrap/>
            <w:vAlign w:val="center"/>
            <w:hideMark/>
          </w:tcPr>
          <w:p w:rsidR="00AB5156" w:rsidRPr="001F6AC2" w:rsidRDefault="00AB5156" w:rsidP="00AB5156">
            <w:pPr>
              <w:spacing w:before="0" w:line="240" w:lineRule="auto"/>
              <w:jc w:val="center"/>
              <w:rPr>
                <w:rFonts w:eastAsia="Times New Roman" w:cstheme="minorHAnsi"/>
                <w:bCs/>
                <w:szCs w:val="22"/>
              </w:rPr>
            </w:pPr>
            <w:r w:rsidRPr="001F6AC2">
              <w:rPr>
                <w:rFonts w:eastAsia="Times New Roman" w:cstheme="minorHAnsi"/>
                <w:bCs/>
                <w:szCs w:val="22"/>
              </w:rPr>
              <w:t>STR</w:t>
            </w:r>
            <w:r>
              <w:rPr>
                <w:rFonts w:eastAsia="Times New Roman" w:cstheme="minorHAnsi"/>
                <w:bCs/>
                <w:szCs w:val="22"/>
              </w:rPr>
              <w:t>2</w:t>
            </w:r>
          </w:p>
        </w:tc>
        <w:tc>
          <w:tcPr>
            <w:tcW w:w="522" w:type="pct"/>
            <w:tcBorders>
              <w:top w:val="nil"/>
              <w:left w:val="nil"/>
              <w:bottom w:val="single" w:sz="4" w:space="0" w:color="auto"/>
              <w:right w:val="single" w:sz="4" w:space="0" w:color="auto"/>
            </w:tcBorders>
            <w:shd w:val="clear" w:color="auto" w:fill="auto"/>
            <w:noWrap/>
            <w:vAlign w:val="center"/>
            <w:hideMark/>
          </w:tcPr>
          <w:p w:rsidR="00AB5156" w:rsidRPr="001F6AC2" w:rsidRDefault="00AB5156" w:rsidP="00AB5156">
            <w:pPr>
              <w:spacing w:before="0" w:line="240" w:lineRule="auto"/>
              <w:jc w:val="center"/>
              <w:rPr>
                <w:rFonts w:eastAsia="Times New Roman" w:cstheme="minorHAnsi"/>
                <w:bCs/>
                <w:szCs w:val="22"/>
              </w:rPr>
            </w:pPr>
            <w:r w:rsidRPr="001F6AC2">
              <w:rPr>
                <w:rFonts w:eastAsia="Times New Roman" w:cstheme="minorHAnsi"/>
                <w:bCs/>
                <w:szCs w:val="22"/>
              </w:rPr>
              <w:t>STR</w:t>
            </w:r>
            <w:r>
              <w:rPr>
                <w:rFonts w:eastAsia="Times New Roman" w:cstheme="minorHAnsi"/>
                <w:bCs/>
                <w:szCs w:val="22"/>
              </w:rPr>
              <w:t>2</w:t>
            </w:r>
          </w:p>
        </w:tc>
        <w:tc>
          <w:tcPr>
            <w:tcW w:w="522" w:type="pct"/>
            <w:tcBorders>
              <w:top w:val="nil"/>
              <w:left w:val="nil"/>
              <w:bottom w:val="single" w:sz="4" w:space="0" w:color="auto"/>
              <w:right w:val="single" w:sz="4" w:space="0" w:color="auto"/>
            </w:tcBorders>
            <w:shd w:val="clear" w:color="auto" w:fill="auto"/>
            <w:noWrap/>
            <w:vAlign w:val="center"/>
            <w:hideMark/>
          </w:tcPr>
          <w:p w:rsidR="00AB5156" w:rsidRPr="001F6AC2" w:rsidRDefault="00AB5156" w:rsidP="00325803">
            <w:pPr>
              <w:spacing w:before="0" w:line="240" w:lineRule="auto"/>
              <w:jc w:val="center"/>
              <w:rPr>
                <w:rFonts w:eastAsia="Times New Roman" w:cstheme="minorHAnsi"/>
                <w:bCs/>
                <w:szCs w:val="22"/>
              </w:rPr>
            </w:pPr>
            <w:r w:rsidRPr="001F6AC2">
              <w:rPr>
                <w:rFonts w:eastAsia="Times New Roman" w:cstheme="minorHAnsi"/>
                <w:bCs/>
                <w:szCs w:val="22"/>
              </w:rPr>
              <w:t>STR2</w:t>
            </w:r>
          </w:p>
        </w:tc>
        <w:tc>
          <w:tcPr>
            <w:tcW w:w="522" w:type="pct"/>
            <w:tcBorders>
              <w:top w:val="nil"/>
              <w:left w:val="nil"/>
              <w:bottom w:val="single" w:sz="4" w:space="0" w:color="auto"/>
              <w:right w:val="single" w:sz="4" w:space="0" w:color="auto"/>
            </w:tcBorders>
            <w:vAlign w:val="center"/>
          </w:tcPr>
          <w:p w:rsidR="00AB5156" w:rsidRPr="001F6AC2" w:rsidRDefault="00AB5156" w:rsidP="00325803">
            <w:pPr>
              <w:spacing w:before="0" w:line="240" w:lineRule="auto"/>
              <w:jc w:val="center"/>
              <w:rPr>
                <w:rFonts w:eastAsia="Times New Roman" w:cstheme="minorHAnsi"/>
                <w:bCs/>
                <w:szCs w:val="22"/>
              </w:rPr>
            </w:pPr>
            <w:r w:rsidRPr="001F6AC2">
              <w:rPr>
                <w:rFonts w:eastAsia="Times New Roman" w:cstheme="minorHAnsi"/>
                <w:bCs/>
                <w:szCs w:val="22"/>
              </w:rPr>
              <w:t>STR2</w:t>
            </w:r>
          </w:p>
        </w:tc>
        <w:tc>
          <w:tcPr>
            <w:tcW w:w="522" w:type="pct"/>
            <w:tcBorders>
              <w:top w:val="nil"/>
              <w:left w:val="nil"/>
              <w:bottom w:val="single" w:sz="4" w:space="0" w:color="auto"/>
              <w:right w:val="single" w:sz="4" w:space="0" w:color="auto"/>
            </w:tcBorders>
            <w:vAlign w:val="center"/>
          </w:tcPr>
          <w:p w:rsidR="00AB5156" w:rsidRPr="001F6AC2" w:rsidRDefault="00AB5156" w:rsidP="00325803">
            <w:pPr>
              <w:spacing w:before="0" w:line="240" w:lineRule="auto"/>
              <w:jc w:val="center"/>
              <w:rPr>
                <w:rFonts w:eastAsia="Times New Roman" w:cstheme="minorHAnsi"/>
                <w:bCs/>
                <w:szCs w:val="22"/>
              </w:rPr>
            </w:pPr>
            <w:r w:rsidRPr="001F6AC2">
              <w:rPr>
                <w:rFonts w:eastAsia="Times New Roman" w:cstheme="minorHAnsi"/>
                <w:bCs/>
                <w:szCs w:val="22"/>
              </w:rPr>
              <w:t>STR2</w:t>
            </w:r>
          </w:p>
        </w:tc>
        <w:tc>
          <w:tcPr>
            <w:tcW w:w="519" w:type="pct"/>
            <w:tcBorders>
              <w:top w:val="nil"/>
              <w:left w:val="nil"/>
              <w:bottom w:val="single" w:sz="4" w:space="0" w:color="auto"/>
              <w:right w:val="single" w:sz="4" w:space="0" w:color="auto"/>
            </w:tcBorders>
            <w:vAlign w:val="center"/>
          </w:tcPr>
          <w:p w:rsidR="00AB5156" w:rsidRPr="001F6AC2" w:rsidRDefault="00AB5156" w:rsidP="00325803">
            <w:pPr>
              <w:spacing w:before="0" w:line="240" w:lineRule="auto"/>
              <w:jc w:val="center"/>
              <w:rPr>
                <w:rFonts w:eastAsia="Times New Roman" w:cstheme="minorHAnsi"/>
                <w:bCs/>
                <w:szCs w:val="22"/>
              </w:rPr>
            </w:pPr>
            <w:r w:rsidRPr="001F6AC2">
              <w:rPr>
                <w:rFonts w:eastAsia="Times New Roman" w:cstheme="minorHAnsi"/>
                <w:bCs/>
                <w:szCs w:val="22"/>
              </w:rPr>
              <w:t>STR2</w:t>
            </w:r>
          </w:p>
        </w:tc>
        <w:tc>
          <w:tcPr>
            <w:tcW w:w="517" w:type="pct"/>
            <w:tcBorders>
              <w:top w:val="nil"/>
              <w:left w:val="nil"/>
              <w:bottom w:val="single" w:sz="4" w:space="0" w:color="auto"/>
              <w:right w:val="single" w:sz="4" w:space="0" w:color="auto"/>
            </w:tcBorders>
            <w:vAlign w:val="center"/>
          </w:tcPr>
          <w:p w:rsidR="00AB5156" w:rsidRPr="001F6AC2" w:rsidRDefault="00AB5156" w:rsidP="00AB5156">
            <w:pPr>
              <w:spacing w:before="0" w:line="240" w:lineRule="auto"/>
              <w:jc w:val="center"/>
              <w:rPr>
                <w:rFonts w:eastAsia="Times New Roman" w:cstheme="minorHAnsi"/>
                <w:bCs/>
                <w:szCs w:val="22"/>
              </w:rPr>
            </w:pPr>
            <w:r w:rsidRPr="001F6AC2">
              <w:rPr>
                <w:rFonts w:eastAsia="Times New Roman" w:cstheme="minorHAnsi"/>
                <w:bCs/>
                <w:szCs w:val="22"/>
              </w:rPr>
              <w:t>STR2</w:t>
            </w:r>
          </w:p>
        </w:tc>
      </w:tr>
    </w:tbl>
    <w:bookmarkStart w:id="143" w:name="_Toc118977799"/>
    <w:p w:rsidR="001A3B44" w:rsidRPr="007F7EE4" w:rsidRDefault="00E8249A" w:rsidP="009A770A">
      <w:pPr>
        <w:pStyle w:val="Tabulka"/>
      </w:pPr>
      <w:r>
        <w:rPr>
          <w:rFonts w:ascii="Verdana" w:hAnsi="Verdana"/>
          <w:noProof/>
          <w:sz w:val="19"/>
          <w:highlight w:val="cyan"/>
          <w:lang w:eastAsia="cs-CZ"/>
        </w:rPr>
        <mc:AlternateContent>
          <mc:Choice Requires="wps">
            <w:drawing>
              <wp:anchor distT="0" distB="0" distL="114300" distR="114300" simplePos="0" relativeHeight="251819520" behindDoc="0" locked="0" layoutInCell="1" allowOverlap="1">
                <wp:simplePos x="0" y="0"/>
                <wp:positionH relativeFrom="page">
                  <wp:posOffset>540385</wp:posOffset>
                </wp:positionH>
                <wp:positionV relativeFrom="paragraph">
                  <wp:posOffset>0</wp:posOffset>
                </wp:positionV>
                <wp:extent cx="1403985" cy="1594485"/>
                <wp:effectExtent l="0" t="0" r="0" b="0"/>
                <wp:wrapNone/>
                <wp:docPr id="43" name="Textové pole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03985" cy="1594485"/>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DA6167" w:rsidRDefault="00DA6167" w:rsidP="00846D3C">
                            <w:pPr>
                              <w:jc w:val="left"/>
                              <w:rPr>
                                <w:rStyle w:val="Odkaznakoment"/>
                                <w:rFonts w:cstheme="minorHAnsi"/>
                                <w:i/>
                                <w:sz w:val="20"/>
                                <w:szCs w:val="20"/>
                              </w:rPr>
                            </w:pPr>
                            <w:r>
                              <w:rPr>
                                <w:rStyle w:val="Odkaznakoment"/>
                                <w:rFonts w:cstheme="minorHAnsi"/>
                                <w:i/>
                                <w:sz w:val="20"/>
                                <w:szCs w:val="20"/>
                              </w:rPr>
                              <w:t>Nové ekonomické hodnocení střednědobého výhledu města:</w:t>
                            </w:r>
                          </w:p>
                          <w:p w:rsidR="00DA6167" w:rsidRPr="00370D4F" w:rsidRDefault="00DA6167" w:rsidP="00846D3C">
                            <w:pPr>
                              <w:jc w:val="left"/>
                              <w:rPr>
                                <w:rStyle w:val="Odkaznakoment"/>
                                <w:rFonts w:cstheme="minorHAnsi"/>
                                <w:i/>
                                <w:sz w:val="20"/>
                                <w:szCs w:val="20"/>
                              </w:rPr>
                            </w:pPr>
                            <w:r w:rsidRPr="00F31493">
                              <w:rPr>
                                <w:rStyle w:val="Odkaznakoment"/>
                                <w:rFonts w:cstheme="minorHAnsi"/>
                                <w:i/>
                                <w:sz w:val="20"/>
                                <w:szCs w:val="20"/>
                              </w:rPr>
                              <w:t>STR</w:t>
                            </w:r>
                            <w:r>
                              <w:rPr>
                                <w:rStyle w:val="Odkaznakoment"/>
                                <w:rFonts w:cstheme="minorHAnsi"/>
                                <w:i/>
                                <w:sz w:val="20"/>
                                <w:szCs w:val="20"/>
                              </w:rPr>
                              <w:t>2</w:t>
                            </w:r>
                            <w:r w:rsidRPr="00F31493">
                              <w:rPr>
                                <w:rStyle w:val="Odkaznakoment"/>
                                <w:rFonts w:cstheme="minorHAnsi"/>
                                <w:i/>
                                <w:sz w:val="20"/>
                                <w:szCs w:val="20"/>
                              </w:rPr>
                              <w:t xml:space="preserve"> - </w:t>
                            </w:r>
                            <w:r w:rsidRPr="00AB5156">
                              <w:rPr>
                                <w:rStyle w:val="Odkaznakoment"/>
                                <w:rFonts w:cstheme="minorHAnsi"/>
                                <w:i/>
                                <w:sz w:val="20"/>
                                <w:szCs w:val="20"/>
                              </w:rPr>
                              <w:t>Velmi dobrý subjekt s vysokou schopností splácet své aktuální závazky</w:t>
                            </w:r>
                          </w:p>
                          <w:p w:rsidR="00DA6167" w:rsidRPr="00370D4F" w:rsidRDefault="00DA6167" w:rsidP="00846D3C">
                            <w:pPr>
                              <w:rPr>
                                <w:rFonts w:cstheme="minorHAnsi"/>
                                <w:i/>
                                <w:szCs w:val="22"/>
                              </w:rPr>
                            </w:pPr>
                          </w:p>
                          <w:p w:rsidR="00DA6167" w:rsidRPr="001B58F3" w:rsidRDefault="00DA6167" w:rsidP="00E03088">
                            <w:pPr>
                              <w:spacing w:after="0"/>
                              <w:jc w:val="left"/>
                              <w:rPr>
                                <w:rFonts w:cstheme="minorHAnsi"/>
                                <w:i/>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margin">
                  <wp14:pctHeight>0</wp14:pctHeight>
                </wp14:sizeRelV>
              </wp:anchor>
            </w:drawing>
          </mc:Choice>
          <mc:Fallback>
            <w:pict>
              <v:shape id="_x0000_s1067" type="#_x0000_t202" style="position:absolute;left:0;text-align:left;margin-left:42.55pt;margin-top:0;width:110.55pt;height:125.55pt;z-index:251819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" fillcolor="white [3201]" stroked="f" strokeweight=".5pt">
                <v:path arrowok="t"/>
                <v:textbox inset="0,0,0,0">
                  <w:txbxContent>
                    <w:p w:rsidR="00DA6167" w:rsidRDefault="00DA6167" w:rsidP="00846D3C">
                      <w:pPr>
                        <w:jc w:val="left"/>
                        <w:rPr>
                          <w:rStyle w:val="Odkaznakoment"/>
                          <w:rFonts w:cstheme="minorHAnsi"/>
                          <w:i/>
                          <w:sz w:val="20"/>
                          <w:szCs w:val="20"/>
                        </w:rPr>
                      </w:pPr>
                      <w:r>
                        <w:rPr>
                          <w:rStyle w:val="Odkaznakoment"/>
                          <w:rFonts w:cstheme="minorHAnsi"/>
                          <w:i/>
                          <w:sz w:val="20"/>
                          <w:szCs w:val="20"/>
                        </w:rPr>
                        <w:t>Nové ekonomické hodnocení střednědobého výhledu města:</w:t>
                      </w:r>
                    </w:p>
                    <w:p w:rsidR="00DA6167" w:rsidRPr="00370D4F" w:rsidRDefault="00DA6167" w:rsidP="00846D3C">
                      <w:pPr>
                        <w:jc w:val="left"/>
                        <w:rPr>
                          <w:rStyle w:val="Odkaznakoment"/>
                          <w:rFonts w:cstheme="minorHAnsi"/>
                          <w:i/>
                          <w:sz w:val="20"/>
                          <w:szCs w:val="20"/>
                        </w:rPr>
                      </w:pPr>
                      <w:proofErr w:type="gramStart"/>
                      <w:r w:rsidRPr="00F31493">
                        <w:rPr>
                          <w:rStyle w:val="Odkaznakoment"/>
                          <w:rFonts w:cstheme="minorHAnsi"/>
                          <w:i/>
                          <w:sz w:val="20"/>
                          <w:szCs w:val="20"/>
                        </w:rPr>
                        <w:t>STR</w:t>
                      </w:r>
                      <w:r>
                        <w:rPr>
                          <w:rStyle w:val="Odkaznakoment"/>
                          <w:rFonts w:cstheme="minorHAnsi"/>
                          <w:i/>
                          <w:sz w:val="20"/>
                          <w:szCs w:val="20"/>
                        </w:rPr>
                        <w:t>2</w:t>
                      </w:r>
                      <w:r w:rsidRPr="00F31493">
                        <w:rPr>
                          <w:rStyle w:val="Odkaznakoment"/>
                          <w:rFonts w:cstheme="minorHAnsi"/>
                          <w:i/>
                          <w:sz w:val="20"/>
                          <w:szCs w:val="20"/>
                        </w:rPr>
                        <w:t xml:space="preserve"> - </w:t>
                      </w:r>
                      <w:r w:rsidRPr="00AB5156">
                        <w:rPr>
                          <w:rStyle w:val="Odkaznakoment"/>
                          <w:rFonts w:cstheme="minorHAnsi"/>
                          <w:i/>
                          <w:sz w:val="20"/>
                          <w:szCs w:val="20"/>
                        </w:rPr>
                        <w:t>Velmi</w:t>
                      </w:r>
                      <w:proofErr w:type="gramEnd"/>
                      <w:r w:rsidRPr="00AB5156">
                        <w:rPr>
                          <w:rStyle w:val="Odkaznakoment"/>
                          <w:rFonts w:cstheme="minorHAnsi"/>
                          <w:i/>
                          <w:sz w:val="20"/>
                          <w:szCs w:val="20"/>
                        </w:rPr>
                        <w:t xml:space="preserve"> dobrý subjekt s vysokou schopností splácet své aktuální závazky</w:t>
                      </w:r>
                    </w:p>
                    <w:p w:rsidR="00DA6167" w:rsidRPr="00370D4F" w:rsidRDefault="00DA6167" w:rsidP="00846D3C">
                      <w:pPr>
                        <w:rPr>
                          <w:rFonts w:cstheme="minorHAnsi"/>
                          <w:i/>
                          <w:szCs w:val="22"/>
                        </w:rPr>
                      </w:pPr>
                    </w:p>
                    <w:p w:rsidR="00DA6167" w:rsidRPr="001B58F3" w:rsidRDefault="00DA6167" w:rsidP="00E03088">
                      <w:pPr>
                        <w:spacing w:after="0"/>
                        <w:jc w:val="left"/>
                        <w:rPr>
                          <w:rFonts w:cstheme="minorHAnsi"/>
                          <w:i/>
                          <w:sz w:val="20"/>
                          <w:szCs w:val="20"/>
                        </w:rPr>
                      </w:pPr>
                    </w:p>
                  </w:txbxContent>
                </v:textbox>
                <w10:wrap anchorx="page"/>
              </v:shape>
            </w:pict>
          </mc:Fallback>
        </mc:AlternateContent>
      </w:r>
      <w:r w:rsidR="001A3B44" w:rsidRPr="007F7EE4">
        <w:t xml:space="preserve">Ekonomické hodnocení města v letech </w:t>
      </w:r>
      <w:proofErr w:type="gramStart"/>
      <w:r w:rsidR="001A3B44" w:rsidRPr="007F7EE4">
        <w:t>20</w:t>
      </w:r>
      <w:r w:rsidR="0041031E" w:rsidRPr="007F7EE4">
        <w:t>21</w:t>
      </w:r>
      <w:r w:rsidR="001A3B44" w:rsidRPr="007F7EE4">
        <w:t xml:space="preserve"> - 20</w:t>
      </w:r>
      <w:r w:rsidR="0041031E" w:rsidRPr="007F7EE4">
        <w:t>2</w:t>
      </w:r>
      <w:r w:rsidR="00F15ADB" w:rsidRPr="007F7EE4">
        <w:t>7</w:t>
      </w:r>
      <w:proofErr w:type="gramEnd"/>
      <w:r w:rsidR="001A3B44" w:rsidRPr="007F7EE4">
        <w:t xml:space="preserve"> (nové)</w:t>
      </w:r>
      <w:bookmarkEnd w:id="143"/>
    </w:p>
    <w:tbl>
      <w:tblPr>
        <w:tblW w:w="4531" w:type="pct"/>
        <w:tblCellMar>
          <w:left w:w="0" w:type="dxa"/>
          <w:right w:w="0" w:type="dxa"/>
        </w:tblCellMar>
        <w:tblLook w:val="04A0" w:firstRow="1" w:lastRow="0" w:firstColumn="1" w:lastColumn="0" w:noHBand="0" w:noVBand="1"/>
      </w:tblPr>
      <w:tblGrid>
        <w:gridCol w:w="1153"/>
        <w:gridCol w:w="722"/>
        <w:gridCol w:w="723"/>
        <w:gridCol w:w="722"/>
        <w:gridCol w:w="722"/>
        <w:gridCol w:w="722"/>
        <w:gridCol w:w="722"/>
        <w:gridCol w:w="721"/>
        <w:gridCol w:w="721"/>
      </w:tblGrid>
      <w:tr w:rsidR="00AB5156" w:rsidRPr="00277D96" w:rsidTr="00AB5156">
        <w:trPr>
          <w:trHeight w:hRule="exact" w:val="284"/>
        </w:trPr>
        <w:tc>
          <w:tcPr>
            <w:tcW w:w="833" w:type="pct"/>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rsidR="00AB5156" w:rsidRPr="00277D96" w:rsidRDefault="00AB5156" w:rsidP="00325803">
            <w:pPr>
              <w:spacing w:before="0" w:line="240" w:lineRule="auto"/>
              <w:jc w:val="center"/>
              <w:rPr>
                <w:rFonts w:eastAsia="Times New Roman" w:cstheme="minorHAnsi"/>
                <w:bCs/>
                <w:szCs w:val="22"/>
              </w:rPr>
            </w:pPr>
            <w:r w:rsidRPr="00277D96">
              <w:rPr>
                <w:rFonts w:eastAsia="Times New Roman" w:cstheme="minorHAnsi"/>
                <w:bCs/>
                <w:szCs w:val="22"/>
              </w:rPr>
              <w:t>Hodnocení</w:t>
            </w:r>
          </w:p>
        </w:tc>
        <w:tc>
          <w:tcPr>
            <w:tcW w:w="521" w:type="pct"/>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rsidR="00AB5156" w:rsidRPr="00277D96" w:rsidRDefault="00AB5156" w:rsidP="0041031E">
            <w:pPr>
              <w:spacing w:before="0" w:line="240" w:lineRule="auto"/>
              <w:jc w:val="center"/>
              <w:rPr>
                <w:rFonts w:eastAsia="Times New Roman" w:cstheme="minorHAnsi"/>
                <w:bCs/>
                <w:szCs w:val="22"/>
              </w:rPr>
            </w:pPr>
            <w:r w:rsidRPr="00277D96">
              <w:rPr>
                <w:rFonts w:eastAsia="Times New Roman" w:cstheme="minorHAnsi"/>
                <w:bCs/>
                <w:szCs w:val="22"/>
              </w:rPr>
              <w:t>2021</w:t>
            </w:r>
          </w:p>
        </w:tc>
        <w:tc>
          <w:tcPr>
            <w:tcW w:w="522" w:type="pct"/>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rsidR="00AB5156" w:rsidRPr="00277D96" w:rsidRDefault="00AB5156" w:rsidP="0041031E">
            <w:pPr>
              <w:spacing w:before="0" w:line="240" w:lineRule="auto"/>
              <w:jc w:val="center"/>
              <w:rPr>
                <w:rFonts w:eastAsia="Times New Roman" w:cstheme="minorHAnsi"/>
                <w:bCs/>
                <w:szCs w:val="22"/>
              </w:rPr>
            </w:pPr>
            <w:r w:rsidRPr="00277D96">
              <w:rPr>
                <w:rFonts w:eastAsia="Times New Roman" w:cstheme="minorHAnsi"/>
                <w:bCs/>
                <w:szCs w:val="22"/>
              </w:rPr>
              <w:t>2022</w:t>
            </w:r>
          </w:p>
        </w:tc>
        <w:tc>
          <w:tcPr>
            <w:tcW w:w="521" w:type="pct"/>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rsidR="00AB5156" w:rsidRPr="00277D96" w:rsidRDefault="00AB5156" w:rsidP="0041031E">
            <w:pPr>
              <w:spacing w:before="0" w:line="240" w:lineRule="auto"/>
              <w:jc w:val="center"/>
              <w:rPr>
                <w:rFonts w:eastAsia="Times New Roman" w:cstheme="minorHAnsi"/>
                <w:bCs/>
                <w:szCs w:val="22"/>
              </w:rPr>
            </w:pPr>
            <w:r w:rsidRPr="00277D96">
              <w:rPr>
                <w:rFonts w:eastAsia="Times New Roman" w:cstheme="minorHAnsi"/>
                <w:bCs/>
                <w:szCs w:val="22"/>
              </w:rPr>
              <w:t>2023</w:t>
            </w:r>
          </w:p>
        </w:tc>
        <w:tc>
          <w:tcPr>
            <w:tcW w:w="521" w:type="pct"/>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rsidR="00AB5156" w:rsidRPr="00277D96" w:rsidRDefault="00AB5156" w:rsidP="0041031E">
            <w:pPr>
              <w:spacing w:before="0" w:line="240" w:lineRule="auto"/>
              <w:jc w:val="center"/>
              <w:rPr>
                <w:rFonts w:eastAsia="Times New Roman" w:cstheme="minorHAnsi"/>
                <w:bCs/>
                <w:szCs w:val="22"/>
              </w:rPr>
            </w:pPr>
            <w:r w:rsidRPr="00277D96">
              <w:rPr>
                <w:rFonts w:eastAsia="Times New Roman" w:cstheme="minorHAnsi"/>
                <w:bCs/>
                <w:szCs w:val="22"/>
              </w:rPr>
              <w:t>2024</w:t>
            </w:r>
          </w:p>
        </w:tc>
        <w:tc>
          <w:tcPr>
            <w:tcW w:w="521" w:type="pct"/>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rsidR="00AB5156" w:rsidRPr="00277D96" w:rsidRDefault="00AB5156" w:rsidP="0041031E">
            <w:pPr>
              <w:spacing w:before="0" w:line="240" w:lineRule="auto"/>
              <w:jc w:val="center"/>
              <w:rPr>
                <w:rFonts w:eastAsia="Times New Roman" w:cstheme="minorHAnsi"/>
                <w:bCs/>
                <w:szCs w:val="22"/>
              </w:rPr>
            </w:pPr>
            <w:r w:rsidRPr="00277D96">
              <w:rPr>
                <w:rFonts w:eastAsia="Times New Roman" w:cstheme="minorHAnsi"/>
                <w:bCs/>
                <w:szCs w:val="22"/>
              </w:rPr>
              <w:t>2025</w:t>
            </w:r>
          </w:p>
        </w:tc>
        <w:tc>
          <w:tcPr>
            <w:tcW w:w="521" w:type="pct"/>
            <w:tcBorders>
              <w:top w:val="single" w:sz="4" w:space="0" w:color="auto"/>
              <w:left w:val="nil"/>
              <w:bottom w:val="single" w:sz="4" w:space="0" w:color="auto"/>
              <w:right w:val="single" w:sz="4" w:space="0" w:color="auto"/>
            </w:tcBorders>
            <w:shd w:val="clear" w:color="auto" w:fill="BFBFBF" w:themeFill="background1" w:themeFillShade="BF"/>
            <w:vAlign w:val="center"/>
          </w:tcPr>
          <w:p w:rsidR="00AB5156" w:rsidRPr="00277D96" w:rsidRDefault="00AB5156" w:rsidP="0041031E">
            <w:pPr>
              <w:spacing w:before="0" w:line="240" w:lineRule="auto"/>
              <w:jc w:val="center"/>
              <w:rPr>
                <w:rFonts w:eastAsia="Times New Roman" w:cstheme="minorHAnsi"/>
                <w:bCs/>
                <w:szCs w:val="22"/>
              </w:rPr>
            </w:pPr>
            <w:r w:rsidRPr="00277D96">
              <w:rPr>
                <w:rFonts w:eastAsia="Times New Roman" w:cstheme="minorHAnsi"/>
                <w:bCs/>
                <w:szCs w:val="22"/>
              </w:rPr>
              <w:t>2026</w:t>
            </w:r>
          </w:p>
        </w:tc>
        <w:tc>
          <w:tcPr>
            <w:tcW w:w="520" w:type="pct"/>
            <w:tcBorders>
              <w:top w:val="single" w:sz="4" w:space="0" w:color="auto"/>
              <w:left w:val="nil"/>
              <w:bottom w:val="single" w:sz="4" w:space="0" w:color="auto"/>
              <w:right w:val="single" w:sz="4" w:space="0" w:color="auto"/>
            </w:tcBorders>
            <w:shd w:val="clear" w:color="auto" w:fill="BFBFBF" w:themeFill="background1" w:themeFillShade="BF"/>
            <w:vAlign w:val="center"/>
          </w:tcPr>
          <w:p w:rsidR="00AB5156" w:rsidRPr="00277D96" w:rsidRDefault="00AB5156" w:rsidP="0041031E">
            <w:pPr>
              <w:spacing w:before="0" w:line="240" w:lineRule="auto"/>
              <w:jc w:val="center"/>
              <w:rPr>
                <w:rFonts w:eastAsia="Times New Roman" w:cstheme="minorHAnsi"/>
                <w:bCs/>
                <w:szCs w:val="22"/>
              </w:rPr>
            </w:pPr>
            <w:r w:rsidRPr="00277D96">
              <w:rPr>
                <w:rFonts w:eastAsia="Times New Roman" w:cstheme="minorHAnsi"/>
                <w:bCs/>
                <w:szCs w:val="22"/>
              </w:rPr>
              <w:t>2027</w:t>
            </w:r>
          </w:p>
        </w:tc>
        <w:tc>
          <w:tcPr>
            <w:tcW w:w="520" w:type="pct"/>
            <w:tcBorders>
              <w:top w:val="single" w:sz="4" w:space="0" w:color="auto"/>
              <w:left w:val="nil"/>
              <w:bottom w:val="single" w:sz="4" w:space="0" w:color="auto"/>
              <w:right w:val="single" w:sz="4" w:space="0" w:color="auto"/>
            </w:tcBorders>
            <w:shd w:val="clear" w:color="auto" w:fill="BFBFBF" w:themeFill="background1" w:themeFillShade="BF"/>
            <w:vAlign w:val="center"/>
          </w:tcPr>
          <w:p w:rsidR="00AB5156" w:rsidRPr="001F6AC2" w:rsidRDefault="00AB5156" w:rsidP="00AB5156">
            <w:pPr>
              <w:spacing w:before="0" w:line="240" w:lineRule="auto"/>
              <w:jc w:val="center"/>
              <w:rPr>
                <w:rFonts w:eastAsia="Times New Roman" w:cstheme="minorHAnsi"/>
                <w:bCs/>
                <w:szCs w:val="22"/>
              </w:rPr>
            </w:pPr>
            <w:r w:rsidRPr="001F6AC2">
              <w:rPr>
                <w:rFonts w:eastAsia="Times New Roman" w:cstheme="minorHAnsi"/>
                <w:bCs/>
                <w:szCs w:val="22"/>
              </w:rPr>
              <w:t>202</w:t>
            </w:r>
            <w:r>
              <w:rPr>
                <w:rFonts w:eastAsia="Times New Roman" w:cstheme="minorHAnsi"/>
                <w:bCs/>
                <w:szCs w:val="22"/>
              </w:rPr>
              <w:t>8</w:t>
            </w:r>
          </w:p>
        </w:tc>
      </w:tr>
      <w:tr w:rsidR="00AB5156" w:rsidRPr="00277D96" w:rsidTr="00AB5156">
        <w:trPr>
          <w:trHeight w:hRule="exact" w:val="284"/>
        </w:trPr>
        <w:tc>
          <w:tcPr>
            <w:tcW w:w="833" w:type="pct"/>
            <w:tcBorders>
              <w:top w:val="nil"/>
              <w:left w:val="single" w:sz="4" w:space="0" w:color="auto"/>
              <w:bottom w:val="nil"/>
              <w:right w:val="single" w:sz="4" w:space="0" w:color="auto"/>
            </w:tcBorders>
            <w:shd w:val="clear" w:color="auto" w:fill="auto"/>
            <w:noWrap/>
            <w:vAlign w:val="center"/>
            <w:hideMark/>
          </w:tcPr>
          <w:p w:rsidR="00AB5156" w:rsidRPr="00277D96" w:rsidRDefault="00AB5156" w:rsidP="00AB5156">
            <w:pPr>
              <w:spacing w:before="0" w:line="240" w:lineRule="auto"/>
              <w:jc w:val="center"/>
              <w:rPr>
                <w:rFonts w:eastAsia="Times New Roman" w:cstheme="minorHAnsi"/>
                <w:bCs/>
                <w:szCs w:val="22"/>
              </w:rPr>
            </w:pPr>
            <w:r w:rsidRPr="00277D96">
              <w:rPr>
                <w:rFonts w:eastAsia="Times New Roman" w:cstheme="minorHAnsi"/>
                <w:bCs/>
                <w:szCs w:val="22"/>
              </w:rPr>
              <w:t>Minulost</w:t>
            </w:r>
          </w:p>
        </w:tc>
        <w:tc>
          <w:tcPr>
            <w:tcW w:w="521" w:type="pct"/>
            <w:tcBorders>
              <w:top w:val="nil"/>
              <w:left w:val="nil"/>
              <w:bottom w:val="nil"/>
              <w:right w:val="single" w:sz="4" w:space="0" w:color="auto"/>
            </w:tcBorders>
            <w:shd w:val="clear" w:color="auto" w:fill="auto"/>
            <w:noWrap/>
            <w:vAlign w:val="center"/>
          </w:tcPr>
          <w:p w:rsidR="00AB5156" w:rsidRPr="00277D96" w:rsidRDefault="001E6410" w:rsidP="00AB5156">
            <w:pPr>
              <w:spacing w:before="0" w:line="240" w:lineRule="auto"/>
              <w:jc w:val="center"/>
              <w:rPr>
                <w:rFonts w:eastAsia="Times New Roman" w:cstheme="minorHAnsi"/>
                <w:bCs/>
                <w:szCs w:val="22"/>
              </w:rPr>
            </w:pPr>
            <w:r>
              <w:rPr>
                <w:rFonts w:eastAsia="Times New Roman" w:cstheme="minorHAnsi"/>
                <w:bCs/>
                <w:szCs w:val="22"/>
              </w:rPr>
              <w:t>B1</w:t>
            </w:r>
          </w:p>
        </w:tc>
        <w:tc>
          <w:tcPr>
            <w:tcW w:w="522" w:type="pct"/>
            <w:tcBorders>
              <w:top w:val="nil"/>
              <w:left w:val="nil"/>
              <w:bottom w:val="nil"/>
              <w:right w:val="single" w:sz="4" w:space="0" w:color="auto"/>
            </w:tcBorders>
            <w:shd w:val="clear" w:color="auto" w:fill="auto"/>
            <w:noWrap/>
            <w:vAlign w:val="center"/>
          </w:tcPr>
          <w:p w:rsidR="00AB5156" w:rsidRPr="00277D96" w:rsidRDefault="001E6410" w:rsidP="0041031E">
            <w:pPr>
              <w:spacing w:before="0" w:line="240" w:lineRule="auto"/>
              <w:jc w:val="center"/>
              <w:rPr>
                <w:rFonts w:eastAsia="Times New Roman" w:cstheme="minorHAnsi"/>
                <w:bCs/>
                <w:szCs w:val="22"/>
              </w:rPr>
            </w:pPr>
            <w:r>
              <w:rPr>
                <w:rFonts w:eastAsia="Times New Roman" w:cstheme="minorHAnsi"/>
                <w:bCs/>
                <w:szCs w:val="22"/>
              </w:rPr>
              <w:t>B1</w:t>
            </w:r>
          </w:p>
        </w:tc>
        <w:tc>
          <w:tcPr>
            <w:tcW w:w="521" w:type="pct"/>
            <w:tcBorders>
              <w:top w:val="nil"/>
              <w:left w:val="nil"/>
              <w:bottom w:val="nil"/>
              <w:right w:val="single" w:sz="4" w:space="0" w:color="auto"/>
            </w:tcBorders>
            <w:shd w:val="clear" w:color="auto" w:fill="auto"/>
            <w:noWrap/>
            <w:vAlign w:val="center"/>
          </w:tcPr>
          <w:p w:rsidR="00AB5156" w:rsidRPr="00277D96" w:rsidRDefault="00AB5156" w:rsidP="0041031E">
            <w:pPr>
              <w:spacing w:before="0" w:line="240" w:lineRule="auto"/>
              <w:jc w:val="center"/>
              <w:rPr>
                <w:rFonts w:eastAsia="Times New Roman" w:cstheme="minorHAnsi"/>
                <w:bCs/>
                <w:szCs w:val="22"/>
              </w:rPr>
            </w:pPr>
            <w:r w:rsidRPr="00277D96">
              <w:rPr>
                <w:rFonts w:eastAsia="Times New Roman" w:cstheme="minorHAnsi"/>
                <w:bCs/>
                <w:szCs w:val="22"/>
              </w:rPr>
              <w:t>-</w:t>
            </w:r>
          </w:p>
        </w:tc>
        <w:tc>
          <w:tcPr>
            <w:tcW w:w="521" w:type="pct"/>
            <w:tcBorders>
              <w:top w:val="nil"/>
              <w:left w:val="nil"/>
              <w:bottom w:val="nil"/>
              <w:right w:val="single" w:sz="4" w:space="0" w:color="auto"/>
            </w:tcBorders>
            <w:shd w:val="clear" w:color="auto" w:fill="auto"/>
            <w:noWrap/>
            <w:vAlign w:val="center"/>
          </w:tcPr>
          <w:p w:rsidR="00AB5156" w:rsidRPr="00277D96" w:rsidRDefault="00AB5156" w:rsidP="0041031E">
            <w:pPr>
              <w:spacing w:before="0" w:line="240" w:lineRule="auto"/>
              <w:jc w:val="center"/>
              <w:rPr>
                <w:rFonts w:eastAsia="Times New Roman" w:cstheme="minorHAnsi"/>
                <w:bCs/>
                <w:szCs w:val="22"/>
              </w:rPr>
            </w:pPr>
            <w:r w:rsidRPr="00277D96">
              <w:rPr>
                <w:rFonts w:eastAsia="Times New Roman" w:cstheme="minorHAnsi"/>
                <w:bCs/>
                <w:szCs w:val="22"/>
              </w:rPr>
              <w:t>-</w:t>
            </w:r>
          </w:p>
        </w:tc>
        <w:tc>
          <w:tcPr>
            <w:tcW w:w="521" w:type="pct"/>
            <w:tcBorders>
              <w:top w:val="nil"/>
              <w:left w:val="nil"/>
              <w:bottom w:val="nil"/>
              <w:right w:val="single" w:sz="4" w:space="0" w:color="auto"/>
            </w:tcBorders>
            <w:shd w:val="clear" w:color="auto" w:fill="auto"/>
            <w:noWrap/>
            <w:vAlign w:val="center"/>
          </w:tcPr>
          <w:p w:rsidR="00AB5156" w:rsidRPr="00277D96" w:rsidRDefault="00AB5156" w:rsidP="0041031E">
            <w:pPr>
              <w:spacing w:before="0" w:line="240" w:lineRule="auto"/>
              <w:jc w:val="center"/>
              <w:rPr>
                <w:rFonts w:eastAsia="Times New Roman" w:cstheme="minorHAnsi"/>
                <w:bCs/>
                <w:szCs w:val="22"/>
              </w:rPr>
            </w:pPr>
            <w:r w:rsidRPr="00277D96">
              <w:rPr>
                <w:rFonts w:eastAsia="Times New Roman" w:cstheme="minorHAnsi"/>
                <w:bCs/>
                <w:szCs w:val="22"/>
              </w:rPr>
              <w:t>-</w:t>
            </w:r>
          </w:p>
        </w:tc>
        <w:tc>
          <w:tcPr>
            <w:tcW w:w="521" w:type="pct"/>
            <w:tcBorders>
              <w:top w:val="nil"/>
              <w:left w:val="nil"/>
              <w:bottom w:val="nil"/>
              <w:right w:val="single" w:sz="4" w:space="0" w:color="auto"/>
            </w:tcBorders>
            <w:vAlign w:val="center"/>
          </w:tcPr>
          <w:p w:rsidR="00AB5156" w:rsidRPr="00277D96" w:rsidRDefault="00AB5156" w:rsidP="0041031E">
            <w:pPr>
              <w:spacing w:before="0" w:line="240" w:lineRule="auto"/>
              <w:jc w:val="center"/>
              <w:rPr>
                <w:rFonts w:eastAsia="Times New Roman" w:cstheme="minorHAnsi"/>
                <w:bCs/>
                <w:szCs w:val="22"/>
              </w:rPr>
            </w:pPr>
            <w:r w:rsidRPr="00277D96">
              <w:rPr>
                <w:rFonts w:eastAsia="Times New Roman" w:cstheme="minorHAnsi"/>
                <w:bCs/>
                <w:szCs w:val="22"/>
              </w:rPr>
              <w:t>-</w:t>
            </w:r>
          </w:p>
        </w:tc>
        <w:tc>
          <w:tcPr>
            <w:tcW w:w="520" w:type="pct"/>
            <w:tcBorders>
              <w:top w:val="nil"/>
              <w:left w:val="nil"/>
              <w:bottom w:val="nil"/>
              <w:right w:val="single" w:sz="4" w:space="0" w:color="auto"/>
            </w:tcBorders>
            <w:vAlign w:val="center"/>
          </w:tcPr>
          <w:p w:rsidR="00AB5156" w:rsidRPr="00277D96" w:rsidRDefault="00AB5156" w:rsidP="0041031E">
            <w:pPr>
              <w:spacing w:before="0" w:line="240" w:lineRule="auto"/>
              <w:jc w:val="center"/>
              <w:rPr>
                <w:rFonts w:eastAsia="Times New Roman" w:cstheme="minorHAnsi"/>
                <w:bCs/>
                <w:szCs w:val="22"/>
              </w:rPr>
            </w:pPr>
            <w:r w:rsidRPr="00277D96">
              <w:rPr>
                <w:rFonts w:eastAsia="Times New Roman" w:cstheme="minorHAnsi"/>
                <w:bCs/>
                <w:szCs w:val="22"/>
              </w:rPr>
              <w:t>-</w:t>
            </w:r>
          </w:p>
        </w:tc>
        <w:tc>
          <w:tcPr>
            <w:tcW w:w="520" w:type="pct"/>
            <w:tcBorders>
              <w:top w:val="nil"/>
              <w:left w:val="nil"/>
              <w:bottom w:val="nil"/>
              <w:right w:val="single" w:sz="4" w:space="0" w:color="auto"/>
            </w:tcBorders>
            <w:vAlign w:val="center"/>
          </w:tcPr>
          <w:p w:rsidR="00AB5156" w:rsidRPr="00277D96" w:rsidRDefault="00AB5156" w:rsidP="00AB5156">
            <w:pPr>
              <w:spacing w:before="0" w:line="240" w:lineRule="auto"/>
              <w:jc w:val="center"/>
              <w:rPr>
                <w:rFonts w:eastAsia="Times New Roman" w:cstheme="minorHAnsi"/>
                <w:bCs/>
                <w:szCs w:val="22"/>
              </w:rPr>
            </w:pPr>
            <w:r w:rsidRPr="00277D96">
              <w:rPr>
                <w:rFonts w:eastAsia="Times New Roman" w:cstheme="minorHAnsi"/>
                <w:bCs/>
                <w:szCs w:val="22"/>
              </w:rPr>
              <w:t>-</w:t>
            </w:r>
          </w:p>
        </w:tc>
      </w:tr>
      <w:tr w:rsidR="00AB5156" w:rsidRPr="00277D96" w:rsidTr="00AB5156">
        <w:trPr>
          <w:trHeight w:hRule="exact" w:val="284"/>
        </w:trPr>
        <w:tc>
          <w:tcPr>
            <w:tcW w:w="833" w:type="pct"/>
            <w:tcBorders>
              <w:top w:val="nil"/>
              <w:left w:val="single" w:sz="4" w:space="0" w:color="auto"/>
              <w:bottom w:val="single" w:sz="4" w:space="0" w:color="auto"/>
              <w:right w:val="single" w:sz="4" w:space="0" w:color="auto"/>
            </w:tcBorders>
            <w:shd w:val="clear" w:color="auto" w:fill="auto"/>
            <w:noWrap/>
            <w:vAlign w:val="center"/>
            <w:hideMark/>
          </w:tcPr>
          <w:p w:rsidR="00AB5156" w:rsidRPr="00277D96" w:rsidRDefault="00AB5156" w:rsidP="00AB5156">
            <w:pPr>
              <w:spacing w:before="0" w:line="240" w:lineRule="auto"/>
              <w:jc w:val="center"/>
              <w:rPr>
                <w:rFonts w:eastAsia="Times New Roman" w:cstheme="minorHAnsi"/>
                <w:bCs/>
                <w:szCs w:val="22"/>
              </w:rPr>
            </w:pPr>
            <w:r w:rsidRPr="00277D96">
              <w:rPr>
                <w:rFonts w:eastAsia="Times New Roman" w:cstheme="minorHAnsi"/>
                <w:bCs/>
                <w:szCs w:val="22"/>
              </w:rPr>
              <w:t>Budoucnost</w:t>
            </w:r>
          </w:p>
        </w:tc>
        <w:tc>
          <w:tcPr>
            <w:tcW w:w="521" w:type="pct"/>
            <w:tcBorders>
              <w:top w:val="nil"/>
              <w:left w:val="nil"/>
              <w:bottom w:val="single" w:sz="4" w:space="0" w:color="auto"/>
              <w:right w:val="single" w:sz="4" w:space="0" w:color="auto"/>
            </w:tcBorders>
            <w:shd w:val="clear" w:color="auto" w:fill="auto"/>
            <w:noWrap/>
            <w:vAlign w:val="center"/>
          </w:tcPr>
          <w:p w:rsidR="00AB5156" w:rsidRPr="00277D96" w:rsidRDefault="00AB5156" w:rsidP="0041031E">
            <w:pPr>
              <w:spacing w:before="0" w:line="240" w:lineRule="auto"/>
              <w:jc w:val="center"/>
              <w:rPr>
                <w:rFonts w:eastAsia="Times New Roman" w:cstheme="minorHAnsi"/>
                <w:bCs/>
                <w:szCs w:val="22"/>
              </w:rPr>
            </w:pPr>
            <w:r>
              <w:rPr>
                <w:rFonts w:eastAsia="Times New Roman" w:cstheme="minorHAnsi"/>
                <w:bCs/>
                <w:szCs w:val="22"/>
              </w:rPr>
              <w:t>STR2</w:t>
            </w:r>
          </w:p>
        </w:tc>
        <w:tc>
          <w:tcPr>
            <w:tcW w:w="522" w:type="pct"/>
            <w:tcBorders>
              <w:top w:val="nil"/>
              <w:left w:val="nil"/>
              <w:bottom w:val="single" w:sz="4" w:space="0" w:color="auto"/>
              <w:right w:val="single" w:sz="4" w:space="0" w:color="auto"/>
            </w:tcBorders>
            <w:shd w:val="clear" w:color="auto" w:fill="auto"/>
            <w:noWrap/>
            <w:vAlign w:val="center"/>
          </w:tcPr>
          <w:p w:rsidR="00AB5156" w:rsidRPr="00277D96" w:rsidRDefault="001E6410" w:rsidP="0041031E">
            <w:pPr>
              <w:spacing w:before="0" w:line="240" w:lineRule="auto"/>
              <w:jc w:val="center"/>
              <w:rPr>
                <w:rFonts w:eastAsia="Times New Roman" w:cstheme="minorHAnsi"/>
                <w:bCs/>
                <w:szCs w:val="22"/>
              </w:rPr>
            </w:pPr>
            <w:r>
              <w:rPr>
                <w:rFonts w:eastAsia="Times New Roman" w:cstheme="minorHAnsi"/>
                <w:bCs/>
                <w:szCs w:val="22"/>
              </w:rPr>
              <w:t>STR2</w:t>
            </w:r>
          </w:p>
        </w:tc>
        <w:tc>
          <w:tcPr>
            <w:tcW w:w="521" w:type="pct"/>
            <w:tcBorders>
              <w:top w:val="nil"/>
              <w:left w:val="nil"/>
              <w:bottom w:val="single" w:sz="4" w:space="0" w:color="auto"/>
              <w:right w:val="single" w:sz="4" w:space="0" w:color="auto"/>
            </w:tcBorders>
            <w:shd w:val="clear" w:color="auto" w:fill="auto"/>
            <w:noWrap/>
            <w:vAlign w:val="center"/>
          </w:tcPr>
          <w:p w:rsidR="00AB5156" w:rsidRPr="00277D96" w:rsidRDefault="00AB5156" w:rsidP="0041031E">
            <w:pPr>
              <w:spacing w:before="0" w:line="240" w:lineRule="auto"/>
              <w:jc w:val="center"/>
              <w:rPr>
                <w:rFonts w:eastAsia="Times New Roman" w:cstheme="minorHAnsi"/>
                <w:bCs/>
                <w:szCs w:val="22"/>
              </w:rPr>
            </w:pPr>
            <w:r w:rsidRPr="00277D96">
              <w:rPr>
                <w:rFonts w:eastAsia="Times New Roman" w:cstheme="minorHAnsi"/>
                <w:bCs/>
                <w:szCs w:val="22"/>
              </w:rPr>
              <w:t>-</w:t>
            </w:r>
          </w:p>
        </w:tc>
        <w:tc>
          <w:tcPr>
            <w:tcW w:w="521" w:type="pct"/>
            <w:tcBorders>
              <w:top w:val="nil"/>
              <w:left w:val="nil"/>
              <w:bottom w:val="single" w:sz="4" w:space="0" w:color="auto"/>
              <w:right w:val="single" w:sz="4" w:space="0" w:color="auto"/>
            </w:tcBorders>
            <w:shd w:val="clear" w:color="auto" w:fill="auto"/>
            <w:noWrap/>
            <w:vAlign w:val="center"/>
          </w:tcPr>
          <w:p w:rsidR="00AB5156" w:rsidRPr="00277D96" w:rsidRDefault="00AB5156" w:rsidP="0041031E">
            <w:pPr>
              <w:spacing w:before="0" w:line="240" w:lineRule="auto"/>
              <w:jc w:val="center"/>
              <w:rPr>
                <w:rFonts w:eastAsia="Times New Roman" w:cstheme="minorHAnsi"/>
                <w:bCs/>
                <w:szCs w:val="22"/>
              </w:rPr>
            </w:pPr>
            <w:r w:rsidRPr="00277D96">
              <w:rPr>
                <w:rFonts w:eastAsia="Times New Roman" w:cstheme="minorHAnsi"/>
                <w:bCs/>
                <w:szCs w:val="22"/>
              </w:rPr>
              <w:t>-</w:t>
            </w:r>
          </w:p>
        </w:tc>
        <w:tc>
          <w:tcPr>
            <w:tcW w:w="521" w:type="pct"/>
            <w:tcBorders>
              <w:top w:val="nil"/>
              <w:left w:val="nil"/>
              <w:bottom w:val="single" w:sz="4" w:space="0" w:color="auto"/>
              <w:right w:val="single" w:sz="4" w:space="0" w:color="auto"/>
            </w:tcBorders>
            <w:shd w:val="clear" w:color="auto" w:fill="auto"/>
            <w:noWrap/>
            <w:vAlign w:val="center"/>
          </w:tcPr>
          <w:p w:rsidR="00AB5156" w:rsidRPr="00277D96" w:rsidRDefault="00AB5156" w:rsidP="0041031E">
            <w:pPr>
              <w:spacing w:before="0" w:line="240" w:lineRule="auto"/>
              <w:jc w:val="center"/>
              <w:rPr>
                <w:rFonts w:eastAsia="Times New Roman" w:cstheme="minorHAnsi"/>
                <w:bCs/>
                <w:szCs w:val="22"/>
              </w:rPr>
            </w:pPr>
            <w:r w:rsidRPr="00277D96">
              <w:rPr>
                <w:rFonts w:eastAsia="Times New Roman" w:cstheme="minorHAnsi"/>
                <w:bCs/>
                <w:szCs w:val="22"/>
              </w:rPr>
              <w:t>-</w:t>
            </w:r>
          </w:p>
        </w:tc>
        <w:tc>
          <w:tcPr>
            <w:tcW w:w="521" w:type="pct"/>
            <w:tcBorders>
              <w:top w:val="nil"/>
              <w:left w:val="nil"/>
              <w:bottom w:val="single" w:sz="4" w:space="0" w:color="auto"/>
              <w:right w:val="single" w:sz="4" w:space="0" w:color="auto"/>
            </w:tcBorders>
            <w:vAlign w:val="center"/>
          </w:tcPr>
          <w:p w:rsidR="00AB5156" w:rsidRPr="00277D96" w:rsidRDefault="00AB5156" w:rsidP="0041031E">
            <w:pPr>
              <w:spacing w:before="0" w:line="240" w:lineRule="auto"/>
              <w:jc w:val="center"/>
              <w:rPr>
                <w:rFonts w:eastAsia="Times New Roman" w:cstheme="minorHAnsi"/>
                <w:bCs/>
                <w:szCs w:val="22"/>
              </w:rPr>
            </w:pPr>
            <w:r w:rsidRPr="00277D96">
              <w:rPr>
                <w:rFonts w:eastAsia="Times New Roman" w:cstheme="minorHAnsi"/>
                <w:bCs/>
                <w:szCs w:val="22"/>
              </w:rPr>
              <w:t>-</w:t>
            </w:r>
          </w:p>
        </w:tc>
        <w:tc>
          <w:tcPr>
            <w:tcW w:w="520" w:type="pct"/>
            <w:tcBorders>
              <w:top w:val="nil"/>
              <w:left w:val="nil"/>
              <w:bottom w:val="single" w:sz="4" w:space="0" w:color="auto"/>
              <w:right w:val="single" w:sz="4" w:space="0" w:color="auto"/>
            </w:tcBorders>
            <w:vAlign w:val="center"/>
          </w:tcPr>
          <w:p w:rsidR="00AB5156" w:rsidRPr="00277D96" w:rsidRDefault="00AB5156" w:rsidP="0041031E">
            <w:pPr>
              <w:spacing w:before="0" w:line="240" w:lineRule="auto"/>
              <w:jc w:val="center"/>
              <w:rPr>
                <w:rFonts w:eastAsia="Times New Roman" w:cstheme="minorHAnsi"/>
                <w:bCs/>
                <w:szCs w:val="22"/>
              </w:rPr>
            </w:pPr>
            <w:r w:rsidRPr="00277D96">
              <w:rPr>
                <w:rFonts w:eastAsia="Times New Roman" w:cstheme="minorHAnsi"/>
                <w:bCs/>
                <w:szCs w:val="22"/>
              </w:rPr>
              <w:t>-</w:t>
            </w:r>
          </w:p>
        </w:tc>
        <w:tc>
          <w:tcPr>
            <w:tcW w:w="520" w:type="pct"/>
            <w:tcBorders>
              <w:top w:val="nil"/>
              <w:left w:val="nil"/>
              <w:bottom w:val="single" w:sz="4" w:space="0" w:color="auto"/>
              <w:right w:val="single" w:sz="4" w:space="0" w:color="auto"/>
            </w:tcBorders>
            <w:vAlign w:val="center"/>
          </w:tcPr>
          <w:p w:rsidR="00AB5156" w:rsidRPr="00277D96" w:rsidRDefault="00AB5156" w:rsidP="00AB5156">
            <w:pPr>
              <w:spacing w:before="0" w:line="240" w:lineRule="auto"/>
              <w:jc w:val="center"/>
              <w:rPr>
                <w:rFonts w:eastAsia="Times New Roman" w:cstheme="minorHAnsi"/>
                <w:bCs/>
                <w:szCs w:val="22"/>
              </w:rPr>
            </w:pPr>
            <w:r w:rsidRPr="00277D96">
              <w:rPr>
                <w:rFonts w:eastAsia="Times New Roman" w:cstheme="minorHAnsi"/>
                <w:bCs/>
                <w:szCs w:val="22"/>
              </w:rPr>
              <w:t>-</w:t>
            </w:r>
          </w:p>
        </w:tc>
      </w:tr>
    </w:tbl>
    <w:p w:rsidR="00E6424A" w:rsidRDefault="00E6424A" w:rsidP="00993408">
      <w:r w:rsidRPr="00E6424A">
        <w:t>Ekonomické hodnocení města poukazuje na stabilní trend jeho vývoje. Vychází z hospodaření města v minulosti a z nastavených trendů vývoje v budoucích pěti letech.</w:t>
      </w:r>
    </w:p>
    <w:p w:rsidR="00B01126" w:rsidRPr="004F4117" w:rsidRDefault="00B01126" w:rsidP="00993408">
      <w:pPr>
        <w:rPr>
          <w:highlight w:val="yellow"/>
        </w:rPr>
      </w:pPr>
    </w:p>
    <w:p w:rsidR="00D26773" w:rsidRDefault="00D26773" w:rsidP="00993408">
      <w:pPr>
        <w:rPr>
          <w:highlight w:val="yellow"/>
        </w:rPr>
        <w:sectPr w:rsidR="00D26773" w:rsidSect="00D07CE6">
          <w:footerReference w:type="default" r:id="rId74"/>
          <w:headerReference w:type="first" r:id="rId75"/>
          <w:footerReference w:type="first" r:id="rId76"/>
          <w:pgSz w:w="11906" w:h="16838"/>
          <w:pgMar w:top="1417" w:right="849" w:bottom="1236" w:left="3402" w:header="709" w:footer="280" w:gutter="0"/>
          <w:cols w:space="708"/>
          <w:docGrid w:linePitch="360"/>
        </w:sectPr>
      </w:pPr>
    </w:p>
    <w:p w:rsidR="00B01126" w:rsidRPr="00277D96" w:rsidRDefault="00B01126" w:rsidP="00D26773">
      <w:pPr>
        <w:pStyle w:val="Nadpis1"/>
        <w:numPr>
          <w:ilvl w:val="0"/>
          <w:numId w:val="0"/>
        </w:numPr>
        <w:ind w:left="431" w:hanging="431"/>
      </w:pPr>
      <w:bookmarkStart w:id="144" w:name="_Toc62211731"/>
      <w:bookmarkStart w:id="145" w:name="_Toc118978226"/>
      <w:r w:rsidRPr="00277D96">
        <w:lastRenderedPageBreak/>
        <w:t>Závěr</w:t>
      </w:r>
      <w:bookmarkEnd w:id="144"/>
      <w:bookmarkEnd w:id="145"/>
    </w:p>
    <w:p w:rsidR="006422DC" w:rsidRPr="003C5FCC" w:rsidRDefault="006422DC" w:rsidP="006422DC">
      <w:r w:rsidRPr="00277D96">
        <w:t xml:space="preserve">Střednědobý výhled rozpočtu pro období </w:t>
      </w:r>
      <w:proofErr w:type="gramStart"/>
      <w:r w:rsidR="00BB6E62">
        <w:t>2023 - 2027</w:t>
      </w:r>
      <w:proofErr w:type="gramEnd"/>
      <w:r w:rsidRPr="00277D96">
        <w:t xml:space="preserve"> vychází z podrobné analýzy hospodaření města v letech </w:t>
      </w:r>
      <w:r w:rsidR="00BB6E62">
        <w:t>2017</w:t>
      </w:r>
      <w:r w:rsidRPr="00277D96">
        <w:t xml:space="preserve"> - </w:t>
      </w:r>
      <w:r w:rsidR="00BB6E62">
        <w:t>2021</w:t>
      </w:r>
      <w:r>
        <w:t xml:space="preserve"> </w:t>
      </w:r>
      <w:r w:rsidRPr="00277D96">
        <w:t xml:space="preserve">a platného rozpočtu roku </w:t>
      </w:r>
      <w:r w:rsidR="00BB6E62">
        <w:t>2022</w:t>
      </w:r>
      <w:r w:rsidRPr="00277D96">
        <w:t xml:space="preserve">. </w:t>
      </w:r>
      <w:r w:rsidRPr="003C5FCC">
        <w:t xml:space="preserve">Na základě těchto analýz, s přihlédnutím k legislativním změnám (zrušení </w:t>
      </w:r>
      <w:proofErr w:type="spellStart"/>
      <w:r w:rsidRPr="003C5FCC">
        <w:t>superhrubé</w:t>
      </w:r>
      <w:proofErr w:type="spellEnd"/>
      <w:r w:rsidRPr="003C5FCC">
        <w:t xml:space="preserve"> mzdy a další opatření z „daňového balíčku“), současné ekonomické situaci ovlivněné jak doznívající </w:t>
      </w:r>
      <w:proofErr w:type="spellStart"/>
      <w:r w:rsidRPr="003C5FCC">
        <w:t>koronavirovou</w:t>
      </w:r>
      <w:proofErr w:type="spellEnd"/>
      <w:r w:rsidRPr="003C5FCC">
        <w:t xml:space="preserve"> </w:t>
      </w:r>
      <w:proofErr w:type="gramStart"/>
      <w:r w:rsidRPr="003C5FCC">
        <w:t>pandemií</w:t>
      </w:r>
      <w:proofErr w:type="gramEnd"/>
      <w:r w:rsidRPr="003C5FCC">
        <w:t xml:space="preserve"> tak nově vzniklou </w:t>
      </w:r>
      <w:r w:rsidRPr="001E6410">
        <w:t xml:space="preserve">energetickou krizí a bezprecedentně rostoucí inflací, spolu s konzultacemi s vedoucími pracovníky </w:t>
      </w:r>
      <w:r w:rsidR="001E6410" w:rsidRPr="001E6410">
        <w:t>o</w:t>
      </w:r>
      <w:r w:rsidRPr="001E6410">
        <w:t>dboru ekonomiky, byl sestaven</w:t>
      </w:r>
      <w:r w:rsidRPr="003C5FCC">
        <w:t xml:space="preserve"> střednědobý výhled rozpočtu města. </w:t>
      </w:r>
    </w:p>
    <w:p w:rsidR="0001255E" w:rsidRPr="0001255E" w:rsidRDefault="006422DC" w:rsidP="0001255E">
      <w:pPr>
        <w:rPr>
          <w:highlight w:val="green"/>
        </w:rPr>
      </w:pPr>
      <w:r w:rsidRPr="003C5FCC">
        <w:t xml:space="preserve">Samostatnou kapitolou jsou sdílené daně, jejichž inkaso bude závislé na ekonomickém vývoji ovlivňovaném současnou i budoucí zdravotní, politickou a </w:t>
      </w:r>
      <w:r w:rsidRPr="00A90E6D">
        <w:t xml:space="preserve">ekonomickou situací, které budou dozajista vyvolávat další legislativní změny v ekonomické oblasti. </w:t>
      </w:r>
      <w:r w:rsidR="00667666" w:rsidRPr="00A90E6D">
        <w:t xml:space="preserve">Pokud ve vývoji situace nedojde oproti očekávání k dalším zásadním změnám, lze počítat v jednotlivých letech </w:t>
      </w:r>
      <w:r w:rsidR="00C47E6D" w:rsidRPr="00A90E6D">
        <w:t xml:space="preserve">s hodnotami </w:t>
      </w:r>
      <w:r w:rsidR="001E6410" w:rsidRPr="00A90E6D">
        <w:t>uvedenými ve</w:t>
      </w:r>
      <w:r w:rsidR="00667666" w:rsidRPr="00A90E6D">
        <w:t xml:space="preserve"> středně</w:t>
      </w:r>
      <w:r w:rsidR="001E6410" w:rsidRPr="00A90E6D">
        <w:t>dobém</w:t>
      </w:r>
      <w:r w:rsidR="00667666" w:rsidRPr="00A90E6D">
        <w:t xml:space="preserve"> výhled</w:t>
      </w:r>
      <w:r w:rsidR="00A90E6D" w:rsidRPr="00A90E6D">
        <w:t>u rozpočtu</w:t>
      </w:r>
      <w:r w:rsidR="00667666" w:rsidRPr="00A90E6D">
        <w:t>.</w:t>
      </w:r>
      <w:r w:rsidR="0001255E" w:rsidRPr="00A90E6D">
        <w:t xml:space="preserve"> Na tuto skutečnost bylo upozorněno v grafu č. 20, kdy zpravidla docházelo k optimističtějšímu plnění oproti predikci MF (v průměru let </w:t>
      </w:r>
      <w:proofErr w:type="gramStart"/>
      <w:r w:rsidR="0001255E" w:rsidRPr="00A90E6D">
        <w:t>2017 – 2021</w:t>
      </w:r>
      <w:proofErr w:type="gramEnd"/>
      <w:r w:rsidR="0001255E" w:rsidRPr="00A90E6D">
        <w:t xml:space="preserve"> o </w:t>
      </w:r>
      <w:r w:rsidR="00BB6E62" w:rsidRPr="00A90E6D">
        <w:t>4,3 %</w:t>
      </w:r>
      <w:r w:rsidR="00A90E6D" w:rsidRPr="00A90E6D">
        <w:t>, resp. 1,3 % v období 2017 - 2020</w:t>
      </w:r>
      <w:r w:rsidR="0001255E" w:rsidRPr="00A90E6D">
        <w:t>).</w:t>
      </w:r>
    </w:p>
    <w:p w:rsidR="00A90E6D" w:rsidRPr="003F0D28" w:rsidRDefault="00667666" w:rsidP="00346904">
      <w:r w:rsidRPr="003F0D28">
        <w:t xml:space="preserve">Pozitivem v hospodaření je, že i po ekonomicky a finančně náročném roce 2020 </w:t>
      </w:r>
      <w:r w:rsidR="00A90E6D" w:rsidRPr="003F0D28">
        <w:t xml:space="preserve">a 2021 </w:t>
      </w:r>
      <w:r w:rsidR="000F051B" w:rsidRPr="003F0D28">
        <w:t>nenavýšilo město své dluhové zatížení</w:t>
      </w:r>
      <w:r w:rsidRPr="003F0D28">
        <w:t xml:space="preserve"> a z tohoto důvodu ukazatel dluhové služby, počítan</w:t>
      </w:r>
      <w:r w:rsidR="000F051B" w:rsidRPr="003F0D28">
        <w:t>ý</w:t>
      </w:r>
      <w:r w:rsidRPr="003F0D28">
        <w:t xml:space="preserve"> dle metodiky Ministerstva financí a </w:t>
      </w:r>
      <w:r w:rsidR="00E534FE" w:rsidRPr="003F0D28">
        <w:t>jí</w:t>
      </w:r>
      <w:r w:rsidRPr="003F0D28">
        <w:t xml:space="preserve"> povolené </w:t>
      </w:r>
      <w:r w:rsidRPr="003F0D28">
        <w:rPr>
          <w:b/>
        </w:rPr>
        <w:t>25 % hranice</w:t>
      </w:r>
      <w:r w:rsidRPr="003F0D28">
        <w:t xml:space="preserve">, </w:t>
      </w:r>
      <w:r w:rsidR="000F051B" w:rsidRPr="003F0D28">
        <w:t xml:space="preserve">nabývá maximální hodnoty </w:t>
      </w:r>
      <w:r w:rsidR="00BB6E62" w:rsidRPr="003F0D28">
        <w:t>1,27</w:t>
      </w:r>
      <w:r w:rsidR="000F051B" w:rsidRPr="003F0D28">
        <w:rPr>
          <w:b/>
        </w:rPr>
        <w:t xml:space="preserve"> %</w:t>
      </w:r>
      <w:r w:rsidR="00A90E6D" w:rsidRPr="003F0D28">
        <w:rPr>
          <w:b/>
        </w:rPr>
        <w:t xml:space="preserve"> </w:t>
      </w:r>
      <w:r w:rsidR="00A90E6D" w:rsidRPr="003F0D28">
        <w:t>v roce 2023 a dále je nulový</w:t>
      </w:r>
      <w:r w:rsidRPr="003F0D28">
        <w:t>.</w:t>
      </w:r>
      <w:r w:rsidR="00A90E6D" w:rsidRPr="003F0D28">
        <w:t xml:space="preserve"> Město v těchto letech sice zčásti omezilo svoji</w:t>
      </w:r>
      <w:r w:rsidR="00346904" w:rsidRPr="003F0D28">
        <w:t xml:space="preserve"> investiční aktivitu</w:t>
      </w:r>
      <w:r w:rsidR="00A90E6D" w:rsidRPr="003F0D28">
        <w:t>, v </w:t>
      </w:r>
      <w:r w:rsidR="00346904" w:rsidRPr="003F0D28">
        <w:t>rozpočtu</w:t>
      </w:r>
      <w:r w:rsidR="00A90E6D" w:rsidRPr="003F0D28">
        <w:t xml:space="preserve"> na rok 2022</w:t>
      </w:r>
      <w:r w:rsidR="00346904" w:rsidRPr="003F0D28">
        <w:t xml:space="preserve"> i násled</w:t>
      </w:r>
      <w:r w:rsidR="00A90E6D" w:rsidRPr="003F0D28">
        <w:t>ném návrhu rozpočtu na rok 2023 ovšem</w:t>
      </w:r>
      <w:r w:rsidR="00346904" w:rsidRPr="003F0D28">
        <w:t xml:space="preserve"> předpokládá výrazné investice, což se</w:t>
      </w:r>
      <w:r w:rsidR="00A90E6D" w:rsidRPr="003F0D28">
        <w:t xml:space="preserve"> může</w:t>
      </w:r>
      <w:r w:rsidR="00346904" w:rsidRPr="003F0D28">
        <w:t xml:space="preserve"> projev</w:t>
      </w:r>
      <w:r w:rsidR="00A90E6D" w:rsidRPr="003F0D28">
        <w:t>it</w:t>
      </w:r>
      <w:r w:rsidR="00346904" w:rsidRPr="003F0D28">
        <w:t xml:space="preserve"> mimo jiné také na úrovní jeho dluhového zatížení. </w:t>
      </w:r>
    </w:p>
    <w:p w:rsidR="003F0D28" w:rsidRDefault="001202B2" w:rsidP="001202B2">
      <w:r w:rsidRPr="004F15E3">
        <w:t xml:space="preserve">Důležitým ukazatelem hospodaření je provozní přebytek, který vyjadřuje jednak schopnost </w:t>
      </w:r>
      <w:r w:rsidR="00001561">
        <w:t>města</w:t>
      </w:r>
      <w:r w:rsidRPr="004F15E3">
        <w:t xml:space="preserve"> obhospodařovat případný dluh a také představuje hodnoty, </w:t>
      </w:r>
      <w:r w:rsidRPr="007F0646">
        <w:t xml:space="preserve">které jsou použitelné ke krytí investičních akcí. </w:t>
      </w:r>
      <w:r w:rsidR="00C4061D" w:rsidRPr="00C91E56">
        <w:t xml:space="preserve">Hodnoty ukazatele provozního přebytku v budoucím období jsou v průměru o </w:t>
      </w:r>
      <w:r w:rsidR="003F0D28" w:rsidRPr="00C91E56">
        <w:t>27,9</w:t>
      </w:r>
      <w:r w:rsidR="00C4061D" w:rsidRPr="00C91E56">
        <w:t xml:space="preserve"> </w:t>
      </w:r>
      <w:r w:rsidR="00911164" w:rsidRPr="00C91E56">
        <w:t xml:space="preserve">mil. Kč (o </w:t>
      </w:r>
      <w:r w:rsidR="003F0D28" w:rsidRPr="00C91E56">
        <w:t>14,3</w:t>
      </w:r>
      <w:r w:rsidR="00911164" w:rsidRPr="00C91E56">
        <w:t xml:space="preserve"> %) </w:t>
      </w:r>
      <w:r w:rsidR="003F0D28" w:rsidRPr="00C91E56">
        <w:t>nižší</w:t>
      </w:r>
      <w:r w:rsidR="00C4061D" w:rsidRPr="00C91E56">
        <w:t xml:space="preserve"> než v minulosti a dosahují v roce </w:t>
      </w:r>
      <w:r w:rsidR="003F0D28" w:rsidRPr="00C91E56">
        <w:t>2027</w:t>
      </w:r>
      <w:r w:rsidR="00C4061D" w:rsidRPr="00C91E56">
        <w:t xml:space="preserve"> maximální hodnoty </w:t>
      </w:r>
      <w:r w:rsidR="00BB6E62" w:rsidRPr="00C91E56">
        <w:t>208,2</w:t>
      </w:r>
      <w:r w:rsidR="00C4061D" w:rsidRPr="00C91E56">
        <w:t xml:space="preserve"> </w:t>
      </w:r>
      <w:r w:rsidR="00911164" w:rsidRPr="00C91E56">
        <w:t>mil</w:t>
      </w:r>
      <w:r w:rsidR="00911164" w:rsidRPr="00DA6167">
        <w:t>. Kč.</w:t>
      </w:r>
      <w:r w:rsidRPr="00DA6167">
        <w:t xml:space="preserve"> Uváděný z</w:t>
      </w:r>
      <w:r w:rsidR="003F0D28" w:rsidRPr="00DA6167">
        <w:t>horšený</w:t>
      </w:r>
      <w:r w:rsidRPr="00DA6167">
        <w:t xml:space="preserve"> provoz</w:t>
      </w:r>
      <w:r w:rsidR="00911164" w:rsidRPr="00DA6167">
        <w:t>n</w:t>
      </w:r>
      <w:r w:rsidRPr="00DA6167">
        <w:t xml:space="preserve">í přebytek souvisí, kromě </w:t>
      </w:r>
      <w:r w:rsidR="00001561" w:rsidRPr="00DA6167">
        <w:t>inflací zvýšených neinvestičních nákupů a transferů</w:t>
      </w:r>
      <w:r w:rsidRPr="00DA6167">
        <w:t xml:space="preserve">, mimo jiné také </w:t>
      </w:r>
      <w:r w:rsidR="00001561" w:rsidRPr="00DA6167">
        <w:t>s</w:t>
      </w:r>
      <w:r w:rsidR="003F0D28" w:rsidRPr="00DA6167">
        <w:t> rozpočtovanými neinvestičními rezervami (27,4 mil. Kč ročně)</w:t>
      </w:r>
      <w:r w:rsidR="00001561" w:rsidRPr="00DA6167">
        <w:t>.</w:t>
      </w:r>
    </w:p>
    <w:p w:rsidR="00667666" w:rsidRPr="00001561" w:rsidRDefault="000F051B" w:rsidP="00667666">
      <w:r w:rsidRPr="004F15E3">
        <w:t>H</w:t>
      </w:r>
      <w:r w:rsidR="00667666" w:rsidRPr="004F15E3">
        <w:t xml:space="preserve">odnoty ukazatele provozních úspor </w:t>
      </w:r>
      <w:r w:rsidRPr="004F15E3">
        <w:t xml:space="preserve">v budoucím období </w:t>
      </w:r>
      <w:r w:rsidR="00667666" w:rsidRPr="004F15E3">
        <w:t xml:space="preserve">jsou </w:t>
      </w:r>
      <w:r w:rsidR="00E10160">
        <w:t>v průměru o</w:t>
      </w:r>
      <w:r w:rsidR="00BD263D" w:rsidRPr="004F15E3">
        <w:t xml:space="preserve"> </w:t>
      </w:r>
      <w:proofErr w:type="gramStart"/>
      <w:r w:rsidR="00BB6E62">
        <w:t>5,5</w:t>
      </w:r>
      <w:r w:rsidR="00BD263D" w:rsidRPr="004F15E3">
        <w:t xml:space="preserve"> procentní</w:t>
      </w:r>
      <w:r w:rsidR="00E6424A">
        <w:t>ho</w:t>
      </w:r>
      <w:proofErr w:type="gramEnd"/>
      <w:r w:rsidR="00BD263D" w:rsidRPr="004F15E3">
        <w:t xml:space="preserve"> bod</w:t>
      </w:r>
      <w:r w:rsidR="00E6424A">
        <w:t>u</w:t>
      </w:r>
      <w:r w:rsidR="00BD263D" w:rsidRPr="004F15E3">
        <w:t xml:space="preserve"> </w:t>
      </w:r>
      <w:r w:rsidR="00BB6E62">
        <w:t>nižší</w:t>
      </w:r>
      <w:r w:rsidR="00BD263D" w:rsidRPr="004F15E3">
        <w:t xml:space="preserve"> </w:t>
      </w:r>
      <w:r w:rsidR="00E10160">
        <w:t>než</w:t>
      </w:r>
      <w:r w:rsidR="00BD263D" w:rsidRPr="004F15E3">
        <w:t xml:space="preserve"> v minulosti a </w:t>
      </w:r>
      <w:r w:rsidR="00667666" w:rsidRPr="004F15E3">
        <w:t>dosahují</w:t>
      </w:r>
      <w:r w:rsidR="00BD263D" w:rsidRPr="004F15E3">
        <w:t xml:space="preserve"> v roce </w:t>
      </w:r>
      <w:r w:rsidR="00BB6E62">
        <w:t>2027</w:t>
      </w:r>
      <w:r w:rsidR="00CF06A4">
        <w:t xml:space="preserve"> </w:t>
      </w:r>
      <w:r w:rsidR="00BD263D" w:rsidRPr="00001561">
        <w:t>maximální</w:t>
      </w:r>
      <w:r w:rsidR="00667666" w:rsidRPr="00001561">
        <w:t xml:space="preserve"> </w:t>
      </w:r>
      <w:r w:rsidR="00BD263D" w:rsidRPr="00001561">
        <w:t xml:space="preserve">hodnoty </w:t>
      </w:r>
      <w:r w:rsidR="00BB6E62" w:rsidRPr="00001561">
        <w:t>14,66</w:t>
      </w:r>
      <w:r w:rsidR="00A30BA1" w:rsidRPr="00001561">
        <w:t xml:space="preserve"> </w:t>
      </w:r>
      <w:r w:rsidR="00667666" w:rsidRPr="00001561">
        <w:t>%.</w:t>
      </w:r>
    </w:p>
    <w:p w:rsidR="009F709C" w:rsidRPr="004F15E3" w:rsidRDefault="009F709C" w:rsidP="009F709C">
      <w:r w:rsidRPr="00001561">
        <w:t>Vyšší hodnota bezpečné výše zadlužení (</w:t>
      </w:r>
      <w:r w:rsidR="00BB6E62" w:rsidRPr="00001561">
        <w:t>1 086,8</w:t>
      </w:r>
      <w:r w:rsidRPr="00001561">
        <w:t xml:space="preserve"> mil. Kč) než vypočítaná současná výše dluhu, kterou stanovují pravidla zákona o rozpočtové odpovědnosti (</w:t>
      </w:r>
      <w:r w:rsidR="00BB6E62" w:rsidRPr="00001561">
        <w:t>748,0</w:t>
      </w:r>
      <w:r w:rsidRPr="00001561">
        <w:t xml:space="preserve"> mil. Kč), je zapříčiněna zapojením širší škály ukazatelů do výpočtu, než pouze „zjednodušující“ průměrná výše příjmů za čtyři roky.</w:t>
      </w:r>
    </w:p>
    <w:p w:rsidR="00667666" w:rsidRPr="004F15E3" w:rsidRDefault="00667666" w:rsidP="00667666">
      <w:r w:rsidRPr="00001561">
        <w:t>Ekonomické hodnocení města je od</w:t>
      </w:r>
      <w:r w:rsidR="00922ADB" w:rsidRPr="00001561">
        <w:t xml:space="preserve"> roku 2021</w:t>
      </w:r>
      <w:r w:rsidRPr="00001561">
        <w:t xml:space="preserve"> koncipováno diametrálně odlišně. Je rozděleno na hodnocení minulého období (posledních pět</w:t>
      </w:r>
      <w:r w:rsidR="006422DC" w:rsidRPr="00001561">
        <w:t xml:space="preserve"> uzavřených</w:t>
      </w:r>
      <w:r w:rsidRPr="00001561">
        <w:t xml:space="preserve"> let) a hodnocení výhledu (predikce následujících pěti let </w:t>
      </w:r>
      <w:r w:rsidR="005D57FC" w:rsidRPr="00001561">
        <w:t>SVR</w:t>
      </w:r>
      <w:r w:rsidRPr="00001561">
        <w:t xml:space="preserve">). Hodnocení probíhá s </w:t>
      </w:r>
      <w:r w:rsidR="00251FA4" w:rsidRPr="00001561">
        <w:t>rozšířenou</w:t>
      </w:r>
      <w:r w:rsidRPr="00001561">
        <w:t xml:space="preserve"> sadou ukazatelů (oproti minulým hodnocením se sada ukazatelů rozšířil</w:t>
      </w:r>
      <w:r w:rsidR="00E534FE" w:rsidRPr="00001561">
        <w:t>a o dalších 8) pro obě hodnocená</w:t>
      </w:r>
      <w:r w:rsidRPr="00001561">
        <w:t xml:space="preserve"> období, ale každé období je prezentováno odlišnou hodnotící stupnicí. Pro posouzení </w:t>
      </w:r>
      <w:r w:rsidR="005D57FC" w:rsidRPr="00001561">
        <w:t>SVR</w:t>
      </w:r>
      <w:r w:rsidRPr="00001561">
        <w:t xml:space="preserve"> města je samozřejmě prioritní hodnocení výhledu</w:t>
      </w:r>
      <w:r w:rsidR="00FF528E" w:rsidRPr="00001561">
        <w:t>,</w:t>
      </w:r>
      <w:r w:rsidRPr="00001561">
        <w:t xml:space="preserve"> a to je pro město </w:t>
      </w:r>
      <w:r w:rsidR="00BB6E62" w:rsidRPr="00001561">
        <w:t>Chomutov</w:t>
      </w:r>
      <w:r w:rsidRPr="00001561">
        <w:t xml:space="preserve"> </w:t>
      </w:r>
      <w:proofErr w:type="gramStart"/>
      <w:r w:rsidRPr="00001561">
        <w:t xml:space="preserve">příznivé </w:t>
      </w:r>
      <w:r w:rsidR="00922ADB" w:rsidRPr="00001561">
        <w:t>-</w:t>
      </w:r>
      <w:r w:rsidRPr="00001561">
        <w:t xml:space="preserve"> jedná</w:t>
      </w:r>
      <w:proofErr w:type="gramEnd"/>
      <w:r w:rsidRPr="00001561">
        <w:t xml:space="preserve"> se o „</w:t>
      </w:r>
      <w:r w:rsidR="00C35808" w:rsidRPr="00001561">
        <w:t>Velmi dobrý subjekt s vysokou schopností splácet své aktuální závazky</w:t>
      </w:r>
      <w:r w:rsidRPr="00001561">
        <w:t>“.</w:t>
      </w:r>
    </w:p>
    <w:p w:rsidR="004D0FAA" w:rsidRDefault="006422DC" w:rsidP="00001561">
      <w:pPr>
        <w:rPr>
          <w:b/>
          <w:bCs/>
        </w:rPr>
      </w:pPr>
      <w:r w:rsidRPr="00A408CA">
        <w:t xml:space="preserve">Sestavování střednědobého výhledu rozpočtu je zatíženo značnou mírou nejistoty. Jedná se zejména o zmíněným délku trvání doznívající </w:t>
      </w:r>
      <w:proofErr w:type="spellStart"/>
      <w:r w:rsidRPr="00A408CA">
        <w:t>koronavirové</w:t>
      </w:r>
      <w:proofErr w:type="spellEnd"/>
      <w:r w:rsidRPr="00A408CA">
        <w:t xml:space="preserve"> pandemie a její vliv na vývoj ekonomiky, je nutné uvažovat i s vysokými cenami energií a zatím stále se zvyšující inflací, což je z velké míry důsledek válečného konfliktu na Ukrajině.</w:t>
      </w:r>
      <w:r>
        <w:t xml:space="preserve"> </w:t>
      </w:r>
      <w:r w:rsidRPr="00A408CA">
        <w:t>Dá se předpokládat, že tato situace ještě zvýší inkaso sdílených daní – DPFO placená plátci, tím že budou zaměstnávání ukrajinští uprchlíci a DPH poroste zvyšující se inflací. Ne druhé straně budou města</w:t>
      </w:r>
      <w:r>
        <w:t xml:space="preserve"> </w:t>
      </w:r>
      <w:r w:rsidRPr="00A408CA">
        <w:t>mít i vyšší výdaje spojené jak s určitou humanitární pomocí ukrajinským uprchlíkům a také v důsledku zvyšujících se cen energií, služeb a materiálu.</w:t>
      </w:r>
      <w:r w:rsidR="004D0FAA">
        <w:br w:type="page"/>
      </w:r>
    </w:p>
    <w:p w:rsidR="004D0FAA" w:rsidRPr="005B3686" w:rsidRDefault="005B3686" w:rsidP="009A770A">
      <w:pPr>
        <w:pStyle w:val="Tabulka"/>
      </w:pPr>
      <w:bookmarkStart w:id="146" w:name="_Toc118977800"/>
      <w:r>
        <w:lastRenderedPageBreak/>
        <w:t>Souhrnná tabulka hospodaření</w:t>
      </w:r>
      <w:bookmarkEnd w:id="146"/>
    </w:p>
    <w:p w:rsidR="004D0FAA" w:rsidRDefault="00313C51" w:rsidP="00D26773">
      <w:pPr>
        <w:pStyle w:val="Objekt"/>
      </w:pPr>
      <w:r w:rsidRPr="00313C51">
        <w:rPr>
          <w:noProof/>
          <w:lang w:eastAsia="cs-CZ"/>
        </w:rPr>
        <w:drawing>
          <wp:inline distT="0" distB="0" distL="0" distR="0">
            <wp:extent cx="6480810" cy="8443438"/>
            <wp:effectExtent l="0" t="0" r="0" b="0"/>
            <wp:docPr id="694" name="Obrázek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480810" cy="8443438"/>
                    </a:xfrm>
                    <a:prstGeom prst="rect">
                      <a:avLst/>
                    </a:prstGeom>
                    <a:noFill/>
                    <a:ln>
                      <a:noFill/>
                    </a:ln>
                  </pic:spPr>
                </pic:pic>
              </a:graphicData>
            </a:graphic>
          </wp:inline>
        </w:drawing>
      </w:r>
    </w:p>
    <w:p w:rsidR="003137C1" w:rsidRDefault="003137C1" w:rsidP="00A2717D">
      <w:pPr>
        <w:pStyle w:val="Objekt"/>
      </w:pPr>
      <w:r>
        <w:br w:type="page"/>
      </w:r>
    </w:p>
    <w:p w:rsidR="00610F4B" w:rsidRPr="00793D98" w:rsidRDefault="0046149B" w:rsidP="00E02E36">
      <w:pPr>
        <w:pStyle w:val="Nadpis1"/>
        <w:numPr>
          <w:ilvl w:val="0"/>
          <w:numId w:val="0"/>
        </w:numPr>
        <w:ind w:left="431" w:hanging="431"/>
      </w:pPr>
      <w:bookmarkStart w:id="147" w:name="_Toc118978227"/>
      <w:bookmarkStart w:id="148" w:name="_Toc354550545"/>
      <w:bookmarkStart w:id="149" w:name="_Toc428350382"/>
      <w:r w:rsidRPr="00793D98">
        <w:lastRenderedPageBreak/>
        <w:t>Seznam tabulek</w:t>
      </w:r>
      <w:r w:rsidR="00472D86">
        <w:t xml:space="preserve"> a</w:t>
      </w:r>
      <w:r w:rsidRPr="00793D98">
        <w:t xml:space="preserve"> grafů</w:t>
      </w:r>
      <w:bookmarkEnd w:id="147"/>
    </w:p>
    <w:p w:rsidR="00DA6167" w:rsidRDefault="00C3021F">
      <w:pPr>
        <w:pStyle w:val="Seznamobrzk"/>
        <w:rPr>
          <w:noProof/>
          <w:szCs w:val="22"/>
          <w:lang w:eastAsia="cs-CZ"/>
        </w:rPr>
      </w:pPr>
      <w:r>
        <w:rPr>
          <w:rStyle w:val="Hypertextovodkaz"/>
          <w:b/>
          <w:color w:val="2E3192"/>
        </w:rPr>
        <w:fldChar w:fldCharType="begin"/>
      </w:r>
      <w:r w:rsidR="00572F00">
        <w:rPr>
          <w:rStyle w:val="Hypertextovodkaz"/>
          <w:b/>
          <w:color w:val="2E3192"/>
        </w:rPr>
        <w:instrText xml:space="preserve"> TOC \h \z \t "Tabulka" \c </w:instrText>
      </w:r>
      <w:r>
        <w:rPr>
          <w:rStyle w:val="Hypertextovodkaz"/>
          <w:b/>
          <w:color w:val="2E3192"/>
        </w:rPr>
        <w:fldChar w:fldCharType="separate"/>
      </w:r>
      <w:hyperlink w:anchor="_Toc118977782" w:history="1">
        <w:r w:rsidR="00DA6167" w:rsidRPr="00E96DB7">
          <w:rPr>
            <w:rStyle w:val="Hypertextovodkaz"/>
            <w:noProof/>
          </w:rPr>
          <w:t>Tabulka č. 1:</w:t>
        </w:r>
        <w:r w:rsidR="00DA6167">
          <w:rPr>
            <w:noProof/>
            <w:szCs w:val="22"/>
            <w:lang w:eastAsia="cs-CZ"/>
          </w:rPr>
          <w:tab/>
        </w:r>
        <w:r w:rsidR="00DA6167" w:rsidRPr="00E96DB7">
          <w:rPr>
            <w:rStyle w:val="Hypertextovodkaz"/>
            <w:noProof/>
          </w:rPr>
          <w:t>Přehled vývoje příjmů</w:t>
        </w:r>
        <w:r w:rsidR="00DA6167">
          <w:rPr>
            <w:noProof/>
            <w:webHidden/>
          </w:rPr>
          <w:tab/>
        </w:r>
        <w:r w:rsidR="00DA6167">
          <w:rPr>
            <w:noProof/>
            <w:webHidden/>
          </w:rPr>
          <w:fldChar w:fldCharType="begin"/>
        </w:r>
        <w:r w:rsidR="00DA6167">
          <w:rPr>
            <w:noProof/>
            <w:webHidden/>
          </w:rPr>
          <w:instrText xml:space="preserve"> PAGEREF _Toc118977782 \h </w:instrText>
        </w:r>
        <w:r w:rsidR="00DA6167">
          <w:rPr>
            <w:noProof/>
            <w:webHidden/>
          </w:rPr>
        </w:r>
        <w:r w:rsidR="00DA6167">
          <w:rPr>
            <w:noProof/>
            <w:webHidden/>
          </w:rPr>
          <w:fldChar w:fldCharType="separate"/>
        </w:r>
        <w:r w:rsidR="00DA6167">
          <w:rPr>
            <w:noProof/>
            <w:webHidden/>
          </w:rPr>
          <w:t>6</w:t>
        </w:r>
        <w:r w:rsidR="00DA6167">
          <w:rPr>
            <w:noProof/>
            <w:webHidden/>
          </w:rPr>
          <w:fldChar w:fldCharType="end"/>
        </w:r>
      </w:hyperlink>
    </w:p>
    <w:p w:rsidR="00DA6167" w:rsidRDefault="00CA6AB8">
      <w:pPr>
        <w:pStyle w:val="Seznamobrzk"/>
        <w:rPr>
          <w:noProof/>
          <w:szCs w:val="22"/>
          <w:lang w:eastAsia="cs-CZ"/>
        </w:rPr>
      </w:pPr>
      <w:hyperlink w:anchor="_Toc118977783" w:history="1">
        <w:r w:rsidR="00DA6167" w:rsidRPr="00E96DB7">
          <w:rPr>
            <w:rStyle w:val="Hypertextovodkaz"/>
            <w:noProof/>
          </w:rPr>
          <w:t>Tabulka č. 2:</w:t>
        </w:r>
        <w:r w:rsidR="00DA6167">
          <w:rPr>
            <w:noProof/>
            <w:szCs w:val="22"/>
            <w:lang w:eastAsia="cs-CZ"/>
          </w:rPr>
          <w:tab/>
        </w:r>
        <w:r w:rsidR="00DA6167" w:rsidRPr="00E96DB7">
          <w:rPr>
            <w:rStyle w:val="Hypertextovodkaz"/>
            <w:noProof/>
          </w:rPr>
          <w:t>Predikce sdílených daní na aktuální rok</w:t>
        </w:r>
        <w:r w:rsidR="00DA6167">
          <w:rPr>
            <w:noProof/>
            <w:webHidden/>
          </w:rPr>
          <w:tab/>
        </w:r>
        <w:r w:rsidR="00DA6167">
          <w:rPr>
            <w:noProof/>
            <w:webHidden/>
          </w:rPr>
          <w:fldChar w:fldCharType="begin"/>
        </w:r>
        <w:r w:rsidR="00DA6167">
          <w:rPr>
            <w:noProof/>
            <w:webHidden/>
          </w:rPr>
          <w:instrText xml:space="preserve"> PAGEREF _Toc118977783 \h </w:instrText>
        </w:r>
        <w:r w:rsidR="00DA6167">
          <w:rPr>
            <w:noProof/>
            <w:webHidden/>
          </w:rPr>
        </w:r>
        <w:r w:rsidR="00DA6167">
          <w:rPr>
            <w:noProof/>
            <w:webHidden/>
          </w:rPr>
          <w:fldChar w:fldCharType="separate"/>
        </w:r>
        <w:r w:rsidR="00DA6167">
          <w:rPr>
            <w:noProof/>
            <w:webHidden/>
          </w:rPr>
          <w:t>9</w:t>
        </w:r>
        <w:r w:rsidR="00DA6167">
          <w:rPr>
            <w:noProof/>
            <w:webHidden/>
          </w:rPr>
          <w:fldChar w:fldCharType="end"/>
        </w:r>
      </w:hyperlink>
    </w:p>
    <w:p w:rsidR="00DA6167" w:rsidRDefault="00CA6AB8">
      <w:pPr>
        <w:pStyle w:val="Seznamobrzk"/>
        <w:rPr>
          <w:noProof/>
          <w:szCs w:val="22"/>
          <w:lang w:eastAsia="cs-CZ"/>
        </w:rPr>
      </w:pPr>
      <w:hyperlink w:anchor="_Toc118977784" w:history="1">
        <w:r w:rsidR="00DA6167" w:rsidRPr="00E96DB7">
          <w:rPr>
            <w:rStyle w:val="Hypertextovodkaz"/>
            <w:noProof/>
          </w:rPr>
          <w:t>Tabulka č. 3:</w:t>
        </w:r>
        <w:r w:rsidR="00DA6167">
          <w:rPr>
            <w:noProof/>
            <w:szCs w:val="22"/>
            <w:lang w:eastAsia="cs-CZ"/>
          </w:rPr>
          <w:tab/>
        </w:r>
        <w:r w:rsidR="00DA6167" w:rsidRPr="00E96DB7">
          <w:rPr>
            <w:rStyle w:val="Hypertextovodkaz"/>
            <w:noProof/>
          </w:rPr>
          <w:t>Rekapitulace výdajů</w:t>
        </w:r>
        <w:r w:rsidR="00DA6167">
          <w:rPr>
            <w:noProof/>
            <w:webHidden/>
          </w:rPr>
          <w:tab/>
        </w:r>
        <w:r w:rsidR="00DA6167">
          <w:rPr>
            <w:noProof/>
            <w:webHidden/>
          </w:rPr>
          <w:fldChar w:fldCharType="begin"/>
        </w:r>
        <w:r w:rsidR="00DA6167">
          <w:rPr>
            <w:noProof/>
            <w:webHidden/>
          </w:rPr>
          <w:instrText xml:space="preserve"> PAGEREF _Toc118977784 \h </w:instrText>
        </w:r>
        <w:r w:rsidR="00DA6167">
          <w:rPr>
            <w:noProof/>
            <w:webHidden/>
          </w:rPr>
        </w:r>
        <w:r w:rsidR="00DA6167">
          <w:rPr>
            <w:noProof/>
            <w:webHidden/>
          </w:rPr>
          <w:fldChar w:fldCharType="separate"/>
        </w:r>
        <w:r w:rsidR="00DA6167">
          <w:rPr>
            <w:noProof/>
            <w:webHidden/>
          </w:rPr>
          <w:t>12</w:t>
        </w:r>
        <w:r w:rsidR="00DA6167">
          <w:rPr>
            <w:noProof/>
            <w:webHidden/>
          </w:rPr>
          <w:fldChar w:fldCharType="end"/>
        </w:r>
      </w:hyperlink>
    </w:p>
    <w:p w:rsidR="00DA6167" w:rsidRDefault="00CA6AB8">
      <w:pPr>
        <w:pStyle w:val="Seznamobrzk"/>
        <w:rPr>
          <w:noProof/>
          <w:szCs w:val="22"/>
          <w:lang w:eastAsia="cs-CZ"/>
        </w:rPr>
      </w:pPr>
      <w:hyperlink w:anchor="_Toc118977785" w:history="1">
        <w:r w:rsidR="00DA6167" w:rsidRPr="00E96DB7">
          <w:rPr>
            <w:rStyle w:val="Hypertextovodkaz"/>
            <w:noProof/>
          </w:rPr>
          <w:t>Tabulka č. 4:</w:t>
        </w:r>
        <w:r w:rsidR="00DA6167">
          <w:rPr>
            <w:noProof/>
            <w:szCs w:val="22"/>
            <w:lang w:eastAsia="cs-CZ"/>
          </w:rPr>
          <w:tab/>
        </w:r>
        <w:r w:rsidR="00DA6167" w:rsidRPr="00E96DB7">
          <w:rPr>
            <w:rStyle w:val="Hypertextovodkaz"/>
            <w:noProof/>
          </w:rPr>
          <w:t>Rekapitulace hospodaření</w:t>
        </w:r>
        <w:r w:rsidR="00DA6167">
          <w:rPr>
            <w:noProof/>
            <w:webHidden/>
          </w:rPr>
          <w:tab/>
        </w:r>
        <w:r w:rsidR="00DA6167">
          <w:rPr>
            <w:noProof/>
            <w:webHidden/>
          </w:rPr>
          <w:fldChar w:fldCharType="begin"/>
        </w:r>
        <w:r w:rsidR="00DA6167">
          <w:rPr>
            <w:noProof/>
            <w:webHidden/>
          </w:rPr>
          <w:instrText xml:space="preserve"> PAGEREF _Toc118977785 \h </w:instrText>
        </w:r>
        <w:r w:rsidR="00DA6167">
          <w:rPr>
            <w:noProof/>
            <w:webHidden/>
          </w:rPr>
        </w:r>
        <w:r w:rsidR="00DA6167">
          <w:rPr>
            <w:noProof/>
            <w:webHidden/>
          </w:rPr>
          <w:fldChar w:fldCharType="separate"/>
        </w:r>
        <w:r w:rsidR="00DA6167">
          <w:rPr>
            <w:noProof/>
            <w:webHidden/>
          </w:rPr>
          <w:t>15</w:t>
        </w:r>
        <w:r w:rsidR="00DA6167">
          <w:rPr>
            <w:noProof/>
            <w:webHidden/>
          </w:rPr>
          <w:fldChar w:fldCharType="end"/>
        </w:r>
      </w:hyperlink>
    </w:p>
    <w:p w:rsidR="00DA6167" w:rsidRDefault="00CA6AB8">
      <w:pPr>
        <w:pStyle w:val="Seznamobrzk"/>
        <w:rPr>
          <w:noProof/>
          <w:szCs w:val="22"/>
          <w:lang w:eastAsia="cs-CZ"/>
        </w:rPr>
      </w:pPr>
      <w:hyperlink w:anchor="_Toc118977786" w:history="1">
        <w:r w:rsidR="00DA6167" w:rsidRPr="00E96DB7">
          <w:rPr>
            <w:rStyle w:val="Hypertextovodkaz"/>
            <w:noProof/>
          </w:rPr>
          <w:t>Tabulka č. 5:</w:t>
        </w:r>
        <w:r w:rsidR="00DA6167">
          <w:rPr>
            <w:noProof/>
            <w:szCs w:val="22"/>
            <w:lang w:eastAsia="cs-CZ"/>
          </w:rPr>
          <w:tab/>
        </w:r>
        <w:r w:rsidR="00DA6167" w:rsidRPr="00E96DB7">
          <w:rPr>
            <w:rStyle w:val="Hypertextovodkaz"/>
            <w:noProof/>
          </w:rPr>
          <w:t>Upravený rozpočet a skutečnost minulého období</w:t>
        </w:r>
        <w:r w:rsidR="00DA6167">
          <w:rPr>
            <w:noProof/>
            <w:webHidden/>
          </w:rPr>
          <w:tab/>
        </w:r>
        <w:r w:rsidR="00DA6167">
          <w:rPr>
            <w:noProof/>
            <w:webHidden/>
          </w:rPr>
          <w:fldChar w:fldCharType="begin"/>
        </w:r>
        <w:r w:rsidR="00DA6167">
          <w:rPr>
            <w:noProof/>
            <w:webHidden/>
          </w:rPr>
          <w:instrText xml:space="preserve"> PAGEREF _Toc118977786 \h </w:instrText>
        </w:r>
        <w:r w:rsidR="00DA6167">
          <w:rPr>
            <w:noProof/>
            <w:webHidden/>
          </w:rPr>
        </w:r>
        <w:r w:rsidR="00DA6167">
          <w:rPr>
            <w:noProof/>
            <w:webHidden/>
          </w:rPr>
          <w:fldChar w:fldCharType="separate"/>
        </w:r>
        <w:r w:rsidR="00DA6167">
          <w:rPr>
            <w:noProof/>
            <w:webHidden/>
          </w:rPr>
          <w:t>18</w:t>
        </w:r>
        <w:r w:rsidR="00DA6167">
          <w:rPr>
            <w:noProof/>
            <w:webHidden/>
          </w:rPr>
          <w:fldChar w:fldCharType="end"/>
        </w:r>
      </w:hyperlink>
    </w:p>
    <w:p w:rsidR="00DA6167" w:rsidRDefault="00CA6AB8">
      <w:pPr>
        <w:pStyle w:val="Seznamobrzk"/>
        <w:rPr>
          <w:noProof/>
          <w:szCs w:val="22"/>
          <w:lang w:eastAsia="cs-CZ"/>
        </w:rPr>
      </w:pPr>
      <w:hyperlink w:anchor="_Toc118977787" w:history="1">
        <w:r w:rsidR="00DA6167" w:rsidRPr="00E96DB7">
          <w:rPr>
            <w:rStyle w:val="Hypertextovodkaz"/>
            <w:noProof/>
          </w:rPr>
          <w:t>Tabulka č. 6:</w:t>
        </w:r>
        <w:r w:rsidR="00DA6167">
          <w:rPr>
            <w:noProof/>
            <w:szCs w:val="22"/>
            <w:lang w:eastAsia="cs-CZ"/>
          </w:rPr>
          <w:tab/>
        </w:r>
        <w:r w:rsidR="00DA6167" w:rsidRPr="00E96DB7">
          <w:rPr>
            <w:rStyle w:val="Hypertextovodkaz"/>
            <w:noProof/>
          </w:rPr>
          <w:t>Fiskální pravidlo hospodaření</w:t>
        </w:r>
        <w:r w:rsidR="00DA6167">
          <w:rPr>
            <w:noProof/>
            <w:webHidden/>
          </w:rPr>
          <w:tab/>
        </w:r>
        <w:r w:rsidR="00DA6167">
          <w:rPr>
            <w:noProof/>
            <w:webHidden/>
          </w:rPr>
          <w:fldChar w:fldCharType="begin"/>
        </w:r>
        <w:r w:rsidR="00DA6167">
          <w:rPr>
            <w:noProof/>
            <w:webHidden/>
          </w:rPr>
          <w:instrText xml:space="preserve"> PAGEREF _Toc118977787 \h </w:instrText>
        </w:r>
        <w:r w:rsidR="00DA6167">
          <w:rPr>
            <w:noProof/>
            <w:webHidden/>
          </w:rPr>
        </w:r>
        <w:r w:rsidR="00DA6167">
          <w:rPr>
            <w:noProof/>
            <w:webHidden/>
          </w:rPr>
          <w:fldChar w:fldCharType="separate"/>
        </w:r>
        <w:r w:rsidR="00DA6167">
          <w:rPr>
            <w:noProof/>
            <w:webHidden/>
          </w:rPr>
          <w:t>19</w:t>
        </w:r>
        <w:r w:rsidR="00DA6167">
          <w:rPr>
            <w:noProof/>
            <w:webHidden/>
          </w:rPr>
          <w:fldChar w:fldCharType="end"/>
        </w:r>
      </w:hyperlink>
    </w:p>
    <w:p w:rsidR="00DA6167" w:rsidRDefault="00CA6AB8">
      <w:pPr>
        <w:pStyle w:val="Seznamobrzk"/>
        <w:rPr>
          <w:noProof/>
          <w:szCs w:val="22"/>
          <w:lang w:eastAsia="cs-CZ"/>
        </w:rPr>
      </w:pPr>
      <w:hyperlink w:anchor="_Toc118977788" w:history="1">
        <w:r w:rsidR="00DA6167" w:rsidRPr="00E96DB7">
          <w:rPr>
            <w:rStyle w:val="Hypertextovodkaz"/>
            <w:noProof/>
          </w:rPr>
          <w:t>Tabulka č. 7:</w:t>
        </w:r>
        <w:r w:rsidR="00DA6167">
          <w:rPr>
            <w:noProof/>
            <w:szCs w:val="22"/>
            <w:lang w:eastAsia="cs-CZ"/>
          </w:rPr>
          <w:tab/>
        </w:r>
        <w:r w:rsidR="00DA6167" w:rsidRPr="00E96DB7">
          <w:rPr>
            <w:rStyle w:val="Hypertextovodkaz"/>
            <w:noProof/>
          </w:rPr>
          <w:t>Vývoj ukazatelů dluhového hospodaření</w:t>
        </w:r>
        <w:r w:rsidR="00DA6167">
          <w:rPr>
            <w:noProof/>
            <w:webHidden/>
          </w:rPr>
          <w:tab/>
        </w:r>
        <w:r w:rsidR="00DA6167">
          <w:rPr>
            <w:noProof/>
            <w:webHidden/>
          </w:rPr>
          <w:fldChar w:fldCharType="begin"/>
        </w:r>
        <w:r w:rsidR="00DA6167">
          <w:rPr>
            <w:noProof/>
            <w:webHidden/>
          </w:rPr>
          <w:instrText xml:space="preserve"> PAGEREF _Toc118977788 \h </w:instrText>
        </w:r>
        <w:r w:rsidR="00DA6167">
          <w:rPr>
            <w:noProof/>
            <w:webHidden/>
          </w:rPr>
        </w:r>
        <w:r w:rsidR="00DA6167">
          <w:rPr>
            <w:noProof/>
            <w:webHidden/>
          </w:rPr>
          <w:fldChar w:fldCharType="separate"/>
        </w:r>
        <w:r w:rsidR="00DA6167">
          <w:rPr>
            <w:noProof/>
            <w:webHidden/>
          </w:rPr>
          <w:t>19</w:t>
        </w:r>
        <w:r w:rsidR="00DA6167">
          <w:rPr>
            <w:noProof/>
            <w:webHidden/>
          </w:rPr>
          <w:fldChar w:fldCharType="end"/>
        </w:r>
      </w:hyperlink>
    </w:p>
    <w:p w:rsidR="00DA6167" w:rsidRDefault="00CA6AB8">
      <w:pPr>
        <w:pStyle w:val="Seznamobrzk"/>
        <w:rPr>
          <w:noProof/>
          <w:szCs w:val="22"/>
          <w:lang w:eastAsia="cs-CZ"/>
        </w:rPr>
      </w:pPr>
      <w:hyperlink w:anchor="_Toc118977789" w:history="1">
        <w:r w:rsidR="00DA6167" w:rsidRPr="00E96DB7">
          <w:rPr>
            <w:rStyle w:val="Hypertextovodkaz"/>
            <w:noProof/>
          </w:rPr>
          <w:t>Tabulka č. 8:</w:t>
        </w:r>
        <w:r w:rsidR="00DA6167">
          <w:rPr>
            <w:noProof/>
            <w:szCs w:val="22"/>
            <w:lang w:eastAsia="cs-CZ"/>
          </w:rPr>
          <w:tab/>
        </w:r>
        <w:r w:rsidR="00DA6167" w:rsidRPr="00E96DB7">
          <w:rPr>
            <w:rStyle w:val="Hypertextovodkaz"/>
            <w:noProof/>
          </w:rPr>
          <w:t>Vývoj cash flow a platební schopnosti</w:t>
        </w:r>
        <w:r w:rsidR="00DA6167">
          <w:rPr>
            <w:noProof/>
            <w:webHidden/>
          </w:rPr>
          <w:tab/>
        </w:r>
        <w:r w:rsidR="00DA6167">
          <w:rPr>
            <w:noProof/>
            <w:webHidden/>
          </w:rPr>
          <w:fldChar w:fldCharType="begin"/>
        </w:r>
        <w:r w:rsidR="00DA6167">
          <w:rPr>
            <w:noProof/>
            <w:webHidden/>
          </w:rPr>
          <w:instrText xml:space="preserve"> PAGEREF _Toc118977789 \h </w:instrText>
        </w:r>
        <w:r w:rsidR="00DA6167">
          <w:rPr>
            <w:noProof/>
            <w:webHidden/>
          </w:rPr>
        </w:r>
        <w:r w:rsidR="00DA6167">
          <w:rPr>
            <w:noProof/>
            <w:webHidden/>
          </w:rPr>
          <w:fldChar w:fldCharType="separate"/>
        </w:r>
        <w:r w:rsidR="00DA6167">
          <w:rPr>
            <w:noProof/>
            <w:webHidden/>
          </w:rPr>
          <w:t>20</w:t>
        </w:r>
        <w:r w:rsidR="00DA6167">
          <w:rPr>
            <w:noProof/>
            <w:webHidden/>
          </w:rPr>
          <w:fldChar w:fldCharType="end"/>
        </w:r>
      </w:hyperlink>
    </w:p>
    <w:p w:rsidR="00DA6167" w:rsidRDefault="00CA6AB8">
      <w:pPr>
        <w:pStyle w:val="Seznamobrzk"/>
        <w:rPr>
          <w:noProof/>
          <w:szCs w:val="22"/>
          <w:lang w:eastAsia="cs-CZ"/>
        </w:rPr>
      </w:pPr>
      <w:hyperlink w:anchor="_Toc118977790" w:history="1">
        <w:r w:rsidR="00DA6167" w:rsidRPr="00E96DB7">
          <w:rPr>
            <w:rStyle w:val="Hypertextovodkaz"/>
            <w:noProof/>
          </w:rPr>
          <w:t>Tabulka č. 9:</w:t>
        </w:r>
        <w:r w:rsidR="00DA6167">
          <w:rPr>
            <w:noProof/>
            <w:szCs w:val="22"/>
            <w:lang w:eastAsia="cs-CZ"/>
          </w:rPr>
          <w:tab/>
        </w:r>
        <w:r w:rsidR="00DA6167" w:rsidRPr="00E96DB7">
          <w:rPr>
            <w:rStyle w:val="Hypertextovodkaz"/>
            <w:noProof/>
          </w:rPr>
          <w:t>Kumulovaný střednědobý výhled rozpočtu</w:t>
        </w:r>
        <w:r w:rsidR="00DA6167">
          <w:rPr>
            <w:noProof/>
            <w:webHidden/>
          </w:rPr>
          <w:tab/>
        </w:r>
        <w:r w:rsidR="00DA6167">
          <w:rPr>
            <w:noProof/>
            <w:webHidden/>
          </w:rPr>
          <w:fldChar w:fldCharType="begin"/>
        </w:r>
        <w:r w:rsidR="00DA6167">
          <w:rPr>
            <w:noProof/>
            <w:webHidden/>
          </w:rPr>
          <w:instrText xml:space="preserve"> PAGEREF _Toc118977790 \h </w:instrText>
        </w:r>
        <w:r w:rsidR="00DA6167">
          <w:rPr>
            <w:noProof/>
            <w:webHidden/>
          </w:rPr>
        </w:r>
        <w:r w:rsidR="00DA6167">
          <w:rPr>
            <w:noProof/>
            <w:webHidden/>
          </w:rPr>
          <w:fldChar w:fldCharType="separate"/>
        </w:r>
        <w:r w:rsidR="00DA6167">
          <w:rPr>
            <w:noProof/>
            <w:webHidden/>
          </w:rPr>
          <w:t>24</w:t>
        </w:r>
        <w:r w:rsidR="00DA6167">
          <w:rPr>
            <w:noProof/>
            <w:webHidden/>
          </w:rPr>
          <w:fldChar w:fldCharType="end"/>
        </w:r>
      </w:hyperlink>
    </w:p>
    <w:p w:rsidR="00DA6167" w:rsidRDefault="00CA6AB8">
      <w:pPr>
        <w:pStyle w:val="Seznamobrzk"/>
        <w:rPr>
          <w:noProof/>
          <w:szCs w:val="22"/>
          <w:lang w:eastAsia="cs-CZ"/>
        </w:rPr>
      </w:pPr>
      <w:hyperlink w:anchor="_Toc118977791" w:history="1">
        <w:r w:rsidR="00DA6167" w:rsidRPr="00E96DB7">
          <w:rPr>
            <w:rStyle w:val="Hypertextovodkaz"/>
            <w:noProof/>
          </w:rPr>
          <w:t>Tabulka č. 10:</w:t>
        </w:r>
        <w:r w:rsidR="00DA6167">
          <w:rPr>
            <w:noProof/>
            <w:szCs w:val="22"/>
            <w:lang w:eastAsia="cs-CZ"/>
          </w:rPr>
          <w:tab/>
        </w:r>
        <w:r w:rsidR="00DA6167" w:rsidRPr="00E96DB7">
          <w:rPr>
            <w:rStyle w:val="Hypertextovodkaz"/>
            <w:noProof/>
          </w:rPr>
          <w:t>Volné finanční prostředky</w:t>
        </w:r>
        <w:r w:rsidR="00DA6167">
          <w:rPr>
            <w:noProof/>
            <w:webHidden/>
          </w:rPr>
          <w:tab/>
        </w:r>
        <w:r w:rsidR="00DA6167">
          <w:rPr>
            <w:noProof/>
            <w:webHidden/>
          </w:rPr>
          <w:fldChar w:fldCharType="begin"/>
        </w:r>
        <w:r w:rsidR="00DA6167">
          <w:rPr>
            <w:noProof/>
            <w:webHidden/>
          </w:rPr>
          <w:instrText xml:space="preserve"> PAGEREF _Toc118977791 \h </w:instrText>
        </w:r>
        <w:r w:rsidR="00DA6167">
          <w:rPr>
            <w:noProof/>
            <w:webHidden/>
          </w:rPr>
        </w:r>
        <w:r w:rsidR="00DA6167">
          <w:rPr>
            <w:noProof/>
            <w:webHidden/>
          </w:rPr>
          <w:fldChar w:fldCharType="separate"/>
        </w:r>
        <w:r w:rsidR="00DA6167">
          <w:rPr>
            <w:noProof/>
            <w:webHidden/>
          </w:rPr>
          <w:t>27</w:t>
        </w:r>
        <w:r w:rsidR="00DA6167">
          <w:rPr>
            <w:noProof/>
            <w:webHidden/>
          </w:rPr>
          <w:fldChar w:fldCharType="end"/>
        </w:r>
      </w:hyperlink>
    </w:p>
    <w:p w:rsidR="00DA6167" w:rsidRDefault="00CA6AB8">
      <w:pPr>
        <w:pStyle w:val="Seznamobrzk"/>
        <w:rPr>
          <w:noProof/>
          <w:szCs w:val="22"/>
          <w:lang w:eastAsia="cs-CZ"/>
        </w:rPr>
      </w:pPr>
      <w:hyperlink w:anchor="_Toc118977792" w:history="1">
        <w:r w:rsidR="00DA6167" w:rsidRPr="00E96DB7">
          <w:rPr>
            <w:rStyle w:val="Hypertextovodkaz"/>
            <w:noProof/>
          </w:rPr>
          <w:t>Tabulka č. 11:</w:t>
        </w:r>
        <w:r w:rsidR="00DA6167">
          <w:rPr>
            <w:noProof/>
            <w:szCs w:val="22"/>
            <w:lang w:eastAsia="cs-CZ"/>
          </w:rPr>
          <w:tab/>
        </w:r>
        <w:r w:rsidR="00DA6167" w:rsidRPr="00E96DB7">
          <w:rPr>
            <w:rStyle w:val="Hypertextovodkaz"/>
            <w:noProof/>
          </w:rPr>
          <w:t>Disponibilní prostředky výhledového období</w:t>
        </w:r>
        <w:r w:rsidR="00DA6167">
          <w:rPr>
            <w:noProof/>
            <w:webHidden/>
          </w:rPr>
          <w:tab/>
        </w:r>
        <w:r w:rsidR="00DA6167">
          <w:rPr>
            <w:noProof/>
            <w:webHidden/>
          </w:rPr>
          <w:fldChar w:fldCharType="begin"/>
        </w:r>
        <w:r w:rsidR="00DA6167">
          <w:rPr>
            <w:noProof/>
            <w:webHidden/>
          </w:rPr>
          <w:instrText xml:space="preserve"> PAGEREF _Toc118977792 \h </w:instrText>
        </w:r>
        <w:r w:rsidR="00DA6167">
          <w:rPr>
            <w:noProof/>
            <w:webHidden/>
          </w:rPr>
        </w:r>
        <w:r w:rsidR="00DA6167">
          <w:rPr>
            <w:noProof/>
            <w:webHidden/>
          </w:rPr>
          <w:fldChar w:fldCharType="separate"/>
        </w:r>
        <w:r w:rsidR="00DA6167">
          <w:rPr>
            <w:noProof/>
            <w:webHidden/>
          </w:rPr>
          <w:t>28</w:t>
        </w:r>
        <w:r w:rsidR="00DA6167">
          <w:rPr>
            <w:noProof/>
            <w:webHidden/>
          </w:rPr>
          <w:fldChar w:fldCharType="end"/>
        </w:r>
      </w:hyperlink>
    </w:p>
    <w:p w:rsidR="00DA6167" w:rsidRDefault="00CA6AB8">
      <w:pPr>
        <w:pStyle w:val="Seznamobrzk"/>
        <w:rPr>
          <w:noProof/>
          <w:szCs w:val="22"/>
          <w:lang w:eastAsia="cs-CZ"/>
        </w:rPr>
      </w:pPr>
      <w:hyperlink w:anchor="_Toc118977793" w:history="1">
        <w:r w:rsidR="00DA6167" w:rsidRPr="00E96DB7">
          <w:rPr>
            <w:rStyle w:val="Hypertextovodkaz"/>
            <w:noProof/>
          </w:rPr>
          <w:t>Tabulka č. 12:</w:t>
        </w:r>
        <w:r w:rsidR="00DA6167">
          <w:rPr>
            <w:noProof/>
            <w:szCs w:val="22"/>
            <w:lang w:eastAsia="cs-CZ"/>
          </w:rPr>
          <w:tab/>
        </w:r>
        <w:r w:rsidR="00DA6167" w:rsidRPr="00E96DB7">
          <w:rPr>
            <w:rStyle w:val="Hypertextovodkaz"/>
            <w:noProof/>
          </w:rPr>
          <w:t>Rozpis dluhové služby</w:t>
        </w:r>
        <w:r w:rsidR="00DA6167">
          <w:rPr>
            <w:noProof/>
            <w:webHidden/>
          </w:rPr>
          <w:tab/>
        </w:r>
        <w:r w:rsidR="00DA6167">
          <w:rPr>
            <w:noProof/>
            <w:webHidden/>
          </w:rPr>
          <w:fldChar w:fldCharType="begin"/>
        </w:r>
        <w:r w:rsidR="00DA6167">
          <w:rPr>
            <w:noProof/>
            <w:webHidden/>
          </w:rPr>
          <w:instrText xml:space="preserve"> PAGEREF _Toc118977793 \h </w:instrText>
        </w:r>
        <w:r w:rsidR="00DA6167">
          <w:rPr>
            <w:noProof/>
            <w:webHidden/>
          </w:rPr>
        </w:r>
        <w:r w:rsidR="00DA6167">
          <w:rPr>
            <w:noProof/>
            <w:webHidden/>
          </w:rPr>
          <w:fldChar w:fldCharType="separate"/>
        </w:r>
        <w:r w:rsidR="00DA6167">
          <w:rPr>
            <w:noProof/>
            <w:webHidden/>
          </w:rPr>
          <w:t>28</w:t>
        </w:r>
        <w:r w:rsidR="00DA6167">
          <w:rPr>
            <w:noProof/>
            <w:webHidden/>
          </w:rPr>
          <w:fldChar w:fldCharType="end"/>
        </w:r>
      </w:hyperlink>
    </w:p>
    <w:p w:rsidR="00DA6167" w:rsidRDefault="00CA6AB8">
      <w:pPr>
        <w:pStyle w:val="Seznamobrzk"/>
        <w:rPr>
          <w:noProof/>
          <w:szCs w:val="22"/>
          <w:lang w:eastAsia="cs-CZ"/>
        </w:rPr>
      </w:pPr>
      <w:hyperlink w:anchor="_Toc118977794" w:history="1">
        <w:r w:rsidR="00DA6167" w:rsidRPr="00E96DB7">
          <w:rPr>
            <w:rStyle w:val="Hypertextovodkaz"/>
            <w:noProof/>
          </w:rPr>
          <w:t>Tabulka č. 13:</w:t>
        </w:r>
        <w:r w:rsidR="00DA6167">
          <w:rPr>
            <w:noProof/>
            <w:szCs w:val="22"/>
            <w:lang w:eastAsia="cs-CZ"/>
          </w:rPr>
          <w:tab/>
        </w:r>
        <w:r w:rsidR="00DA6167" w:rsidRPr="00E96DB7">
          <w:rPr>
            <w:rStyle w:val="Hypertextovodkaz"/>
            <w:noProof/>
          </w:rPr>
          <w:t>Predikce rozpočtové odpovědnosti</w:t>
        </w:r>
        <w:r w:rsidR="00DA6167">
          <w:rPr>
            <w:noProof/>
            <w:webHidden/>
          </w:rPr>
          <w:tab/>
        </w:r>
        <w:r w:rsidR="00DA6167">
          <w:rPr>
            <w:noProof/>
            <w:webHidden/>
          </w:rPr>
          <w:fldChar w:fldCharType="begin"/>
        </w:r>
        <w:r w:rsidR="00DA6167">
          <w:rPr>
            <w:noProof/>
            <w:webHidden/>
          </w:rPr>
          <w:instrText xml:space="preserve"> PAGEREF _Toc118977794 \h </w:instrText>
        </w:r>
        <w:r w:rsidR="00DA6167">
          <w:rPr>
            <w:noProof/>
            <w:webHidden/>
          </w:rPr>
        </w:r>
        <w:r w:rsidR="00DA6167">
          <w:rPr>
            <w:noProof/>
            <w:webHidden/>
          </w:rPr>
          <w:fldChar w:fldCharType="separate"/>
        </w:r>
        <w:r w:rsidR="00DA6167">
          <w:rPr>
            <w:noProof/>
            <w:webHidden/>
          </w:rPr>
          <w:t>29</w:t>
        </w:r>
        <w:r w:rsidR="00DA6167">
          <w:rPr>
            <w:noProof/>
            <w:webHidden/>
          </w:rPr>
          <w:fldChar w:fldCharType="end"/>
        </w:r>
      </w:hyperlink>
    </w:p>
    <w:p w:rsidR="00DA6167" w:rsidRDefault="00CA6AB8">
      <w:pPr>
        <w:pStyle w:val="Seznamobrzk"/>
        <w:rPr>
          <w:noProof/>
          <w:szCs w:val="22"/>
          <w:lang w:eastAsia="cs-CZ"/>
        </w:rPr>
      </w:pPr>
      <w:hyperlink w:anchor="_Toc118977795" w:history="1">
        <w:r w:rsidR="00DA6167" w:rsidRPr="00E96DB7">
          <w:rPr>
            <w:rStyle w:val="Hypertextovodkaz"/>
            <w:noProof/>
          </w:rPr>
          <w:t>Tabulka č. 14:</w:t>
        </w:r>
        <w:r w:rsidR="00DA6167">
          <w:rPr>
            <w:noProof/>
            <w:szCs w:val="22"/>
            <w:lang w:eastAsia="cs-CZ"/>
          </w:rPr>
          <w:tab/>
        </w:r>
        <w:r w:rsidR="00DA6167" w:rsidRPr="00E96DB7">
          <w:rPr>
            <w:rStyle w:val="Hypertextovodkaz"/>
            <w:noProof/>
          </w:rPr>
          <w:t>Predikce platební schopnosti I. řádu</w:t>
        </w:r>
        <w:r w:rsidR="00DA6167">
          <w:rPr>
            <w:noProof/>
            <w:webHidden/>
          </w:rPr>
          <w:tab/>
        </w:r>
        <w:r w:rsidR="00DA6167">
          <w:rPr>
            <w:noProof/>
            <w:webHidden/>
          </w:rPr>
          <w:fldChar w:fldCharType="begin"/>
        </w:r>
        <w:r w:rsidR="00DA6167">
          <w:rPr>
            <w:noProof/>
            <w:webHidden/>
          </w:rPr>
          <w:instrText xml:space="preserve"> PAGEREF _Toc118977795 \h </w:instrText>
        </w:r>
        <w:r w:rsidR="00DA6167">
          <w:rPr>
            <w:noProof/>
            <w:webHidden/>
          </w:rPr>
        </w:r>
        <w:r w:rsidR="00DA6167">
          <w:rPr>
            <w:noProof/>
            <w:webHidden/>
          </w:rPr>
          <w:fldChar w:fldCharType="separate"/>
        </w:r>
        <w:r w:rsidR="00DA6167">
          <w:rPr>
            <w:noProof/>
            <w:webHidden/>
          </w:rPr>
          <w:t>30</w:t>
        </w:r>
        <w:r w:rsidR="00DA6167">
          <w:rPr>
            <w:noProof/>
            <w:webHidden/>
          </w:rPr>
          <w:fldChar w:fldCharType="end"/>
        </w:r>
      </w:hyperlink>
    </w:p>
    <w:p w:rsidR="00DA6167" w:rsidRDefault="00CA6AB8">
      <w:pPr>
        <w:pStyle w:val="Seznamobrzk"/>
        <w:rPr>
          <w:noProof/>
          <w:szCs w:val="22"/>
          <w:lang w:eastAsia="cs-CZ"/>
        </w:rPr>
      </w:pPr>
      <w:hyperlink w:anchor="_Toc118977796" w:history="1">
        <w:r w:rsidR="00DA6167" w:rsidRPr="00E96DB7">
          <w:rPr>
            <w:rStyle w:val="Hypertextovodkaz"/>
            <w:noProof/>
          </w:rPr>
          <w:t>Tabulka č. 15:</w:t>
        </w:r>
        <w:r w:rsidR="00DA6167">
          <w:rPr>
            <w:noProof/>
            <w:szCs w:val="22"/>
            <w:lang w:eastAsia="cs-CZ"/>
          </w:rPr>
          <w:tab/>
        </w:r>
        <w:r w:rsidR="00DA6167" w:rsidRPr="00E96DB7">
          <w:rPr>
            <w:rStyle w:val="Hypertextovodkaz"/>
            <w:noProof/>
          </w:rPr>
          <w:t>Predikce platební schopnosti II. řádu</w:t>
        </w:r>
        <w:r w:rsidR="00DA6167">
          <w:rPr>
            <w:noProof/>
            <w:webHidden/>
          </w:rPr>
          <w:tab/>
        </w:r>
        <w:r w:rsidR="00DA6167">
          <w:rPr>
            <w:noProof/>
            <w:webHidden/>
          </w:rPr>
          <w:fldChar w:fldCharType="begin"/>
        </w:r>
        <w:r w:rsidR="00DA6167">
          <w:rPr>
            <w:noProof/>
            <w:webHidden/>
          </w:rPr>
          <w:instrText xml:space="preserve"> PAGEREF _Toc118977796 \h </w:instrText>
        </w:r>
        <w:r w:rsidR="00DA6167">
          <w:rPr>
            <w:noProof/>
            <w:webHidden/>
          </w:rPr>
        </w:r>
        <w:r w:rsidR="00DA6167">
          <w:rPr>
            <w:noProof/>
            <w:webHidden/>
          </w:rPr>
          <w:fldChar w:fldCharType="separate"/>
        </w:r>
        <w:r w:rsidR="00DA6167">
          <w:rPr>
            <w:noProof/>
            <w:webHidden/>
          </w:rPr>
          <w:t>30</w:t>
        </w:r>
        <w:r w:rsidR="00DA6167">
          <w:rPr>
            <w:noProof/>
            <w:webHidden/>
          </w:rPr>
          <w:fldChar w:fldCharType="end"/>
        </w:r>
      </w:hyperlink>
    </w:p>
    <w:p w:rsidR="00DA6167" w:rsidRDefault="00CA6AB8">
      <w:pPr>
        <w:pStyle w:val="Seznamobrzk"/>
        <w:rPr>
          <w:noProof/>
          <w:szCs w:val="22"/>
          <w:lang w:eastAsia="cs-CZ"/>
        </w:rPr>
      </w:pPr>
      <w:hyperlink w:anchor="_Toc118977797" w:history="1">
        <w:r w:rsidR="00DA6167" w:rsidRPr="00E96DB7">
          <w:rPr>
            <w:rStyle w:val="Hypertextovodkaz"/>
            <w:noProof/>
          </w:rPr>
          <w:t>Tabulka č. 16:</w:t>
        </w:r>
        <w:r w:rsidR="00DA6167">
          <w:rPr>
            <w:noProof/>
            <w:szCs w:val="22"/>
            <w:lang w:eastAsia="cs-CZ"/>
          </w:rPr>
          <w:tab/>
        </w:r>
        <w:r w:rsidR="00DA6167" w:rsidRPr="00E96DB7">
          <w:rPr>
            <w:rStyle w:val="Hypertextovodkaz"/>
            <w:noProof/>
          </w:rPr>
          <w:t>Predikce finanční zadluženosti</w:t>
        </w:r>
        <w:r w:rsidR="00DA6167">
          <w:rPr>
            <w:noProof/>
            <w:webHidden/>
          </w:rPr>
          <w:tab/>
        </w:r>
        <w:r w:rsidR="00DA6167">
          <w:rPr>
            <w:noProof/>
            <w:webHidden/>
          </w:rPr>
          <w:fldChar w:fldCharType="begin"/>
        </w:r>
        <w:r w:rsidR="00DA6167">
          <w:rPr>
            <w:noProof/>
            <w:webHidden/>
          </w:rPr>
          <w:instrText xml:space="preserve"> PAGEREF _Toc118977797 \h </w:instrText>
        </w:r>
        <w:r w:rsidR="00DA6167">
          <w:rPr>
            <w:noProof/>
            <w:webHidden/>
          </w:rPr>
        </w:r>
        <w:r w:rsidR="00DA6167">
          <w:rPr>
            <w:noProof/>
            <w:webHidden/>
          </w:rPr>
          <w:fldChar w:fldCharType="separate"/>
        </w:r>
        <w:r w:rsidR="00DA6167">
          <w:rPr>
            <w:noProof/>
            <w:webHidden/>
          </w:rPr>
          <w:t>30</w:t>
        </w:r>
        <w:r w:rsidR="00DA6167">
          <w:rPr>
            <w:noProof/>
            <w:webHidden/>
          </w:rPr>
          <w:fldChar w:fldCharType="end"/>
        </w:r>
      </w:hyperlink>
    </w:p>
    <w:p w:rsidR="00DA6167" w:rsidRDefault="00CA6AB8">
      <w:pPr>
        <w:pStyle w:val="Seznamobrzk"/>
        <w:rPr>
          <w:noProof/>
          <w:szCs w:val="22"/>
          <w:lang w:eastAsia="cs-CZ"/>
        </w:rPr>
      </w:pPr>
      <w:hyperlink w:anchor="_Toc118977798" w:history="1">
        <w:r w:rsidR="00DA6167" w:rsidRPr="00E96DB7">
          <w:rPr>
            <w:rStyle w:val="Hypertextovodkaz"/>
            <w:noProof/>
          </w:rPr>
          <w:t>Tabulka č. 17:</w:t>
        </w:r>
        <w:r w:rsidR="00DA6167">
          <w:rPr>
            <w:noProof/>
            <w:szCs w:val="22"/>
            <w:lang w:eastAsia="cs-CZ"/>
          </w:rPr>
          <w:tab/>
        </w:r>
        <w:r w:rsidR="00DA6167" w:rsidRPr="00E96DB7">
          <w:rPr>
            <w:rStyle w:val="Hypertextovodkaz"/>
            <w:noProof/>
          </w:rPr>
          <w:t>Ekonomické hodnocení města v letech 2013 - 2020 (staré)</w:t>
        </w:r>
        <w:r w:rsidR="00DA6167">
          <w:rPr>
            <w:noProof/>
            <w:webHidden/>
          </w:rPr>
          <w:tab/>
        </w:r>
        <w:r w:rsidR="00DA6167">
          <w:rPr>
            <w:noProof/>
            <w:webHidden/>
          </w:rPr>
          <w:fldChar w:fldCharType="begin"/>
        </w:r>
        <w:r w:rsidR="00DA6167">
          <w:rPr>
            <w:noProof/>
            <w:webHidden/>
          </w:rPr>
          <w:instrText xml:space="preserve"> PAGEREF _Toc118977798 \h </w:instrText>
        </w:r>
        <w:r w:rsidR="00DA6167">
          <w:rPr>
            <w:noProof/>
            <w:webHidden/>
          </w:rPr>
        </w:r>
        <w:r w:rsidR="00DA6167">
          <w:rPr>
            <w:noProof/>
            <w:webHidden/>
          </w:rPr>
          <w:fldChar w:fldCharType="separate"/>
        </w:r>
        <w:r w:rsidR="00DA6167">
          <w:rPr>
            <w:noProof/>
            <w:webHidden/>
          </w:rPr>
          <w:t>33</w:t>
        </w:r>
        <w:r w:rsidR="00DA6167">
          <w:rPr>
            <w:noProof/>
            <w:webHidden/>
          </w:rPr>
          <w:fldChar w:fldCharType="end"/>
        </w:r>
      </w:hyperlink>
    </w:p>
    <w:p w:rsidR="00DA6167" w:rsidRDefault="00CA6AB8">
      <w:pPr>
        <w:pStyle w:val="Seznamobrzk"/>
        <w:rPr>
          <w:noProof/>
          <w:szCs w:val="22"/>
          <w:lang w:eastAsia="cs-CZ"/>
        </w:rPr>
      </w:pPr>
      <w:hyperlink w:anchor="_Toc118977799" w:history="1">
        <w:r w:rsidR="00DA6167" w:rsidRPr="00E96DB7">
          <w:rPr>
            <w:rStyle w:val="Hypertextovodkaz"/>
            <w:noProof/>
          </w:rPr>
          <w:t>Tabulka č. 18:</w:t>
        </w:r>
        <w:r w:rsidR="00DA6167">
          <w:rPr>
            <w:noProof/>
            <w:szCs w:val="22"/>
            <w:lang w:eastAsia="cs-CZ"/>
          </w:rPr>
          <w:tab/>
        </w:r>
        <w:r w:rsidR="00DA6167" w:rsidRPr="00E96DB7">
          <w:rPr>
            <w:rStyle w:val="Hypertextovodkaz"/>
            <w:noProof/>
          </w:rPr>
          <w:t>Ekonomické hodnocení města v letech 2021 - 2027 (nové)</w:t>
        </w:r>
        <w:r w:rsidR="00DA6167">
          <w:rPr>
            <w:noProof/>
            <w:webHidden/>
          </w:rPr>
          <w:tab/>
        </w:r>
        <w:r w:rsidR="00DA6167">
          <w:rPr>
            <w:noProof/>
            <w:webHidden/>
          </w:rPr>
          <w:fldChar w:fldCharType="begin"/>
        </w:r>
        <w:r w:rsidR="00DA6167">
          <w:rPr>
            <w:noProof/>
            <w:webHidden/>
          </w:rPr>
          <w:instrText xml:space="preserve"> PAGEREF _Toc118977799 \h </w:instrText>
        </w:r>
        <w:r w:rsidR="00DA6167">
          <w:rPr>
            <w:noProof/>
            <w:webHidden/>
          </w:rPr>
        </w:r>
        <w:r w:rsidR="00DA6167">
          <w:rPr>
            <w:noProof/>
            <w:webHidden/>
          </w:rPr>
          <w:fldChar w:fldCharType="separate"/>
        </w:r>
        <w:r w:rsidR="00DA6167">
          <w:rPr>
            <w:noProof/>
            <w:webHidden/>
          </w:rPr>
          <w:t>33</w:t>
        </w:r>
        <w:r w:rsidR="00DA6167">
          <w:rPr>
            <w:noProof/>
            <w:webHidden/>
          </w:rPr>
          <w:fldChar w:fldCharType="end"/>
        </w:r>
      </w:hyperlink>
    </w:p>
    <w:p w:rsidR="00DA6167" w:rsidRDefault="00CA6AB8">
      <w:pPr>
        <w:pStyle w:val="Seznamobrzk"/>
        <w:rPr>
          <w:noProof/>
          <w:szCs w:val="22"/>
          <w:lang w:eastAsia="cs-CZ"/>
        </w:rPr>
      </w:pPr>
      <w:hyperlink w:anchor="_Toc118977800" w:history="1">
        <w:r w:rsidR="00DA6167" w:rsidRPr="00E96DB7">
          <w:rPr>
            <w:rStyle w:val="Hypertextovodkaz"/>
            <w:noProof/>
          </w:rPr>
          <w:t>Tabulka č. 19:</w:t>
        </w:r>
        <w:r w:rsidR="00DA6167">
          <w:rPr>
            <w:noProof/>
            <w:szCs w:val="22"/>
            <w:lang w:eastAsia="cs-CZ"/>
          </w:rPr>
          <w:tab/>
        </w:r>
        <w:r w:rsidR="00DA6167" w:rsidRPr="00E96DB7">
          <w:rPr>
            <w:rStyle w:val="Hypertextovodkaz"/>
            <w:noProof/>
          </w:rPr>
          <w:t>Souhrnná tabulka hospodaření</w:t>
        </w:r>
        <w:r w:rsidR="00DA6167">
          <w:rPr>
            <w:noProof/>
            <w:webHidden/>
          </w:rPr>
          <w:tab/>
        </w:r>
        <w:r w:rsidR="00DA6167">
          <w:rPr>
            <w:noProof/>
            <w:webHidden/>
          </w:rPr>
          <w:fldChar w:fldCharType="begin"/>
        </w:r>
        <w:r w:rsidR="00DA6167">
          <w:rPr>
            <w:noProof/>
            <w:webHidden/>
          </w:rPr>
          <w:instrText xml:space="preserve"> PAGEREF _Toc118977800 \h </w:instrText>
        </w:r>
        <w:r w:rsidR="00DA6167">
          <w:rPr>
            <w:noProof/>
            <w:webHidden/>
          </w:rPr>
        </w:r>
        <w:r w:rsidR="00DA6167">
          <w:rPr>
            <w:noProof/>
            <w:webHidden/>
          </w:rPr>
          <w:fldChar w:fldCharType="separate"/>
        </w:r>
        <w:r w:rsidR="00DA6167">
          <w:rPr>
            <w:noProof/>
            <w:webHidden/>
          </w:rPr>
          <w:t>35</w:t>
        </w:r>
        <w:r w:rsidR="00DA6167">
          <w:rPr>
            <w:noProof/>
            <w:webHidden/>
          </w:rPr>
          <w:fldChar w:fldCharType="end"/>
        </w:r>
      </w:hyperlink>
    </w:p>
    <w:p w:rsidR="0046149B" w:rsidRPr="00793D98" w:rsidRDefault="00C3021F" w:rsidP="00572F00">
      <w:pPr>
        <w:pStyle w:val="Obsah1"/>
      </w:pPr>
      <w:r>
        <w:rPr>
          <w:rStyle w:val="Hypertextovodkaz"/>
          <w:b/>
          <w:noProof w:val="0"/>
          <w:color w:val="2E3192"/>
          <w:szCs w:val="19"/>
        </w:rPr>
        <w:fldChar w:fldCharType="end"/>
      </w:r>
    </w:p>
    <w:p w:rsidR="00DA6167" w:rsidRDefault="00C3021F">
      <w:pPr>
        <w:pStyle w:val="Seznamobrzk"/>
        <w:rPr>
          <w:noProof/>
          <w:szCs w:val="22"/>
          <w:lang w:eastAsia="cs-CZ"/>
        </w:rPr>
      </w:pPr>
      <w:r w:rsidRPr="00793D98">
        <w:rPr>
          <w:szCs w:val="21"/>
        </w:rPr>
        <w:fldChar w:fldCharType="begin"/>
      </w:r>
      <w:r w:rsidR="0046149B" w:rsidRPr="00793D98">
        <w:rPr>
          <w:szCs w:val="21"/>
        </w:rPr>
        <w:instrText xml:space="preserve"> TOC \h \z \t "Graf" \c </w:instrText>
      </w:r>
      <w:r w:rsidRPr="00793D98">
        <w:rPr>
          <w:szCs w:val="21"/>
        </w:rPr>
        <w:fldChar w:fldCharType="separate"/>
      </w:r>
      <w:hyperlink w:anchor="_Toc118977801" w:history="1">
        <w:r w:rsidR="00DA6167" w:rsidRPr="00155B6F">
          <w:rPr>
            <w:rStyle w:val="Hypertextovodkaz"/>
            <w:noProof/>
          </w:rPr>
          <w:t>Graf č. 1:</w:t>
        </w:r>
        <w:r w:rsidR="00DA6167">
          <w:rPr>
            <w:noProof/>
            <w:szCs w:val="22"/>
            <w:lang w:eastAsia="cs-CZ"/>
          </w:rPr>
          <w:tab/>
        </w:r>
        <w:r w:rsidR="00DA6167" w:rsidRPr="00155B6F">
          <w:rPr>
            <w:rStyle w:val="Hypertextovodkaz"/>
            <w:noProof/>
          </w:rPr>
          <w:t>Vývoj příjmů</w:t>
        </w:r>
        <w:r w:rsidR="00DA6167">
          <w:rPr>
            <w:noProof/>
            <w:webHidden/>
          </w:rPr>
          <w:tab/>
        </w:r>
        <w:r w:rsidR="00DA6167">
          <w:rPr>
            <w:noProof/>
            <w:webHidden/>
          </w:rPr>
          <w:fldChar w:fldCharType="begin"/>
        </w:r>
        <w:r w:rsidR="00DA6167">
          <w:rPr>
            <w:noProof/>
            <w:webHidden/>
          </w:rPr>
          <w:instrText xml:space="preserve"> PAGEREF _Toc118977801 \h </w:instrText>
        </w:r>
        <w:r w:rsidR="00DA6167">
          <w:rPr>
            <w:noProof/>
            <w:webHidden/>
          </w:rPr>
        </w:r>
        <w:r w:rsidR="00DA6167">
          <w:rPr>
            <w:noProof/>
            <w:webHidden/>
          </w:rPr>
          <w:fldChar w:fldCharType="separate"/>
        </w:r>
        <w:r w:rsidR="00DA6167">
          <w:rPr>
            <w:noProof/>
            <w:webHidden/>
          </w:rPr>
          <w:t>7</w:t>
        </w:r>
        <w:r w:rsidR="00DA6167">
          <w:rPr>
            <w:noProof/>
            <w:webHidden/>
          </w:rPr>
          <w:fldChar w:fldCharType="end"/>
        </w:r>
      </w:hyperlink>
    </w:p>
    <w:p w:rsidR="00DA6167" w:rsidRDefault="00CA6AB8">
      <w:pPr>
        <w:pStyle w:val="Seznamobrzk"/>
        <w:rPr>
          <w:noProof/>
          <w:szCs w:val="22"/>
          <w:lang w:eastAsia="cs-CZ"/>
        </w:rPr>
      </w:pPr>
      <w:hyperlink w:anchor="_Toc118977802" w:history="1">
        <w:r w:rsidR="00DA6167" w:rsidRPr="00155B6F">
          <w:rPr>
            <w:rStyle w:val="Hypertextovodkaz"/>
            <w:noProof/>
          </w:rPr>
          <w:t>Graf č. 2:</w:t>
        </w:r>
        <w:r w:rsidR="00DA6167">
          <w:rPr>
            <w:noProof/>
            <w:szCs w:val="22"/>
            <w:lang w:eastAsia="cs-CZ"/>
          </w:rPr>
          <w:tab/>
        </w:r>
        <w:r w:rsidR="00DA6167" w:rsidRPr="00155B6F">
          <w:rPr>
            <w:rStyle w:val="Hypertextovodkaz"/>
            <w:noProof/>
            <w:lang w:eastAsia="cs-CZ"/>
          </w:rPr>
          <w:t>Meziroční podíl a pětiletý průměr daňových příjmů</w:t>
        </w:r>
        <w:r w:rsidR="00DA6167">
          <w:rPr>
            <w:noProof/>
            <w:webHidden/>
          </w:rPr>
          <w:tab/>
        </w:r>
        <w:r w:rsidR="00DA6167">
          <w:rPr>
            <w:noProof/>
            <w:webHidden/>
          </w:rPr>
          <w:fldChar w:fldCharType="begin"/>
        </w:r>
        <w:r w:rsidR="00DA6167">
          <w:rPr>
            <w:noProof/>
            <w:webHidden/>
          </w:rPr>
          <w:instrText xml:space="preserve"> PAGEREF _Toc118977802 \h </w:instrText>
        </w:r>
        <w:r w:rsidR="00DA6167">
          <w:rPr>
            <w:noProof/>
            <w:webHidden/>
          </w:rPr>
        </w:r>
        <w:r w:rsidR="00DA6167">
          <w:rPr>
            <w:noProof/>
            <w:webHidden/>
          </w:rPr>
          <w:fldChar w:fldCharType="separate"/>
        </w:r>
        <w:r w:rsidR="00DA6167">
          <w:rPr>
            <w:noProof/>
            <w:webHidden/>
          </w:rPr>
          <w:t>8</w:t>
        </w:r>
        <w:r w:rsidR="00DA6167">
          <w:rPr>
            <w:noProof/>
            <w:webHidden/>
          </w:rPr>
          <w:fldChar w:fldCharType="end"/>
        </w:r>
      </w:hyperlink>
    </w:p>
    <w:p w:rsidR="00DA6167" w:rsidRDefault="00CA6AB8">
      <w:pPr>
        <w:pStyle w:val="Seznamobrzk"/>
        <w:rPr>
          <w:noProof/>
          <w:szCs w:val="22"/>
          <w:lang w:eastAsia="cs-CZ"/>
        </w:rPr>
      </w:pPr>
      <w:hyperlink w:anchor="_Toc118977803" w:history="1">
        <w:r w:rsidR="00DA6167" w:rsidRPr="00155B6F">
          <w:rPr>
            <w:rStyle w:val="Hypertextovodkaz"/>
            <w:noProof/>
          </w:rPr>
          <w:t>Graf č. 3:</w:t>
        </w:r>
        <w:r w:rsidR="00DA6167">
          <w:rPr>
            <w:noProof/>
            <w:szCs w:val="22"/>
            <w:lang w:eastAsia="cs-CZ"/>
          </w:rPr>
          <w:tab/>
        </w:r>
        <w:r w:rsidR="00DA6167" w:rsidRPr="00155B6F">
          <w:rPr>
            <w:rStyle w:val="Hypertextovodkaz"/>
            <w:noProof/>
          </w:rPr>
          <w:t>Vývoj sdílených daní</w:t>
        </w:r>
        <w:r w:rsidR="00DA6167">
          <w:rPr>
            <w:noProof/>
            <w:webHidden/>
          </w:rPr>
          <w:tab/>
        </w:r>
        <w:r w:rsidR="00DA6167">
          <w:rPr>
            <w:noProof/>
            <w:webHidden/>
          </w:rPr>
          <w:fldChar w:fldCharType="begin"/>
        </w:r>
        <w:r w:rsidR="00DA6167">
          <w:rPr>
            <w:noProof/>
            <w:webHidden/>
          </w:rPr>
          <w:instrText xml:space="preserve"> PAGEREF _Toc118977803 \h </w:instrText>
        </w:r>
        <w:r w:rsidR="00DA6167">
          <w:rPr>
            <w:noProof/>
            <w:webHidden/>
          </w:rPr>
        </w:r>
        <w:r w:rsidR="00DA6167">
          <w:rPr>
            <w:noProof/>
            <w:webHidden/>
          </w:rPr>
          <w:fldChar w:fldCharType="separate"/>
        </w:r>
        <w:r w:rsidR="00DA6167">
          <w:rPr>
            <w:noProof/>
            <w:webHidden/>
          </w:rPr>
          <w:t>8</w:t>
        </w:r>
        <w:r w:rsidR="00DA6167">
          <w:rPr>
            <w:noProof/>
            <w:webHidden/>
          </w:rPr>
          <w:fldChar w:fldCharType="end"/>
        </w:r>
      </w:hyperlink>
    </w:p>
    <w:p w:rsidR="00DA6167" w:rsidRDefault="00CA6AB8">
      <w:pPr>
        <w:pStyle w:val="Seznamobrzk"/>
        <w:rPr>
          <w:noProof/>
          <w:szCs w:val="22"/>
          <w:lang w:eastAsia="cs-CZ"/>
        </w:rPr>
      </w:pPr>
      <w:hyperlink w:anchor="_Toc118977804" w:history="1">
        <w:r w:rsidR="00DA6167" w:rsidRPr="00155B6F">
          <w:rPr>
            <w:rStyle w:val="Hypertextovodkaz"/>
            <w:noProof/>
          </w:rPr>
          <w:t>Graf č. 4:</w:t>
        </w:r>
        <w:r w:rsidR="00DA6167">
          <w:rPr>
            <w:noProof/>
            <w:szCs w:val="22"/>
            <w:lang w:eastAsia="cs-CZ"/>
          </w:rPr>
          <w:tab/>
        </w:r>
        <w:r w:rsidR="00DA6167" w:rsidRPr="00155B6F">
          <w:rPr>
            <w:rStyle w:val="Hypertextovodkaz"/>
            <w:noProof/>
            <w:lang w:eastAsia="cs-CZ"/>
          </w:rPr>
          <w:t xml:space="preserve">Meziroční podíl a pětiletý průměr </w:t>
        </w:r>
        <w:r w:rsidR="00DA6167" w:rsidRPr="00155B6F">
          <w:rPr>
            <w:rStyle w:val="Hypertextovodkaz"/>
            <w:noProof/>
          </w:rPr>
          <w:t>nedaňových příjmů</w:t>
        </w:r>
        <w:r w:rsidR="00DA6167">
          <w:rPr>
            <w:noProof/>
            <w:webHidden/>
          </w:rPr>
          <w:tab/>
        </w:r>
        <w:r w:rsidR="00DA6167">
          <w:rPr>
            <w:noProof/>
            <w:webHidden/>
          </w:rPr>
          <w:fldChar w:fldCharType="begin"/>
        </w:r>
        <w:r w:rsidR="00DA6167">
          <w:rPr>
            <w:noProof/>
            <w:webHidden/>
          </w:rPr>
          <w:instrText xml:space="preserve"> PAGEREF _Toc118977804 \h </w:instrText>
        </w:r>
        <w:r w:rsidR="00DA6167">
          <w:rPr>
            <w:noProof/>
            <w:webHidden/>
          </w:rPr>
        </w:r>
        <w:r w:rsidR="00DA6167">
          <w:rPr>
            <w:noProof/>
            <w:webHidden/>
          </w:rPr>
          <w:fldChar w:fldCharType="separate"/>
        </w:r>
        <w:r w:rsidR="00DA6167">
          <w:rPr>
            <w:noProof/>
            <w:webHidden/>
          </w:rPr>
          <w:t>10</w:t>
        </w:r>
        <w:r w:rsidR="00DA6167">
          <w:rPr>
            <w:noProof/>
            <w:webHidden/>
          </w:rPr>
          <w:fldChar w:fldCharType="end"/>
        </w:r>
      </w:hyperlink>
    </w:p>
    <w:p w:rsidR="00DA6167" w:rsidRDefault="00CA6AB8">
      <w:pPr>
        <w:pStyle w:val="Seznamobrzk"/>
        <w:rPr>
          <w:noProof/>
          <w:szCs w:val="22"/>
          <w:lang w:eastAsia="cs-CZ"/>
        </w:rPr>
      </w:pPr>
      <w:hyperlink w:anchor="_Toc118977805" w:history="1">
        <w:r w:rsidR="00DA6167" w:rsidRPr="00155B6F">
          <w:rPr>
            <w:rStyle w:val="Hypertextovodkaz"/>
            <w:noProof/>
          </w:rPr>
          <w:t>Graf č. 5:</w:t>
        </w:r>
        <w:r w:rsidR="00DA6167">
          <w:rPr>
            <w:noProof/>
            <w:szCs w:val="22"/>
            <w:lang w:eastAsia="cs-CZ"/>
          </w:rPr>
          <w:tab/>
        </w:r>
        <w:r w:rsidR="00DA6167" w:rsidRPr="00155B6F">
          <w:rPr>
            <w:rStyle w:val="Hypertextovodkaz"/>
            <w:noProof/>
            <w:lang w:eastAsia="cs-CZ"/>
          </w:rPr>
          <w:t xml:space="preserve">Meziroční podíl a pětiletý průměr </w:t>
        </w:r>
        <w:r w:rsidR="00DA6167" w:rsidRPr="00155B6F">
          <w:rPr>
            <w:rStyle w:val="Hypertextovodkaz"/>
            <w:noProof/>
          </w:rPr>
          <w:t>kapitálových příjmů</w:t>
        </w:r>
        <w:r w:rsidR="00DA6167">
          <w:rPr>
            <w:noProof/>
            <w:webHidden/>
          </w:rPr>
          <w:tab/>
        </w:r>
        <w:r w:rsidR="00DA6167">
          <w:rPr>
            <w:noProof/>
            <w:webHidden/>
          </w:rPr>
          <w:fldChar w:fldCharType="begin"/>
        </w:r>
        <w:r w:rsidR="00DA6167">
          <w:rPr>
            <w:noProof/>
            <w:webHidden/>
          </w:rPr>
          <w:instrText xml:space="preserve"> PAGEREF _Toc118977805 \h </w:instrText>
        </w:r>
        <w:r w:rsidR="00DA6167">
          <w:rPr>
            <w:noProof/>
            <w:webHidden/>
          </w:rPr>
        </w:r>
        <w:r w:rsidR="00DA6167">
          <w:rPr>
            <w:noProof/>
            <w:webHidden/>
          </w:rPr>
          <w:fldChar w:fldCharType="separate"/>
        </w:r>
        <w:r w:rsidR="00DA6167">
          <w:rPr>
            <w:noProof/>
            <w:webHidden/>
          </w:rPr>
          <w:t>11</w:t>
        </w:r>
        <w:r w:rsidR="00DA6167">
          <w:rPr>
            <w:noProof/>
            <w:webHidden/>
          </w:rPr>
          <w:fldChar w:fldCharType="end"/>
        </w:r>
      </w:hyperlink>
    </w:p>
    <w:p w:rsidR="00DA6167" w:rsidRDefault="00CA6AB8">
      <w:pPr>
        <w:pStyle w:val="Seznamobrzk"/>
        <w:rPr>
          <w:noProof/>
          <w:szCs w:val="22"/>
          <w:lang w:eastAsia="cs-CZ"/>
        </w:rPr>
      </w:pPr>
      <w:hyperlink w:anchor="_Toc118977806" w:history="1">
        <w:r w:rsidR="00DA6167" w:rsidRPr="00155B6F">
          <w:rPr>
            <w:rStyle w:val="Hypertextovodkaz"/>
            <w:noProof/>
          </w:rPr>
          <w:t>Graf č. 6:</w:t>
        </w:r>
        <w:r w:rsidR="00DA6167">
          <w:rPr>
            <w:noProof/>
            <w:szCs w:val="22"/>
            <w:lang w:eastAsia="cs-CZ"/>
          </w:rPr>
          <w:tab/>
        </w:r>
        <w:r w:rsidR="00DA6167" w:rsidRPr="00155B6F">
          <w:rPr>
            <w:rStyle w:val="Hypertextovodkaz"/>
            <w:noProof/>
            <w:lang w:eastAsia="cs-CZ"/>
          </w:rPr>
          <w:t xml:space="preserve">Meziroční podíl a pětiletý průměr </w:t>
        </w:r>
        <w:r w:rsidR="00DA6167" w:rsidRPr="00155B6F">
          <w:rPr>
            <w:rStyle w:val="Hypertextovodkaz"/>
            <w:noProof/>
          </w:rPr>
          <w:t>přijatých transferů</w:t>
        </w:r>
        <w:r w:rsidR="00DA6167">
          <w:rPr>
            <w:noProof/>
            <w:webHidden/>
          </w:rPr>
          <w:tab/>
        </w:r>
        <w:r w:rsidR="00DA6167">
          <w:rPr>
            <w:noProof/>
            <w:webHidden/>
          </w:rPr>
          <w:fldChar w:fldCharType="begin"/>
        </w:r>
        <w:r w:rsidR="00DA6167">
          <w:rPr>
            <w:noProof/>
            <w:webHidden/>
          </w:rPr>
          <w:instrText xml:space="preserve"> PAGEREF _Toc118977806 \h </w:instrText>
        </w:r>
        <w:r w:rsidR="00DA6167">
          <w:rPr>
            <w:noProof/>
            <w:webHidden/>
          </w:rPr>
        </w:r>
        <w:r w:rsidR="00DA6167">
          <w:rPr>
            <w:noProof/>
            <w:webHidden/>
          </w:rPr>
          <w:fldChar w:fldCharType="separate"/>
        </w:r>
        <w:r w:rsidR="00DA6167">
          <w:rPr>
            <w:noProof/>
            <w:webHidden/>
          </w:rPr>
          <w:t>12</w:t>
        </w:r>
        <w:r w:rsidR="00DA6167">
          <w:rPr>
            <w:noProof/>
            <w:webHidden/>
          </w:rPr>
          <w:fldChar w:fldCharType="end"/>
        </w:r>
      </w:hyperlink>
    </w:p>
    <w:p w:rsidR="00DA6167" w:rsidRDefault="00CA6AB8">
      <w:pPr>
        <w:pStyle w:val="Seznamobrzk"/>
        <w:rPr>
          <w:noProof/>
          <w:szCs w:val="22"/>
          <w:lang w:eastAsia="cs-CZ"/>
        </w:rPr>
      </w:pPr>
      <w:hyperlink w:anchor="_Toc118977807" w:history="1">
        <w:r w:rsidR="00DA6167" w:rsidRPr="00155B6F">
          <w:rPr>
            <w:rStyle w:val="Hypertextovodkaz"/>
            <w:noProof/>
          </w:rPr>
          <w:t>Graf č. 7:</w:t>
        </w:r>
        <w:r w:rsidR="00DA6167">
          <w:rPr>
            <w:noProof/>
            <w:szCs w:val="22"/>
            <w:lang w:eastAsia="cs-CZ"/>
          </w:rPr>
          <w:tab/>
        </w:r>
        <w:r w:rsidR="00DA6167" w:rsidRPr="00155B6F">
          <w:rPr>
            <w:rStyle w:val="Hypertextovodkaz"/>
            <w:noProof/>
          </w:rPr>
          <w:t>Vývoj výdajů</w:t>
        </w:r>
        <w:r w:rsidR="00DA6167">
          <w:rPr>
            <w:noProof/>
            <w:webHidden/>
          </w:rPr>
          <w:tab/>
        </w:r>
        <w:r w:rsidR="00DA6167">
          <w:rPr>
            <w:noProof/>
            <w:webHidden/>
          </w:rPr>
          <w:fldChar w:fldCharType="begin"/>
        </w:r>
        <w:r w:rsidR="00DA6167">
          <w:rPr>
            <w:noProof/>
            <w:webHidden/>
          </w:rPr>
          <w:instrText xml:space="preserve"> PAGEREF _Toc118977807 \h </w:instrText>
        </w:r>
        <w:r w:rsidR="00DA6167">
          <w:rPr>
            <w:noProof/>
            <w:webHidden/>
          </w:rPr>
        </w:r>
        <w:r w:rsidR="00DA6167">
          <w:rPr>
            <w:noProof/>
            <w:webHidden/>
          </w:rPr>
          <w:fldChar w:fldCharType="separate"/>
        </w:r>
        <w:r w:rsidR="00DA6167">
          <w:rPr>
            <w:noProof/>
            <w:webHidden/>
          </w:rPr>
          <w:t>13</w:t>
        </w:r>
        <w:r w:rsidR="00DA6167">
          <w:rPr>
            <w:noProof/>
            <w:webHidden/>
          </w:rPr>
          <w:fldChar w:fldCharType="end"/>
        </w:r>
      </w:hyperlink>
    </w:p>
    <w:p w:rsidR="00DA6167" w:rsidRDefault="00CA6AB8">
      <w:pPr>
        <w:pStyle w:val="Seznamobrzk"/>
        <w:rPr>
          <w:noProof/>
          <w:szCs w:val="22"/>
          <w:lang w:eastAsia="cs-CZ"/>
        </w:rPr>
      </w:pPr>
      <w:hyperlink w:anchor="_Toc118977808" w:history="1">
        <w:r w:rsidR="00DA6167" w:rsidRPr="00155B6F">
          <w:rPr>
            <w:rStyle w:val="Hypertextovodkaz"/>
            <w:noProof/>
          </w:rPr>
          <w:t>Graf č. 8:</w:t>
        </w:r>
        <w:r w:rsidR="00DA6167">
          <w:rPr>
            <w:noProof/>
            <w:szCs w:val="22"/>
            <w:lang w:eastAsia="cs-CZ"/>
          </w:rPr>
          <w:tab/>
        </w:r>
        <w:r w:rsidR="00DA6167" w:rsidRPr="00155B6F">
          <w:rPr>
            <w:rStyle w:val="Hypertextovodkaz"/>
            <w:noProof/>
          </w:rPr>
          <w:t>Vývoj běžných výdajů</w:t>
        </w:r>
        <w:r w:rsidR="00DA6167">
          <w:rPr>
            <w:noProof/>
            <w:webHidden/>
          </w:rPr>
          <w:tab/>
        </w:r>
        <w:r w:rsidR="00DA6167">
          <w:rPr>
            <w:noProof/>
            <w:webHidden/>
          </w:rPr>
          <w:fldChar w:fldCharType="begin"/>
        </w:r>
        <w:r w:rsidR="00DA6167">
          <w:rPr>
            <w:noProof/>
            <w:webHidden/>
          </w:rPr>
          <w:instrText xml:space="preserve"> PAGEREF _Toc118977808 \h </w:instrText>
        </w:r>
        <w:r w:rsidR="00DA6167">
          <w:rPr>
            <w:noProof/>
            <w:webHidden/>
          </w:rPr>
        </w:r>
        <w:r w:rsidR="00DA6167">
          <w:rPr>
            <w:noProof/>
            <w:webHidden/>
          </w:rPr>
          <w:fldChar w:fldCharType="separate"/>
        </w:r>
        <w:r w:rsidR="00DA6167">
          <w:rPr>
            <w:noProof/>
            <w:webHidden/>
          </w:rPr>
          <w:t>13</w:t>
        </w:r>
        <w:r w:rsidR="00DA6167">
          <w:rPr>
            <w:noProof/>
            <w:webHidden/>
          </w:rPr>
          <w:fldChar w:fldCharType="end"/>
        </w:r>
      </w:hyperlink>
    </w:p>
    <w:p w:rsidR="00DA6167" w:rsidRDefault="00CA6AB8">
      <w:pPr>
        <w:pStyle w:val="Seznamobrzk"/>
        <w:rPr>
          <w:noProof/>
          <w:szCs w:val="22"/>
          <w:lang w:eastAsia="cs-CZ"/>
        </w:rPr>
      </w:pPr>
      <w:hyperlink w:anchor="_Toc118977809" w:history="1">
        <w:r w:rsidR="00DA6167" w:rsidRPr="00155B6F">
          <w:rPr>
            <w:rStyle w:val="Hypertextovodkaz"/>
            <w:noProof/>
          </w:rPr>
          <w:t>Graf č. 9:</w:t>
        </w:r>
        <w:r w:rsidR="00DA6167">
          <w:rPr>
            <w:noProof/>
            <w:szCs w:val="22"/>
            <w:lang w:eastAsia="cs-CZ"/>
          </w:rPr>
          <w:tab/>
        </w:r>
        <w:r w:rsidR="00DA6167" w:rsidRPr="00155B6F">
          <w:rPr>
            <w:rStyle w:val="Hypertextovodkaz"/>
            <w:noProof/>
          </w:rPr>
          <w:t>Vývoj nejvýznamnějších výdajových položek</w:t>
        </w:r>
        <w:r w:rsidR="00DA6167">
          <w:rPr>
            <w:noProof/>
            <w:webHidden/>
          </w:rPr>
          <w:tab/>
        </w:r>
        <w:r w:rsidR="00DA6167">
          <w:rPr>
            <w:noProof/>
            <w:webHidden/>
          </w:rPr>
          <w:fldChar w:fldCharType="begin"/>
        </w:r>
        <w:r w:rsidR="00DA6167">
          <w:rPr>
            <w:noProof/>
            <w:webHidden/>
          </w:rPr>
          <w:instrText xml:space="preserve"> PAGEREF _Toc118977809 \h </w:instrText>
        </w:r>
        <w:r w:rsidR="00DA6167">
          <w:rPr>
            <w:noProof/>
            <w:webHidden/>
          </w:rPr>
        </w:r>
        <w:r w:rsidR="00DA6167">
          <w:rPr>
            <w:noProof/>
            <w:webHidden/>
          </w:rPr>
          <w:fldChar w:fldCharType="separate"/>
        </w:r>
        <w:r w:rsidR="00DA6167">
          <w:rPr>
            <w:noProof/>
            <w:webHidden/>
          </w:rPr>
          <w:t>14</w:t>
        </w:r>
        <w:r w:rsidR="00DA6167">
          <w:rPr>
            <w:noProof/>
            <w:webHidden/>
          </w:rPr>
          <w:fldChar w:fldCharType="end"/>
        </w:r>
      </w:hyperlink>
    </w:p>
    <w:p w:rsidR="00DA6167" w:rsidRDefault="00CA6AB8">
      <w:pPr>
        <w:pStyle w:val="Seznamobrzk"/>
        <w:rPr>
          <w:noProof/>
          <w:szCs w:val="22"/>
          <w:lang w:eastAsia="cs-CZ"/>
        </w:rPr>
      </w:pPr>
      <w:hyperlink w:anchor="_Toc118977810" w:history="1">
        <w:r w:rsidR="00DA6167" w:rsidRPr="00155B6F">
          <w:rPr>
            <w:rStyle w:val="Hypertextovodkaz"/>
            <w:noProof/>
          </w:rPr>
          <w:t>Graf č. 10:</w:t>
        </w:r>
        <w:r w:rsidR="00DA6167">
          <w:rPr>
            <w:noProof/>
            <w:szCs w:val="22"/>
            <w:lang w:eastAsia="cs-CZ"/>
          </w:rPr>
          <w:tab/>
        </w:r>
        <w:r w:rsidR="00DA6167" w:rsidRPr="00155B6F">
          <w:rPr>
            <w:rStyle w:val="Hypertextovodkaz"/>
            <w:noProof/>
          </w:rPr>
          <w:t>Krytí kapitálových výdajů investičními příjmy</w:t>
        </w:r>
        <w:r w:rsidR="00DA6167">
          <w:rPr>
            <w:noProof/>
            <w:webHidden/>
          </w:rPr>
          <w:tab/>
        </w:r>
        <w:r w:rsidR="00DA6167">
          <w:rPr>
            <w:noProof/>
            <w:webHidden/>
          </w:rPr>
          <w:fldChar w:fldCharType="begin"/>
        </w:r>
        <w:r w:rsidR="00DA6167">
          <w:rPr>
            <w:noProof/>
            <w:webHidden/>
          </w:rPr>
          <w:instrText xml:space="preserve"> PAGEREF _Toc118977810 \h </w:instrText>
        </w:r>
        <w:r w:rsidR="00DA6167">
          <w:rPr>
            <w:noProof/>
            <w:webHidden/>
          </w:rPr>
        </w:r>
        <w:r w:rsidR="00DA6167">
          <w:rPr>
            <w:noProof/>
            <w:webHidden/>
          </w:rPr>
          <w:fldChar w:fldCharType="separate"/>
        </w:r>
        <w:r w:rsidR="00DA6167">
          <w:rPr>
            <w:noProof/>
            <w:webHidden/>
          </w:rPr>
          <w:t>14</w:t>
        </w:r>
        <w:r w:rsidR="00DA6167">
          <w:rPr>
            <w:noProof/>
            <w:webHidden/>
          </w:rPr>
          <w:fldChar w:fldCharType="end"/>
        </w:r>
      </w:hyperlink>
    </w:p>
    <w:p w:rsidR="00DA6167" w:rsidRDefault="00CA6AB8">
      <w:pPr>
        <w:pStyle w:val="Seznamobrzk"/>
        <w:rPr>
          <w:noProof/>
          <w:szCs w:val="22"/>
          <w:lang w:eastAsia="cs-CZ"/>
        </w:rPr>
      </w:pPr>
      <w:hyperlink w:anchor="_Toc118977811" w:history="1">
        <w:r w:rsidR="00DA6167" w:rsidRPr="00155B6F">
          <w:rPr>
            <w:rStyle w:val="Hypertextovodkaz"/>
            <w:noProof/>
          </w:rPr>
          <w:t>Graf č. 11:</w:t>
        </w:r>
        <w:r w:rsidR="00DA6167">
          <w:rPr>
            <w:noProof/>
            <w:szCs w:val="22"/>
            <w:lang w:eastAsia="cs-CZ"/>
          </w:rPr>
          <w:tab/>
        </w:r>
        <w:r w:rsidR="00DA6167" w:rsidRPr="00155B6F">
          <w:rPr>
            <w:rStyle w:val="Hypertextovodkaz"/>
            <w:noProof/>
          </w:rPr>
          <w:t>Krytí kapitálových výdajů minulého období</w:t>
        </w:r>
        <w:r w:rsidR="00DA6167">
          <w:rPr>
            <w:noProof/>
            <w:webHidden/>
          </w:rPr>
          <w:tab/>
        </w:r>
        <w:r w:rsidR="00DA6167">
          <w:rPr>
            <w:noProof/>
            <w:webHidden/>
          </w:rPr>
          <w:fldChar w:fldCharType="begin"/>
        </w:r>
        <w:r w:rsidR="00DA6167">
          <w:rPr>
            <w:noProof/>
            <w:webHidden/>
          </w:rPr>
          <w:instrText xml:space="preserve"> PAGEREF _Toc118977811 \h </w:instrText>
        </w:r>
        <w:r w:rsidR="00DA6167">
          <w:rPr>
            <w:noProof/>
            <w:webHidden/>
          </w:rPr>
        </w:r>
        <w:r w:rsidR="00DA6167">
          <w:rPr>
            <w:noProof/>
            <w:webHidden/>
          </w:rPr>
          <w:fldChar w:fldCharType="separate"/>
        </w:r>
        <w:r w:rsidR="00DA6167">
          <w:rPr>
            <w:noProof/>
            <w:webHidden/>
          </w:rPr>
          <w:t>15</w:t>
        </w:r>
        <w:r w:rsidR="00DA6167">
          <w:rPr>
            <w:noProof/>
            <w:webHidden/>
          </w:rPr>
          <w:fldChar w:fldCharType="end"/>
        </w:r>
      </w:hyperlink>
    </w:p>
    <w:p w:rsidR="00DA6167" w:rsidRDefault="00CA6AB8">
      <w:pPr>
        <w:pStyle w:val="Seznamobrzk"/>
        <w:rPr>
          <w:noProof/>
          <w:szCs w:val="22"/>
          <w:lang w:eastAsia="cs-CZ"/>
        </w:rPr>
      </w:pPr>
      <w:hyperlink w:anchor="_Toc118977812" w:history="1">
        <w:r w:rsidR="00DA6167" w:rsidRPr="00155B6F">
          <w:rPr>
            <w:rStyle w:val="Hypertextovodkaz"/>
            <w:noProof/>
          </w:rPr>
          <w:t>Graf č. 12:</w:t>
        </w:r>
        <w:r w:rsidR="00DA6167">
          <w:rPr>
            <w:noProof/>
            <w:szCs w:val="22"/>
            <w:lang w:eastAsia="cs-CZ"/>
          </w:rPr>
          <w:tab/>
        </w:r>
        <w:r w:rsidR="00DA6167" w:rsidRPr="00155B6F">
          <w:rPr>
            <w:rStyle w:val="Hypertextovodkaz"/>
            <w:noProof/>
          </w:rPr>
          <w:t>Vývoj příjmů, výdajů a salda hospodaření</w:t>
        </w:r>
        <w:r w:rsidR="00DA6167">
          <w:rPr>
            <w:noProof/>
            <w:webHidden/>
          </w:rPr>
          <w:tab/>
        </w:r>
        <w:r w:rsidR="00DA6167">
          <w:rPr>
            <w:noProof/>
            <w:webHidden/>
          </w:rPr>
          <w:fldChar w:fldCharType="begin"/>
        </w:r>
        <w:r w:rsidR="00DA6167">
          <w:rPr>
            <w:noProof/>
            <w:webHidden/>
          </w:rPr>
          <w:instrText xml:space="preserve"> PAGEREF _Toc118977812 \h </w:instrText>
        </w:r>
        <w:r w:rsidR="00DA6167">
          <w:rPr>
            <w:noProof/>
            <w:webHidden/>
          </w:rPr>
        </w:r>
        <w:r w:rsidR="00DA6167">
          <w:rPr>
            <w:noProof/>
            <w:webHidden/>
          </w:rPr>
          <w:fldChar w:fldCharType="separate"/>
        </w:r>
        <w:r w:rsidR="00DA6167">
          <w:rPr>
            <w:noProof/>
            <w:webHidden/>
          </w:rPr>
          <w:t>16</w:t>
        </w:r>
        <w:r w:rsidR="00DA6167">
          <w:rPr>
            <w:noProof/>
            <w:webHidden/>
          </w:rPr>
          <w:fldChar w:fldCharType="end"/>
        </w:r>
      </w:hyperlink>
    </w:p>
    <w:p w:rsidR="00DA6167" w:rsidRDefault="00CA6AB8">
      <w:pPr>
        <w:pStyle w:val="Seznamobrzk"/>
        <w:rPr>
          <w:noProof/>
          <w:szCs w:val="22"/>
          <w:lang w:eastAsia="cs-CZ"/>
        </w:rPr>
      </w:pPr>
      <w:hyperlink w:anchor="_Toc118977813" w:history="1">
        <w:r w:rsidR="00DA6167" w:rsidRPr="00155B6F">
          <w:rPr>
            <w:rStyle w:val="Hypertextovodkaz"/>
            <w:noProof/>
          </w:rPr>
          <w:t>Graf č. 13:</w:t>
        </w:r>
        <w:r w:rsidR="00DA6167">
          <w:rPr>
            <w:noProof/>
            <w:szCs w:val="22"/>
            <w:lang w:eastAsia="cs-CZ"/>
          </w:rPr>
          <w:tab/>
        </w:r>
        <w:r w:rsidR="00DA6167" w:rsidRPr="00155B6F">
          <w:rPr>
            <w:rStyle w:val="Hypertextovodkaz"/>
            <w:noProof/>
          </w:rPr>
          <w:t>Vývoj běžných příjmů, výdajů a provozního přebytku</w:t>
        </w:r>
        <w:r w:rsidR="00DA6167">
          <w:rPr>
            <w:noProof/>
            <w:webHidden/>
          </w:rPr>
          <w:tab/>
        </w:r>
        <w:r w:rsidR="00DA6167">
          <w:rPr>
            <w:noProof/>
            <w:webHidden/>
          </w:rPr>
          <w:fldChar w:fldCharType="begin"/>
        </w:r>
        <w:r w:rsidR="00DA6167">
          <w:rPr>
            <w:noProof/>
            <w:webHidden/>
          </w:rPr>
          <w:instrText xml:space="preserve"> PAGEREF _Toc118977813 \h </w:instrText>
        </w:r>
        <w:r w:rsidR="00DA6167">
          <w:rPr>
            <w:noProof/>
            <w:webHidden/>
          </w:rPr>
        </w:r>
        <w:r w:rsidR="00DA6167">
          <w:rPr>
            <w:noProof/>
            <w:webHidden/>
          </w:rPr>
          <w:fldChar w:fldCharType="separate"/>
        </w:r>
        <w:r w:rsidR="00DA6167">
          <w:rPr>
            <w:noProof/>
            <w:webHidden/>
          </w:rPr>
          <w:t>16</w:t>
        </w:r>
        <w:r w:rsidR="00DA6167">
          <w:rPr>
            <w:noProof/>
            <w:webHidden/>
          </w:rPr>
          <w:fldChar w:fldCharType="end"/>
        </w:r>
      </w:hyperlink>
    </w:p>
    <w:p w:rsidR="00DA6167" w:rsidRDefault="00CA6AB8">
      <w:pPr>
        <w:pStyle w:val="Seznamobrzk"/>
        <w:rPr>
          <w:noProof/>
          <w:szCs w:val="22"/>
          <w:lang w:eastAsia="cs-CZ"/>
        </w:rPr>
      </w:pPr>
      <w:hyperlink w:anchor="_Toc118977814" w:history="1">
        <w:r w:rsidR="00DA6167" w:rsidRPr="00155B6F">
          <w:rPr>
            <w:rStyle w:val="Hypertextovodkaz"/>
            <w:noProof/>
          </w:rPr>
          <w:t>Graf č. 14:</w:t>
        </w:r>
        <w:r w:rsidR="00DA6167">
          <w:rPr>
            <w:noProof/>
            <w:szCs w:val="22"/>
            <w:lang w:eastAsia="cs-CZ"/>
          </w:rPr>
          <w:tab/>
        </w:r>
        <w:r w:rsidR="00DA6167" w:rsidRPr="00155B6F">
          <w:rPr>
            <w:rStyle w:val="Hypertextovodkaz"/>
            <w:noProof/>
          </w:rPr>
          <w:t>Vývoj provozních ukazatelů</w:t>
        </w:r>
        <w:r w:rsidR="00DA6167">
          <w:rPr>
            <w:noProof/>
            <w:webHidden/>
          </w:rPr>
          <w:tab/>
        </w:r>
        <w:r w:rsidR="00DA6167">
          <w:rPr>
            <w:noProof/>
            <w:webHidden/>
          </w:rPr>
          <w:fldChar w:fldCharType="begin"/>
        </w:r>
        <w:r w:rsidR="00DA6167">
          <w:rPr>
            <w:noProof/>
            <w:webHidden/>
          </w:rPr>
          <w:instrText xml:space="preserve"> PAGEREF _Toc118977814 \h </w:instrText>
        </w:r>
        <w:r w:rsidR="00DA6167">
          <w:rPr>
            <w:noProof/>
            <w:webHidden/>
          </w:rPr>
        </w:r>
        <w:r w:rsidR="00DA6167">
          <w:rPr>
            <w:noProof/>
            <w:webHidden/>
          </w:rPr>
          <w:fldChar w:fldCharType="separate"/>
        </w:r>
        <w:r w:rsidR="00DA6167">
          <w:rPr>
            <w:noProof/>
            <w:webHidden/>
          </w:rPr>
          <w:t>17</w:t>
        </w:r>
        <w:r w:rsidR="00DA6167">
          <w:rPr>
            <w:noProof/>
            <w:webHidden/>
          </w:rPr>
          <w:fldChar w:fldCharType="end"/>
        </w:r>
      </w:hyperlink>
    </w:p>
    <w:p w:rsidR="00DA6167" w:rsidRDefault="00CA6AB8">
      <w:pPr>
        <w:pStyle w:val="Seznamobrzk"/>
        <w:rPr>
          <w:noProof/>
          <w:szCs w:val="22"/>
          <w:lang w:eastAsia="cs-CZ"/>
        </w:rPr>
      </w:pPr>
      <w:hyperlink w:anchor="_Toc118977815" w:history="1">
        <w:r w:rsidR="00DA6167" w:rsidRPr="00155B6F">
          <w:rPr>
            <w:rStyle w:val="Hypertextovodkaz"/>
            <w:noProof/>
          </w:rPr>
          <w:t>Graf č. 15:</w:t>
        </w:r>
        <w:r w:rsidR="00DA6167">
          <w:rPr>
            <w:noProof/>
            <w:szCs w:val="22"/>
            <w:lang w:eastAsia="cs-CZ"/>
          </w:rPr>
          <w:tab/>
        </w:r>
        <w:r w:rsidR="00DA6167" w:rsidRPr="00155B6F">
          <w:rPr>
            <w:rStyle w:val="Hypertextovodkaz"/>
            <w:noProof/>
          </w:rPr>
          <w:t>Průměrné měsíční cash flow</w:t>
        </w:r>
        <w:r w:rsidR="00DA6167">
          <w:rPr>
            <w:noProof/>
            <w:webHidden/>
          </w:rPr>
          <w:tab/>
        </w:r>
        <w:r w:rsidR="00DA6167">
          <w:rPr>
            <w:noProof/>
            <w:webHidden/>
          </w:rPr>
          <w:fldChar w:fldCharType="begin"/>
        </w:r>
        <w:r w:rsidR="00DA6167">
          <w:rPr>
            <w:noProof/>
            <w:webHidden/>
          </w:rPr>
          <w:instrText xml:space="preserve"> PAGEREF _Toc118977815 \h </w:instrText>
        </w:r>
        <w:r w:rsidR="00DA6167">
          <w:rPr>
            <w:noProof/>
            <w:webHidden/>
          </w:rPr>
        </w:r>
        <w:r w:rsidR="00DA6167">
          <w:rPr>
            <w:noProof/>
            <w:webHidden/>
          </w:rPr>
          <w:fldChar w:fldCharType="separate"/>
        </w:r>
        <w:r w:rsidR="00DA6167">
          <w:rPr>
            <w:noProof/>
            <w:webHidden/>
          </w:rPr>
          <w:t>20</w:t>
        </w:r>
        <w:r w:rsidR="00DA6167">
          <w:rPr>
            <w:noProof/>
            <w:webHidden/>
          </w:rPr>
          <w:fldChar w:fldCharType="end"/>
        </w:r>
      </w:hyperlink>
    </w:p>
    <w:p w:rsidR="00DA6167" w:rsidRDefault="00CA6AB8">
      <w:pPr>
        <w:pStyle w:val="Seznamobrzk"/>
        <w:rPr>
          <w:noProof/>
          <w:szCs w:val="22"/>
          <w:lang w:eastAsia="cs-CZ"/>
        </w:rPr>
      </w:pPr>
      <w:hyperlink w:anchor="_Toc118977816" w:history="1">
        <w:r w:rsidR="00DA6167" w:rsidRPr="00155B6F">
          <w:rPr>
            <w:rStyle w:val="Hypertextovodkaz"/>
            <w:noProof/>
          </w:rPr>
          <w:t>Graf č. 16:</w:t>
        </w:r>
        <w:r w:rsidR="00DA6167">
          <w:rPr>
            <w:noProof/>
            <w:szCs w:val="22"/>
            <w:lang w:eastAsia="cs-CZ"/>
          </w:rPr>
          <w:tab/>
        </w:r>
        <w:r w:rsidR="00DA6167" w:rsidRPr="00155B6F">
          <w:rPr>
            <w:rStyle w:val="Hypertextovodkaz"/>
            <w:noProof/>
          </w:rPr>
          <w:t>Vývoj cash flow</w:t>
        </w:r>
        <w:r w:rsidR="00DA6167">
          <w:rPr>
            <w:noProof/>
            <w:webHidden/>
          </w:rPr>
          <w:tab/>
        </w:r>
        <w:r w:rsidR="00DA6167">
          <w:rPr>
            <w:noProof/>
            <w:webHidden/>
          </w:rPr>
          <w:fldChar w:fldCharType="begin"/>
        </w:r>
        <w:r w:rsidR="00DA6167">
          <w:rPr>
            <w:noProof/>
            <w:webHidden/>
          </w:rPr>
          <w:instrText xml:space="preserve"> PAGEREF _Toc118977816 \h </w:instrText>
        </w:r>
        <w:r w:rsidR="00DA6167">
          <w:rPr>
            <w:noProof/>
            <w:webHidden/>
          </w:rPr>
        </w:r>
        <w:r w:rsidR="00DA6167">
          <w:rPr>
            <w:noProof/>
            <w:webHidden/>
          </w:rPr>
          <w:fldChar w:fldCharType="separate"/>
        </w:r>
        <w:r w:rsidR="00DA6167">
          <w:rPr>
            <w:noProof/>
            <w:webHidden/>
          </w:rPr>
          <w:t>20</w:t>
        </w:r>
        <w:r w:rsidR="00DA6167">
          <w:rPr>
            <w:noProof/>
            <w:webHidden/>
          </w:rPr>
          <w:fldChar w:fldCharType="end"/>
        </w:r>
      </w:hyperlink>
    </w:p>
    <w:p w:rsidR="00DA6167" w:rsidRDefault="00CA6AB8">
      <w:pPr>
        <w:pStyle w:val="Seznamobrzk"/>
        <w:rPr>
          <w:noProof/>
          <w:szCs w:val="22"/>
          <w:lang w:eastAsia="cs-CZ"/>
        </w:rPr>
      </w:pPr>
      <w:hyperlink w:anchor="_Toc118977817" w:history="1">
        <w:r w:rsidR="00DA6167" w:rsidRPr="00155B6F">
          <w:rPr>
            <w:rStyle w:val="Hypertextovodkaz"/>
            <w:noProof/>
          </w:rPr>
          <w:t>Graf č. 17:</w:t>
        </w:r>
        <w:r w:rsidR="00DA6167">
          <w:rPr>
            <w:noProof/>
            <w:szCs w:val="22"/>
            <w:lang w:eastAsia="cs-CZ"/>
          </w:rPr>
          <w:tab/>
        </w:r>
        <w:r w:rsidR="00DA6167" w:rsidRPr="00155B6F">
          <w:rPr>
            <w:rStyle w:val="Hypertextovodkaz"/>
            <w:noProof/>
          </w:rPr>
          <w:t>Vývoj počtu obyvatel a počtu žáků</w:t>
        </w:r>
        <w:r w:rsidR="00DA6167">
          <w:rPr>
            <w:noProof/>
            <w:webHidden/>
          </w:rPr>
          <w:tab/>
        </w:r>
        <w:r w:rsidR="00DA6167">
          <w:rPr>
            <w:noProof/>
            <w:webHidden/>
          </w:rPr>
          <w:fldChar w:fldCharType="begin"/>
        </w:r>
        <w:r w:rsidR="00DA6167">
          <w:rPr>
            <w:noProof/>
            <w:webHidden/>
          </w:rPr>
          <w:instrText xml:space="preserve"> PAGEREF _Toc118977817 \h </w:instrText>
        </w:r>
        <w:r w:rsidR="00DA6167">
          <w:rPr>
            <w:noProof/>
            <w:webHidden/>
          </w:rPr>
        </w:r>
        <w:r w:rsidR="00DA6167">
          <w:rPr>
            <w:noProof/>
            <w:webHidden/>
          </w:rPr>
          <w:fldChar w:fldCharType="separate"/>
        </w:r>
        <w:r w:rsidR="00DA6167">
          <w:rPr>
            <w:noProof/>
            <w:webHidden/>
          </w:rPr>
          <w:t>21</w:t>
        </w:r>
        <w:r w:rsidR="00DA6167">
          <w:rPr>
            <w:noProof/>
            <w:webHidden/>
          </w:rPr>
          <w:fldChar w:fldCharType="end"/>
        </w:r>
      </w:hyperlink>
    </w:p>
    <w:p w:rsidR="00DA6167" w:rsidRDefault="00CA6AB8">
      <w:pPr>
        <w:pStyle w:val="Seznamobrzk"/>
        <w:rPr>
          <w:noProof/>
          <w:szCs w:val="22"/>
          <w:lang w:eastAsia="cs-CZ"/>
        </w:rPr>
      </w:pPr>
      <w:hyperlink w:anchor="_Toc118977818" w:history="1">
        <w:r w:rsidR="00DA6167" w:rsidRPr="00155B6F">
          <w:rPr>
            <w:rStyle w:val="Hypertextovodkaz"/>
            <w:noProof/>
          </w:rPr>
          <w:t>Graf č. 18:</w:t>
        </w:r>
        <w:r w:rsidR="00DA6167">
          <w:rPr>
            <w:noProof/>
            <w:szCs w:val="22"/>
            <w:lang w:eastAsia="cs-CZ"/>
          </w:rPr>
          <w:tab/>
        </w:r>
        <w:r w:rsidR="00DA6167" w:rsidRPr="00155B6F">
          <w:rPr>
            <w:rStyle w:val="Hypertextovodkaz"/>
            <w:noProof/>
          </w:rPr>
          <w:t>Meziroční vývoj rozpočtu dle tříd rozpočtové skladby</w:t>
        </w:r>
        <w:r w:rsidR="00DA6167">
          <w:rPr>
            <w:noProof/>
            <w:webHidden/>
          </w:rPr>
          <w:tab/>
        </w:r>
        <w:r w:rsidR="00DA6167">
          <w:rPr>
            <w:noProof/>
            <w:webHidden/>
          </w:rPr>
          <w:fldChar w:fldCharType="begin"/>
        </w:r>
        <w:r w:rsidR="00DA6167">
          <w:rPr>
            <w:noProof/>
            <w:webHidden/>
          </w:rPr>
          <w:instrText xml:space="preserve"> PAGEREF _Toc118977818 \h </w:instrText>
        </w:r>
        <w:r w:rsidR="00DA6167">
          <w:rPr>
            <w:noProof/>
            <w:webHidden/>
          </w:rPr>
        </w:r>
        <w:r w:rsidR="00DA6167">
          <w:rPr>
            <w:noProof/>
            <w:webHidden/>
          </w:rPr>
          <w:fldChar w:fldCharType="separate"/>
        </w:r>
        <w:r w:rsidR="00DA6167">
          <w:rPr>
            <w:noProof/>
            <w:webHidden/>
          </w:rPr>
          <w:t>22</w:t>
        </w:r>
        <w:r w:rsidR="00DA6167">
          <w:rPr>
            <w:noProof/>
            <w:webHidden/>
          </w:rPr>
          <w:fldChar w:fldCharType="end"/>
        </w:r>
      </w:hyperlink>
    </w:p>
    <w:p w:rsidR="00DA6167" w:rsidRDefault="00CA6AB8">
      <w:pPr>
        <w:pStyle w:val="Seznamobrzk"/>
        <w:rPr>
          <w:noProof/>
          <w:szCs w:val="22"/>
          <w:lang w:eastAsia="cs-CZ"/>
        </w:rPr>
      </w:pPr>
      <w:hyperlink w:anchor="_Toc118977819" w:history="1">
        <w:r w:rsidR="00DA6167" w:rsidRPr="00155B6F">
          <w:rPr>
            <w:rStyle w:val="Hypertextovodkaz"/>
            <w:noProof/>
          </w:rPr>
          <w:t>Graf č. 19:</w:t>
        </w:r>
        <w:r w:rsidR="00DA6167">
          <w:rPr>
            <w:noProof/>
            <w:szCs w:val="22"/>
            <w:lang w:eastAsia="cs-CZ"/>
          </w:rPr>
          <w:tab/>
        </w:r>
        <w:r w:rsidR="00DA6167" w:rsidRPr="00155B6F">
          <w:rPr>
            <w:rStyle w:val="Hypertextovodkaz"/>
            <w:noProof/>
          </w:rPr>
          <w:t>Saldo provozního a kapitálového rozpočtu</w:t>
        </w:r>
        <w:r w:rsidR="00DA6167">
          <w:rPr>
            <w:noProof/>
            <w:webHidden/>
          </w:rPr>
          <w:tab/>
        </w:r>
        <w:r w:rsidR="00DA6167">
          <w:rPr>
            <w:noProof/>
            <w:webHidden/>
          </w:rPr>
          <w:fldChar w:fldCharType="begin"/>
        </w:r>
        <w:r w:rsidR="00DA6167">
          <w:rPr>
            <w:noProof/>
            <w:webHidden/>
          </w:rPr>
          <w:instrText xml:space="preserve"> PAGEREF _Toc118977819 \h </w:instrText>
        </w:r>
        <w:r w:rsidR="00DA6167">
          <w:rPr>
            <w:noProof/>
            <w:webHidden/>
          </w:rPr>
        </w:r>
        <w:r w:rsidR="00DA6167">
          <w:rPr>
            <w:noProof/>
            <w:webHidden/>
          </w:rPr>
          <w:fldChar w:fldCharType="separate"/>
        </w:r>
        <w:r w:rsidR="00DA6167">
          <w:rPr>
            <w:noProof/>
            <w:webHidden/>
          </w:rPr>
          <w:t>22</w:t>
        </w:r>
        <w:r w:rsidR="00DA6167">
          <w:rPr>
            <w:noProof/>
            <w:webHidden/>
          </w:rPr>
          <w:fldChar w:fldCharType="end"/>
        </w:r>
      </w:hyperlink>
    </w:p>
    <w:p w:rsidR="00DA6167" w:rsidRDefault="00CA6AB8">
      <w:pPr>
        <w:pStyle w:val="Seznamobrzk"/>
        <w:rPr>
          <w:noProof/>
          <w:szCs w:val="22"/>
          <w:lang w:eastAsia="cs-CZ"/>
        </w:rPr>
      </w:pPr>
      <w:hyperlink w:anchor="_Toc118977820" w:history="1">
        <w:r w:rsidR="00DA6167" w:rsidRPr="00155B6F">
          <w:rPr>
            <w:rStyle w:val="Hypertextovodkaz"/>
            <w:noProof/>
          </w:rPr>
          <w:t>Graf č. 20:</w:t>
        </w:r>
        <w:r w:rsidR="00DA6167">
          <w:rPr>
            <w:noProof/>
            <w:szCs w:val="22"/>
            <w:lang w:eastAsia="cs-CZ"/>
          </w:rPr>
          <w:tab/>
        </w:r>
        <w:r w:rsidR="00DA6167" w:rsidRPr="00155B6F">
          <w:rPr>
            <w:rStyle w:val="Hypertextovodkaz"/>
            <w:noProof/>
          </w:rPr>
          <w:t>Vývoj sdílených daní</w:t>
        </w:r>
        <w:r w:rsidR="00DA6167">
          <w:rPr>
            <w:noProof/>
            <w:webHidden/>
          </w:rPr>
          <w:tab/>
        </w:r>
        <w:r w:rsidR="00DA6167">
          <w:rPr>
            <w:noProof/>
            <w:webHidden/>
          </w:rPr>
          <w:fldChar w:fldCharType="begin"/>
        </w:r>
        <w:r w:rsidR="00DA6167">
          <w:rPr>
            <w:noProof/>
            <w:webHidden/>
          </w:rPr>
          <w:instrText xml:space="preserve"> PAGEREF _Toc118977820 \h </w:instrText>
        </w:r>
        <w:r w:rsidR="00DA6167">
          <w:rPr>
            <w:noProof/>
            <w:webHidden/>
          </w:rPr>
        </w:r>
        <w:r w:rsidR="00DA6167">
          <w:rPr>
            <w:noProof/>
            <w:webHidden/>
          </w:rPr>
          <w:fldChar w:fldCharType="separate"/>
        </w:r>
        <w:r w:rsidR="00DA6167">
          <w:rPr>
            <w:noProof/>
            <w:webHidden/>
          </w:rPr>
          <w:t>25</w:t>
        </w:r>
        <w:r w:rsidR="00DA6167">
          <w:rPr>
            <w:noProof/>
            <w:webHidden/>
          </w:rPr>
          <w:fldChar w:fldCharType="end"/>
        </w:r>
      </w:hyperlink>
    </w:p>
    <w:p w:rsidR="00DA6167" w:rsidRDefault="00CA6AB8">
      <w:pPr>
        <w:pStyle w:val="Seznamobrzk"/>
        <w:rPr>
          <w:noProof/>
          <w:szCs w:val="22"/>
          <w:lang w:eastAsia="cs-CZ"/>
        </w:rPr>
      </w:pPr>
      <w:hyperlink w:anchor="_Toc118977821" w:history="1">
        <w:r w:rsidR="00DA6167" w:rsidRPr="00155B6F">
          <w:rPr>
            <w:rStyle w:val="Hypertextovodkaz"/>
            <w:noProof/>
          </w:rPr>
          <w:t>Graf č. 21:</w:t>
        </w:r>
        <w:r w:rsidR="00DA6167">
          <w:rPr>
            <w:noProof/>
            <w:szCs w:val="22"/>
            <w:lang w:eastAsia="cs-CZ"/>
          </w:rPr>
          <w:tab/>
        </w:r>
        <w:r w:rsidR="00DA6167" w:rsidRPr="00155B6F">
          <w:rPr>
            <w:rStyle w:val="Hypertextovodkaz"/>
            <w:noProof/>
          </w:rPr>
          <w:t>Vývoj běžných příjmů a výdajů</w:t>
        </w:r>
        <w:r w:rsidR="00DA6167">
          <w:rPr>
            <w:noProof/>
            <w:webHidden/>
          </w:rPr>
          <w:tab/>
        </w:r>
        <w:r w:rsidR="00DA6167">
          <w:rPr>
            <w:noProof/>
            <w:webHidden/>
          </w:rPr>
          <w:fldChar w:fldCharType="begin"/>
        </w:r>
        <w:r w:rsidR="00DA6167">
          <w:rPr>
            <w:noProof/>
            <w:webHidden/>
          </w:rPr>
          <w:instrText xml:space="preserve"> PAGEREF _Toc118977821 \h </w:instrText>
        </w:r>
        <w:r w:rsidR="00DA6167">
          <w:rPr>
            <w:noProof/>
            <w:webHidden/>
          </w:rPr>
        </w:r>
        <w:r w:rsidR="00DA6167">
          <w:rPr>
            <w:noProof/>
            <w:webHidden/>
          </w:rPr>
          <w:fldChar w:fldCharType="separate"/>
        </w:r>
        <w:r w:rsidR="00DA6167">
          <w:rPr>
            <w:noProof/>
            <w:webHidden/>
          </w:rPr>
          <w:t>25</w:t>
        </w:r>
        <w:r w:rsidR="00DA6167">
          <w:rPr>
            <w:noProof/>
            <w:webHidden/>
          </w:rPr>
          <w:fldChar w:fldCharType="end"/>
        </w:r>
      </w:hyperlink>
    </w:p>
    <w:p w:rsidR="00DA6167" w:rsidRDefault="00CA6AB8">
      <w:pPr>
        <w:pStyle w:val="Seznamobrzk"/>
        <w:rPr>
          <w:noProof/>
          <w:szCs w:val="22"/>
          <w:lang w:eastAsia="cs-CZ"/>
        </w:rPr>
      </w:pPr>
      <w:hyperlink w:anchor="_Toc118977822" w:history="1">
        <w:r w:rsidR="00DA6167" w:rsidRPr="00155B6F">
          <w:rPr>
            <w:rStyle w:val="Hypertextovodkaz"/>
            <w:noProof/>
          </w:rPr>
          <w:t>Graf č. 22:</w:t>
        </w:r>
        <w:r w:rsidR="00DA6167">
          <w:rPr>
            <w:noProof/>
            <w:szCs w:val="22"/>
            <w:lang w:eastAsia="cs-CZ"/>
          </w:rPr>
          <w:tab/>
        </w:r>
        <w:r w:rsidR="00DA6167" w:rsidRPr="00155B6F">
          <w:rPr>
            <w:rStyle w:val="Hypertextovodkaz"/>
            <w:noProof/>
          </w:rPr>
          <w:t>Vývoj provozního přebytku</w:t>
        </w:r>
        <w:r w:rsidR="00DA6167">
          <w:rPr>
            <w:noProof/>
            <w:webHidden/>
          </w:rPr>
          <w:tab/>
        </w:r>
        <w:r w:rsidR="00DA6167">
          <w:rPr>
            <w:noProof/>
            <w:webHidden/>
          </w:rPr>
          <w:fldChar w:fldCharType="begin"/>
        </w:r>
        <w:r w:rsidR="00DA6167">
          <w:rPr>
            <w:noProof/>
            <w:webHidden/>
          </w:rPr>
          <w:instrText xml:space="preserve"> PAGEREF _Toc118977822 \h </w:instrText>
        </w:r>
        <w:r w:rsidR="00DA6167">
          <w:rPr>
            <w:noProof/>
            <w:webHidden/>
          </w:rPr>
        </w:r>
        <w:r w:rsidR="00DA6167">
          <w:rPr>
            <w:noProof/>
            <w:webHidden/>
          </w:rPr>
          <w:fldChar w:fldCharType="separate"/>
        </w:r>
        <w:r w:rsidR="00DA6167">
          <w:rPr>
            <w:noProof/>
            <w:webHidden/>
          </w:rPr>
          <w:t>26</w:t>
        </w:r>
        <w:r w:rsidR="00DA6167">
          <w:rPr>
            <w:noProof/>
            <w:webHidden/>
          </w:rPr>
          <w:fldChar w:fldCharType="end"/>
        </w:r>
      </w:hyperlink>
    </w:p>
    <w:p w:rsidR="00DA6167" w:rsidRDefault="00CA6AB8">
      <w:pPr>
        <w:pStyle w:val="Seznamobrzk"/>
        <w:rPr>
          <w:noProof/>
          <w:szCs w:val="22"/>
          <w:lang w:eastAsia="cs-CZ"/>
        </w:rPr>
      </w:pPr>
      <w:hyperlink w:anchor="_Toc118977823" w:history="1">
        <w:r w:rsidR="00DA6167" w:rsidRPr="00155B6F">
          <w:rPr>
            <w:rStyle w:val="Hypertextovodkaz"/>
            <w:noProof/>
          </w:rPr>
          <w:t>Graf č. 23:</w:t>
        </w:r>
        <w:r w:rsidR="00DA6167">
          <w:rPr>
            <w:noProof/>
            <w:szCs w:val="22"/>
            <w:lang w:eastAsia="cs-CZ"/>
          </w:rPr>
          <w:tab/>
        </w:r>
        <w:r w:rsidR="00DA6167" w:rsidRPr="00155B6F">
          <w:rPr>
            <w:rStyle w:val="Hypertextovodkaz"/>
            <w:noProof/>
          </w:rPr>
          <w:t>Vývoj ukazatele provozních úspor</w:t>
        </w:r>
        <w:r w:rsidR="00DA6167">
          <w:rPr>
            <w:noProof/>
            <w:webHidden/>
          </w:rPr>
          <w:tab/>
        </w:r>
        <w:r w:rsidR="00DA6167">
          <w:rPr>
            <w:noProof/>
            <w:webHidden/>
          </w:rPr>
          <w:fldChar w:fldCharType="begin"/>
        </w:r>
        <w:r w:rsidR="00DA6167">
          <w:rPr>
            <w:noProof/>
            <w:webHidden/>
          </w:rPr>
          <w:instrText xml:space="preserve"> PAGEREF _Toc118977823 \h </w:instrText>
        </w:r>
        <w:r w:rsidR="00DA6167">
          <w:rPr>
            <w:noProof/>
            <w:webHidden/>
          </w:rPr>
        </w:r>
        <w:r w:rsidR="00DA6167">
          <w:rPr>
            <w:noProof/>
            <w:webHidden/>
          </w:rPr>
          <w:fldChar w:fldCharType="separate"/>
        </w:r>
        <w:r w:rsidR="00DA6167">
          <w:rPr>
            <w:noProof/>
            <w:webHidden/>
          </w:rPr>
          <w:t>26</w:t>
        </w:r>
        <w:r w:rsidR="00DA6167">
          <w:rPr>
            <w:noProof/>
            <w:webHidden/>
          </w:rPr>
          <w:fldChar w:fldCharType="end"/>
        </w:r>
      </w:hyperlink>
    </w:p>
    <w:p w:rsidR="00DA6167" w:rsidRDefault="00CA6AB8">
      <w:pPr>
        <w:pStyle w:val="Seznamobrzk"/>
        <w:rPr>
          <w:noProof/>
          <w:szCs w:val="22"/>
          <w:lang w:eastAsia="cs-CZ"/>
        </w:rPr>
      </w:pPr>
      <w:hyperlink w:anchor="_Toc118977824" w:history="1">
        <w:r w:rsidR="00DA6167" w:rsidRPr="00155B6F">
          <w:rPr>
            <w:rStyle w:val="Hypertextovodkaz"/>
            <w:noProof/>
          </w:rPr>
          <w:t>Graf č. 24:</w:t>
        </w:r>
        <w:r w:rsidR="00DA6167">
          <w:rPr>
            <w:noProof/>
            <w:szCs w:val="22"/>
            <w:lang w:eastAsia="cs-CZ"/>
          </w:rPr>
          <w:tab/>
        </w:r>
        <w:r w:rsidR="00DA6167" w:rsidRPr="00155B6F">
          <w:rPr>
            <w:rStyle w:val="Hypertextovodkaz"/>
            <w:noProof/>
          </w:rPr>
          <w:t>Vývoj salda hospodaření</w:t>
        </w:r>
        <w:r w:rsidR="00DA6167">
          <w:rPr>
            <w:noProof/>
            <w:webHidden/>
          </w:rPr>
          <w:tab/>
        </w:r>
        <w:r w:rsidR="00DA6167">
          <w:rPr>
            <w:noProof/>
            <w:webHidden/>
          </w:rPr>
          <w:fldChar w:fldCharType="begin"/>
        </w:r>
        <w:r w:rsidR="00DA6167">
          <w:rPr>
            <w:noProof/>
            <w:webHidden/>
          </w:rPr>
          <w:instrText xml:space="preserve"> PAGEREF _Toc118977824 \h </w:instrText>
        </w:r>
        <w:r w:rsidR="00DA6167">
          <w:rPr>
            <w:noProof/>
            <w:webHidden/>
          </w:rPr>
        </w:r>
        <w:r w:rsidR="00DA6167">
          <w:rPr>
            <w:noProof/>
            <w:webHidden/>
          </w:rPr>
          <w:fldChar w:fldCharType="separate"/>
        </w:r>
        <w:r w:rsidR="00DA6167">
          <w:rPr>
            <w:noProof/>
            <w:webHidden/>
          </w:rPr>
          <w:t>27</w:t>
        </w:r>
        <w:r w:rsidR="00DA6167">
          <w:rPr>
            <w:noProof/>
            <w:webHidden/>
          </w:rPr>
          <w:fldChar w:fldCharType="end"/>
        </w:r>
      </w:hyperlink>
    </w:p>
    <w:p w:rsidR="00DA6167" w:rsidRDefault="00CA6AB8">
      <w:pPr>
        <w:pStyle w:val="Seznamobrzk"/>
        <w:rPr>
          <w:noProof/>
          <w:szCs w:val="22"/>
          <w:lang w:eastAsia="cs-CZ"/>
        </w:rPr>
      </w:pPr>
      <w:hyperlink w:anchor="_Toc118977825" w:history="1">
        <w:r w:rsidR="00DA6167" w:rsidRPr="00155B6F">
          <w:rPr>
            <w:rStyle w:val="Hypertextovodkaz"/>
            <w:noProof/>
          </w:rPr>
          <w:t>Graf č. 25:</w:t>
        </w:r>
        <w:r w:rsidR="00DA6167">
          <w:rPr>
            <w:noProof/>
            <w:szCs w:val="22"/>
            <w:lang w:eastAsia="cs-CZ"/>
          </w:rPr>
          <w:tab/>
        </w:r>
        <w:r w:rsidR="00DA6167" w:rsidRPr="00155B6F">
          <w:rPr>
            <w:rStyle w:val="Hypertextovodkaz"/>
            <w:noProof/>
          </w:rPr>
          <w:t>Vývoj dluhové služby</w:t>
        </w:r>
        <w:r w:rsidR="00DA6167">
          <w:rPr>
            <w:noProof/>
            <w:webHidden/>
          </w:rPr>
          <w:tab/>
        </w:r>
        <w:r w:rsidR="00DA6167">
          <w:rPr>
            <w:noProof/>
            <w:webHidden/>
          </w:rPr>
          <w:fldChar w:fldCharType="begin"/>
        </w:r>
        <w:r w:rsidR="00DA6167">
          <w:rPr>
            <w:noProof/>
            <w:webHidden/>
          </w:rPr>
          <w:instrText xml:space="preserve"> PAGEREF _Toc118977825 \h </w:instrText>
        </w:r>
        <w:r w:rsidR="00DA6167">
          <w:rPr>
            <w:noProof/>
            <w:webHidden/>
          </w:rPr>
        </w:r>
        <w:r w:rsidR="00DA6167">
          <w:rPr>
            <w:noProof/>
            <w:webHidden/>
          </w:rPr>
          <w:fldChar w:fldCharType="separate"/>
        </w:r>
        <w:r w:rsidR="00DA6167">
          <w:rPr>
            <w:noProof/>
            <w:webHidden/>
          </w:rPr>
          <w:t>29</w:t>
        </w:r>
        <w:r w:rsidR="00DA6167">
          <w:rPr>
            <w:noProof/>
            <w:webHidden/>
          </w:rPr>
          <w:fldChar w:fldCharType="end"/>
        </w:r>
      </w:hyperlink>
    </w:p>
    <w:p w:rsidR="00DA6167" w:rsidRDefault="00CA6AB8">
      <w:pPr>
        <w:pStyle w:val="Seznamobrzk"/>
        <w:rPr>
          <w:noProof/>
          <w:szCs w:val="22"/>
          <w:lang w:eastAsia="cs-CZ"/>
        </w:rPr>
      </w:pPr>
      <w:hyperlink w:anchor="_Toc118977826" w:history="1">
        <w:r w:rsidR="00DA6167" w:rsidRPr="00155B6F">
          <w:rPr>
            <w:rStyle w:val="Hypertextovodkaz"/>
            <w:noProof/>
          </w:rPr>
          <w:t>Graf č. 26:</w:t>
        </w:r>
        <w:r w:rsidR="00DA6167">
          <w:rPr>
            <w:noProof/>
            <w:szCs w:val="22"/>
            <w:lang w:eastAsia="cs-CZ"/>
          </w:rPr>
          <w:tab/>
        </w:r>
        <w:r w:rsidR="00DA6167" w:rsidRPr="00155B6F">
          <w:rPr>
            <w:rStyle w:val="Hypertextovodkaz"/>
            <w:noProof/>
          </w:rPr>
          <w:t>Vývoj teoretického navýšení dluhu</w:t>
        </w:r>
        <w:r w:rsidR="00DA6167">
          <w:rPr>
            <w:noProof/>
            <w:webHidden/>
          </w:rPr>
          <w:tab/>
        </w:r>
        <w:r w:rsidR="00DA6167">
          <w:rPr>
            <w:noProof/>
            <w:webHidden/>
          </w:rPr>
          <w:fldChar w:fldCharType="begin"/>
        </w:r>
        <w:r w:rsidR="00DA6167">
          <w:rPr>
            <w:noProof/>
            <w:webHidden/>
          </w:rPr>
          <w:instrText xml:space="preserve"> PAGEREF _Toc118977826 \h </w:instrText>
        </w:r>
        <w:r w:rsidR="00DA6167">
          <w:rPr>
            <w:noProof/>
            <w:webHidden/>
          </w:rPr>
        </w:r>
        <w:r w:rsidR="00DA6167">
          <w:rPr>
            <w:noProof/>
            <w:webHidden/>
          </w:rPr>
          <w:fldChar w:fldCharType="separate"/>
        </w:r>
        <w:r w:rsidR="00DA6167">
          <w:rPr>
            <w:noProof/>
            <w:webHidden/>
          </w:rPr>
          <w:t>29</w:t>
        </w:r>
        <w:r w:rsidR="00DA6167">
          <w:rPr>
            <w:noProof/>
            <w:webHidden/>
          </w:rPr>
          <w:fldChar w:fldCharType="end"/>
        </w:r>
      </w:hyperlink>
    </w:p>
    <w:p w:rsidR="00DA6167" w:rsidRDefault="00CA6AB8">
      <w:pPr>
        <w:pStyle w:val="Seznamobrzk"/>
        <w:rPr>
          <w:noProof/>
          <w:szCs w:val="22"/>
          <w:lang w:eastAsia="cs-CZ"/>
        </w:rPr>
      </w:pPr>
      <w:hyperlink w:anchor="_Toc118977827" w:history="1">
        <w:r w:rsidR="00DA6167" w:rsidRPr="00155B6F">
          <w:rPr>
            <w:rStyle w:val="Hypertextovodkaz"/>
            <w:noProof/>
          </w:rPr>
          <w:t>Graf č. 27:</w:t>
        </w:r>
        <w:r w:rsidR="00DA6167">
          <w:rPr>
            <w:noProof/>
            <w:szCs w:val="22"/>
            <w:lang w:eastAsia="cs-CZ"/>
          </w:rPr>
          <w:tab/>
        </w:r>
        <w:r w:rsidR="00DA6167" w:rsidRPr="00155B6F">
          <w:rPr>
            <w:rStyle w:val="Hypertextovodkaz"/>
            <w:noProof/>
          </w:rPr>
          <w:t>Relativní zhodnocení dílčích oblastí</w:t>
        </w:r>
        <w:r w:rsidR="00DA6167">
          <w:rPr>
            <w:noProof/>
            <w:webHidden/>
          </w:rPr>
          <w:tab/>
        </w:r>
        <w:r w:rsidR="00DA6167">
          <w:rPr>
            <w:noProof/>
            <w:webHidden/>
          </w:rPr>
          <w:fldChar w:fldCharType="begin"/>
        </w:r>
        <w:r w:rsidR="00DA6167">
          <w:rPr>
            <w:noProof/>
            <w:webHidden/>
          </w:rPr>
          <w:instrText xml:space="preserve"> PAGEREF _Toc118977827 \h </w:instrText>
        </w:r>
        <w:r w:rsidR="00DA6167">
          <w:rPr>
            <w:noProof/>
            <w:webHidden/>
          </w:rPr>
        </w:r>
        <w:r w:rsidR="00DA6167">
          <w:rPr>
            <w:noProof/>
            <w:webHidden/>
          </w:rPr>
          <w:fldChar w:fldCharType="separate"/>
        </w:r>
        <w:r w:rsidR="00DA6167">
          <w:rPr>
            <w:noProof/>
            <w:webHidden/>
          </w:rPr>
          <w:t>32</w:t>
        </w:r>
        <w:r w:rsidR="00DA6167">
          <w:rPr>
            <w:noProof/>
            <w:webHidden/>
          </w:rPr>
          <w:fldChar w:fldCharType="end"/>
        </w:r>
      </w:hyperlink>
    </w:p>
    <w:p w:rsidR="0046149B" w:rsidRPr="004F4117" w:rsidRDefault="00C3021F" w:rsidP="00572F00">
      <w:pPr>
        <w:pStyle w:val="Obsah1"/>
        <w:rPr>
          <w:highlight w:val="yellow"/>
        </w:rPr>
      </w:pPr>
      <w:r w:rsidRPr="00793D98">
        <w:fldChar w:fldCharType="end"/>
      </w:r>
    </w:p>
    <w:p w:rsidR="006559F6" w:rsidRPr="004F4117" w:rsidRDefault="006559F6" w:rsidP="006559F6">
      <w:pPr>
        <w:rPr>
          <w:highlight w:val="yellow"/>
        </w:rPr>
      </w:pPr>
    </w:p>
    <w:p w:rsidR="006559F6" w:rsidRPr="004F4117" w:rsidRDefault="006559F6" w:rsidP="006559F6">
      <w:pPr>
        <w:rPr>
          <w:highlight w:val="yellow"/>
        </w:rPr>
      </w:pPr>
    </w:p>
    <w:p w:rsidR="0046149B" w:rsidRPr="00F15ADB" w:rsidRDefault="0046149B" w:rsidP="006559F6">
      <w:pPr>
        <w:pStyle w:val="Nadpis1"/>
        <w:pageBreakBefore w:val="0"/>
        <w:numPr>
          <w:ilvl w:val="0"/>
          <w:numId w:val="0"/>
        </w:numPr>
        <w:ind w:left="431" w:hanging="431"/>
      </w:pPr>
      <w:bookmarkStart w:id="150" w:name="_Toc118978228"/>
      <w:r w:rsidRPr="00F15ADB">
        <w:t>Seznam příloh</w:t>
      </w:r>
      <w:bookmarkEnd w:id="150"/>
    </w:p>
    <w:p w:rsidR="00DA6167" w:rsidRDefault="00C3021F">
      <w:pPr>
        <w:pStyle w:val="Seznamobrzk"/>
        <w:rPr>
          <w:noProof/>
          <w:szCs w:val="22"/>
          <w:lang w:eastAsia="cs-CZ"/>
        </w:rPr>
      </w:pPr>
      <w:r w:rsidRPr="009D7695">
        <w:rPr>
          <w:rStyle w:val="Hypertextovodkaz"/>
          <w:rFonts w:cstheme="minorHAnsi"/>
          <w:b/>
          <w:color w:val="2E3192"/>
          <w:highlight w:val="yellow"/>
        </w:rPr>
        <w:fldChar w:fldCharType="begin"/>
      </w:r>
      <w:r w:rsidR="0046149B" w:rsidRPr="009D7695">
        <w:rPr>
          <w:rStyle w:val="Hypertextovodkaz"/>
          <w:rFonts w:cstheme="minorHAnsi"/>
          <w:b/>
          <w:color w:val="2E3192"/>
          <w:highlight w:val="yellow"/>
        </w:rPr>
        <w:instrText xml:space="preserve"> TOC \h \z \t "Příloha" \c </w:instrText>
      </w:r>
      <w:r w:rsidRPr="009D7695">
        <w:rPr>
          <w:rStyle w:val="Hypertextovodkaz"/>
          <w:rFonts w:cstheme="minorHAnsi"/>
          <w:b/>
          <w:color w:val="2E3192"/>
          <w:highlight w:val="yellow"/>
        </w:rPr>
        <w:fldChar w:fldCharType="separate"/>
      </w:r>
      <w:hyperlink w:anchor="_Toc118977828" w:history="1">
        <w:r w:rsidR="00DA6167" w:rsidRPr="008536B6">
          <w:rPr>
            <w:rStyle w:val="Hypertextovodkaz"/>
            <w:noProof/>
          </w:rPr>
          <w:t>Příloha č. 1:</w:t>
        </w:r>
        <w:r w:rsidR="00DA6167">
          <w:rPr>
            <w:noProof/>
            <w:szCs w:val="22"/>
            <w:lang w:eastAsia="cs-CZ"/>
          </w:rPr>
          <w:tab/>
        </w:r>
        <w:r w:rsidR="00DA6167" w:rsidRPr="008536B6">
          <w:rPr>
            <w:rStyle w:val="Hypertextovodkaz"/>
            <w:noProof/>
          </w:rPr>
          <w:t>Stupnice ekonomického hodnocení AQE (platná do 2020)</w:t>
        </w:r>
        <w:r w:rsidR="00DA6167">
          <w:rPr>
            <w:noProof/>
            <w:webHidden/>
          </w:rPr>
          <w:tab/>
        </w:r>
        <w:r w:rsidR="00DA6167">
          <w:rPr>
            <w:noProof/>
            <w:webHidden/>
          </w:rPr>
          <w:fldChar w:fldCharType="begin"/>
        </w:r>
        <w:r w:rsidR="00DA6167">
          <w:rPr>
            <w:noProof/>
            <w:webHidden/>
          </w:rPr>
          <w:instrText xml:space="preserve"> PAGEREF _Toc118977828 \h </w:instrText>
        </w:r>
        <w:r w:rsidR="00DA6167">
          <w:rPr>
            <w:noProof/>
            <w:webHidden/>
          </w:rPr>
        </w:r>
        <w:r w:rsidR="00DA6167">
          <w:rPr>
            <w:noProof/>
            <w:webHidden/>
          </w:rPr>
          <w:fldChar w:fldCharType="separate"/>
        </w:r>
        <w:r w:rsidR="00DA6167">
          <w:rPr>
            <w:noProof/>
            <w:webHidden/>
          </w:rPr>
          <w:t>38</w:t>
        </w:r>
        <w:r w:rsidR="00DA6167">
          <w:rPr>
            <w:noProof/>
            <w:webHidden/>
          </w:rPr>
          <w:fldChar w:fldCharType="end"/>
        </w:r>
      </w:hyperlink>
    </w:p>
    <w:p w:rsidR="00DA6167" w:rsidRDefault="00CA6AB8">
      <w:pPr>
        <w:pStyle w:val="Seznamobrzk"/>
        <w:rPr>
          <w:noProof/>
          <w:szCs w:val="22"/>
          <w:lang w:eastAsia="cs-CZ"/>
        </w:rPr>
      </w:pPr>
      <w:hyperlink w:anchor="_Toc118977829" w:history="1">
        <w:r w:rsidR="00DA6167" w:rsidRPr="008536B6">
          <w:rPr>
            <w:rStyle w:val="Hypertextovodkaz"/>
            <w:noProof/>
          </w:rPr>
          <w:t>Příloha č. 2:</w:t>
        </w:r>
        <w:r w:rsidR="00DA6167">
          <w:rPr>
            <w:noProof/>
            <w:szCs w:val="22"/>
            <w:lang w:eastAsia="cs-CZ"/>
          </w:rPr>
          <w:tab/>
        </w:r>
        <w:r w:rsidR="00DA6167" w:rsidRPr="008536B6">
          <w:rPr>
            <w:rStyle w:val="Hypertextovodkaz"/>
            <w:noProof/>
          </w:rPr>
          <w:t>Stupnice ekonomického hodnocení AQE (platná od 2021)</w:t>
        </w:r>
        <w:r w:rsidR="00DA6167">
          <w:rPr>
            <w:noProof/>
            <w:webHidden/>
          </w:rPr>
          <w:tab/>
        </w:r>
        <w:r w:rsidR="00DA6167">
          <w:rPr>
            <w:noProof/>
            <w:webHidden/>
          </w:rPr>
          <w:fldChar w:fldCharType="begin"/>
        </w:r>
        <w:r w:rsidR="00DA6167">
          <w:rPr>
            <w:noProof/>
            <w:webHidden/>
          </w:rPr>
          <w:instrText xml:space="preserve"> PAGEREF _Toc118977829 \h </w:instrText>
        </w:r>
        <w:r w:rsidR="00DA6167">
          <w:rPr>
            <w:noProof/>
            <w:webHidden/>
          </w:rPr>
        </w:r>
        <w:r w:rsidR="00DA6167">
          <w:rPr>
            <w:noProof/>
            <w:webHidden/>
          </w:rPr>
          <w:fldChar w:fldCharType="separate"/>
        </w:r>
        <w:r w:rsidR="00DA6167">
          <w:rPr>
            <w:noProof/>
            <w:webHidden/>
          </w:rPr>
          <w:t>39</w:t>
        </w:r>
        <w:r w:rsidR="00DA6167">
          <w:rPr>
            <w:noProof/>
            <w:webHidden/>
          </w:rPr>
          <w:fldChar w:fldCharType="end"/>
        </w:r>
      </w:hyperlink>
    </w:p>
    <w:p w:rsidR="00D07CE6" w:rsidRDefault="00C3021F" w:rsidP="002756A1">
      <w:pPr>
        <w:tabs>
          <w:tab w:val="right" w:leader="dot" w:pos="10206"/>
        </w:tabs>
        <w:rPr>
          <w:rStyle w:val="Hypertextovodkaz"/>
          <w:rFonts w:cstheme="minorHAnsi"/>
          <w:b/>
          <w:color w:val="2E3192"/>
          <w:highlight w:val="yellow"/>
        </w:rPr>
        <w:sectPr w:rsidR="00D07CE6" w:rsidSect="00483E44">
          <w:headerReference w:type="default" r:id="rId78"/>
          <w:pgSz w:w="11906" w:h="16838"/>
          <w:pgMar w:top="1417" w:right="849" w:bottom="1236" w:left="851" w:header="709" w:footer="280" w:gutter="0"/>
          <w:cols w:space="708"/>
          <w:docGrid w:linePitch="360"/>
        </w:sectPr>
      </w:pPr>
      <w:r w:rsidRPr="009D7695">
        <w:rPr>
          <w:rStyle w:val="Hypertextovodkaz"/>
          <w:rFonts w:cstheme="minorHAnsi"/>
          <w:b/>
          <w:color w:val="2E3192"/>
          <w:highlight w:val="yellow"/>
        </w:rPr>
        <w:fldChar w:fldCharType="end"/>
      </w:r>
    </w:p>
    <w:p w:rsidR="00AA37F7" w:rsidRPr="009D7695" w:rsidRDefault="00AA37F7" w:rsidP="00531349">
      <w:pPr>
        <w:pStyle w:val="Ploha"/>
      </w:pPr>
      <w:bookmarkStart w:id="151" w:name="_Toc293671796"/>
      <w:bookmarkStart w:id="152" w:name="_Toc62211732"/>
      <w:bookmarkStart w:id="153" w:name="_Toc118977828"/>
      <w:bookmarkEnd w:id="148"/>
      <w:bookmarkEnd w:id="149"/>
      <w:r w:rsidRPr="009D7695">
        <w:lastRenderedPageBreak/>
        <w:t>Stupnice ekonomického hodnocení AQE</w:t>
      </w:r>
      <w:bookmarkEnd w:id="151"/>
      <w:bookmarkEnd w:id="152"/>
      <w:r w:rsidR="003336FB" w:rsidRPr="009D7695">
        <w:t xml:space="preserve"> </w:t>
      </w:r>
      <w:r w:rsidR="003336FB" w:rsidRPr="00531349">
        <w:rPr>
          <w:b w:val="0"/>
        </w:rPr>
        <w:t>(platná do 2020)</w:t>
      </w:r>
      <w:bookmarkEnd w:id="153"/>
    </w:p>
    <w:p w:rsidR="00AA37F7" w:rsidRPr="00F15ADB" w:rsidRDefault="00AA37F7" w:rsidP="00AA37F7">
      <w:pPr>
        <w:pStyle w:val="altNadpis3"/>
      </w:pPr>
      <w:r w:rsidRPr="00F15ADB">
        <w:t>Krátkodobé hodnocení</w:t>
      </w:r>
    </w:p>
    <w:tbl>
      <w:tblPr>
        <w:tblW w:w="76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80"/>
        <w:gridCol w:w="7105"/>
      </w:tblGrid>
      <w:tr w:rsidR="00AA37F7" w:rsidRPr="00F15ADB" w:rsidTr="00F15ADB">
        <w:trPr>
          <w:trHeight w:val="255"/>
          <w:jc w:val="center"/>
        </w:trPr>
        <w:tc>
          <w:tcPr>
            <w:tcW w:w="580" w:type="dxa"/>
            <w:shd w:val="clear" w:color="auto" w:fill="auto"/>
            <w:noWrap/>
            <w:vAlign w:val="bottom"/>
            <w:hideMark/>
          </w:tcPr>
          <w:p w:rsidR="00AA37F7" w:rsidRPr="00F15ADB" w:rsidRDefault="00AA37F7" w:rsidP="009A160F">
            <w:pPr>
              <w:rPr>
                <w:rFonts w:eastAsia="Times New Roman"/>
              </w:rPr>
            </w:pPr>
            <w:r w:rsidRPr="00F15ADB">
              <w:rPr>
                <w:rFonts w:eastAsia="Times New Roman"/>
              </w:rPr>
              <w:t>STR1</w:t>
            </w:r>
          </w:p>
        </w:tc>
        <w:tc>
          <w:tcPr>
            <w:tcW w:w="7105" w:type="dxa"/>
            <w:shd w:val="clear" w:color="auto" w:fill="auto"/>
            <w:noWrap/>
            <w:vAlign w:val="bottom"/>
            <w:hideMark/>
          </w:tcPr>
          <w:p w:rsidR="00AA37F7" w:rsidRPr="00F15ADB" w:rsidRDefault="00AA37F7" w:rsidP="009A160F">
            <w:pPr>
              <w:rPr>
                <w:rFonts w:eastAsia="Times New Roman"/>
              </w:rPr>
            </w:pPr>
            <w:r w:rsidRPr="00F15ADB">
              <w:rPr>
                <w:rFonts w:eastAsia="Times New Roman"/>
              </w:rPr>
              <w:t>Výborné subjekty v plnění svých závazků v krátkém časovém horizontu</w:t>
            </w:r>
          </w:p>
        </w:tc>
      </w:tr>
      <w:tr w:rsidR="00AA37F7" w:rsidRPr="00F15ADB" w:rsidTr="00F15ADB">
        <w:trPr>
          <w:trHeight w:val="255"/>
          <w:jc w:val="center"/>
        </w:trPr>
        <w:tc>
          <w:tcPr>
            <w:tcW w:w="580" w:type="dxa"/>
            <w:shd w:val="clear" w:color="auto" w:fill="auto"/>
            <w:noWrap/>
            <w:vAlign w:val="bottom"/>
            <w:hideMark/>
          </w:tcPr>
          <w:p w:rsidR="00AA37F7" w:rsidRPr="00F15ADB" w:rsidRDefault="00AA37F7" w:rsidP="009A160F">
            <w:pPr>
              <w:rPr>
                <w:rFonts w:eastAsia="Times New Roman"/>
              </w:rPr>
            </w:pPr>
            <w:r w:rsidRPr="00F15ADB">
              <w:rPr>
                <w:rFonts w:eastAsia="Times New Roman"/>
              </w:rPr>
              <w:t>STR2</w:t>
            </w:r>
          </w:p>
        </w:tc>
        <w:tc>
          <w:tcPr>
            <w:tcW w:w="7105" w:type="dxa"/>
            <w:shd w:val="clear" w:color="auto" w:fill="auto"/>
            <w:noWrap/>
            <w:vAlign w:val="bottom"/>
            <w:hideMark/>
          </w:tcPr>
          <w:p w:rsidR="00AA37F7" w:rsidRPr="00F15ADB" w:rsidRDefault="00AA37F7" w:rsidP="009A160F">
            <w:pPr>
              <w:rPr>
                <w:rFonts w:eastAsia="Times New Roman"/>
              </w:rPr>
            </w:pPr>
            <w:r w:rsidRPr="00F15ADB">
              <w:rPr>
                <w:rFonts w:eastAsia="Times New Roman"/>
              </w:rPr>
              <w:t>Kvalitní subjekty s dobrou schopností splácet své aktuální závazky</w:t>
            </w:r>
          </w:p>
        </w:tc>
      </w:tr>
      <w:tr w:rsidR="00AA37F7" w:rsidRPr="00F15ADB" w:rsidTr="00F15ADB">
        <w:trPr>
          <w:trHeight w:val="255"/>
          <w:jc w:val="center"/>
        </w:trPr>
        <w:tc>
          <w:tcPr>
            <w:tcW w:w="580" w:type="dxa"/>
            <w:shd w:val="clear" w:color="auto" w:fill="auto"/>
            <w:noWrap/>
            <w:vAlign w:val="bottom"/>
            <w:hideMark/>
          </w:tcPr>
          <w:p w:rsidR="00AA37F7" w:rsidRPr="00F15ADB" w:rsidRDefault="00AA37F7" w:rsidP="009A160F">
            <w:pPr>
              <w:rPr>
                <w:rFonts w:eastAsia="Times New Roman"/>
              </w:rPr>
            </w:pPr>
            <w:r w:rsidRPr="00F15ADB">
              <w:rPr>
                <w:rFonts w:eastAsia="Times New Roman"/>
              </w:rPr>
              <w:t>STR3</w:t>
            </w:r>
          </w:p>
        </w:tc>
        <w:tc>
          <w:tcPr>
            <w:tcW w:w="7105" w:type="dxa"/>
            <w:shd w:val="clear" w:color="auto" w:fill="auto"/>
            <w:noWrap/>
            <w:vAlign w:val="bottom"/>
            <w:hideMark/>
          </w:tcPr>
          <w:p w:rsidR="00AA37F7" w:rsidRPr="00F15ADB" w:rsidRDefault="00AA37F7" w:rsidP="009A160F">
            <w:pPr>
              <w:rPr>
                <w:rFonts w:eastAsia="Times New Roman"/>
              </w:rPr>
            </w:pPr>
            <w:r w:rsidRPr="00F15ADB">
              <w:rPr>
                <w:rFonts w:eastAsia="Times New Roman"/>
              </w:rPr>
              <w:t>Vyhovující subjekty dostát svým závazkům včas</w:t>
            </w:r>
          </w:p>
        </w:tc>
      </w:tr>
      <w:tr w:rsidR="00AA37F7" w:rsidRPr="00F15ADB" w:rsidTr="00F15ADB">
        <w:trPr>
          <w:trHeight w:val="255"/>
          <w:jc w:val="center"/>
        </w:trPr>
        <w:tc>
          <w:tcPr>
            <w:tcW w:w="580" w:type="dxa"/>
            <w:shd w:val="clear" w:color="auto" w:fill="auto"/>
            <w:noWrap/>
            <w:vAlign w:val="bottom"/>
            <w:hideMark/>
          </w:tcPr>
          <w:p w:rsidR="00AA37F7" w:rsidRPr="00F15ADB" w:rsidRDefault="00AA37F7" w:rsidP="009A160F">
            <w:pPr>
              <w:rPr>
                <w:rFonts w:eastAsia="Times New Roman"/>
              </w:rPr>
            </w:pPr>
            <w:r w:rsidRPr="00F15ADB">
              <w:rPr>
                <w:rFonts w:eastAsia="Times New Roman"/>
              </w:rPr>
              <w:t>STR4</w:t>
            </w:r>
          </w:p>
        </w:tc>
        <w:tc>
          <w:tcPr>
            <w:tcW w:w="7105" w:type="dxa"/>
            <w:shd w:val="clear" w:color="auto" w:fill="auto"/>
            <w:noWrap/>
            <w:vAlign w:val="bottom"/>
            <w:hideMark/>
          </w:tcPr>
          <w:p w:rsidR="00AA37F7" w:rsidRPr="00F15ADB" w:rsidRDefault="00AA37F7" w:rsidP="009A160F">
            <w:pPr>
              <w:rPr>
                <w:rFonts w:eastAsia="Times New Roman"/>
              </w:rPr>
            </w:pPr>
            <w:r w:rsidRPr="00F15ADB">
              <w:rPr>
                <w:rFonts w:eastAsia="Times New Roman"/>
              </w:rPr>
              <w:t>Sporné subjekty s rizikem plnění svých závazků v termínu</w:t>
            </w:r>
          </w:p>
        </w:tc>
      </w:tr>
      <w:tr w:rsidR="00AA37F7" w:rsidRPr="00F15ADB" w:rsidTr="00F15ADB">
        <w:trPr>
          <w:trHeight w:val="270"/>
          <w:jc w:val="center"/>
        </w:trPr>
        <w:tc>
          <w:tcPr>
            <w:tcW w:w="580" w:type="dxa"/>
            <w:shd w:val="clear" w:color="auto" w:fill="auto"/>
            <w:noWrap/>
            <w:vAlign w:val="bottom"/>
            <w:hideMark/>
          </w:tcPr>
          <w:p w:rsidR="00AA37F7" w:rsidRPr="00F15ADB" w:rsidRDefault="00AA37F7" w:rsidP="009A160F">
            <w:pPr>
              <w:rPr>
                <w:rFonts w:eastAsia="Times New Roman"/>
              </w:rPr>
            </w:pPr>
            <w:r w:rsidRPr="00F15ADB">
              <w:rPr>
                <w:rFonts w:eastAsia="Times New Roman"/>
              </w:rPr>
              <w:t>STR5</w:t>
            </w:r>
          </w:p>
        </w:tc>
        <w:tc>
          <w:tcPr>
            <w:tcW w:w="7105" w:type="dxa"/>
            <w:shd w:val="clear" w:color="auto" w:fill="auto"/>
            <w:noWrap/>
            <w:vAlign w:val="bottom"/>
            <w:hideMark/>
          </w:tcPr>
          <w:p w:rsidR="00AA37F7" w:rsidRPr="00F15ADB" w:rsidRDefault="00AA37F7" w:rsidP="009A160F">
            <w:pPr>
              <w:rPr>
                <w:rFonts w:eastAsia="Times New Roman"/>
              </w:rPr>
            </w:pPr>
            <w:r w:rsidRPr="00F15ADB">
              <w:rPr>
                <w:rFonts w:eastAsia="Times New Roman"/>
              </w:rPr>
              <w:t>Nevhodné subjekty neschopné plnit své i krátkodobé závazky</w:t>
            </w:r>
          </w:p>
        </w:tc>
      </w:tr>
    </w:tbl>
    <w:p w:rsidR="00AA37F7" w:rsidRPr="00F15ADB" w:rsidRDefault="00AA37F7" w:rsidP="00AA37F7"/>
    <w:p w:rsidR="00AA37F7" w:rsidRPr="00F15ADB" w:rsidRDefault="00AA37F7" w:rsidP="00AA37F7">
      <w:pPr>
        <w:pStyle w:val="altNadpis3"/>
      </w:pPr>
      <w:r w:rsidRPr="00F15ADB">
        <w:t>Dlouhodobé hodnocení</w:t>
      </w:r>
    </w:p>
    <w:tbl>
      <w:tblPr>
        <w:tblW w:w="77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49"/>
        <w:gridCol w:w="7173"/>
      </w:tblGrid>
      <w:tr w:rsidR="00AA37F7" w:rsidRPr="00F15ADB" w:rsidTr="00F15ADB">
        <w:trPr>
          <w:trHeight w:val="570"/>
          <w:jc w:val="center"/>
        </w:trPr>
        <w:tc>
          <w:tcPr>
            <w:tcW w:w="549" w:type="dxa"/>
            <w:shd w:val="clear" w:color="auto" w:fill="auto"/>
            <w:noWrap/>
            <w:vAlign w:val="center"/>
            <w:hideMark/>
          </w:tcPr>
          <w:p w:rsidR="00AA37F7" w:rsidRPr="00F15ADB" w:rsidRDefault="00AA37F7" w:rsidP="009A160F">
            <w:pPr>
              <w:rPr>
                <w:rFonts w:eastAsia="Times New Roman"/>
              </w:rPr>
            </w:pPr>
            <w:r w:rsidRPr="00F15ADB">
              <w:rPr>
                <w:rFonts w:eastAsia="Times New Roman"/>
              </w:rPr>
              <w:t>A</w:t>
            </w:r>
          </w:p>
        </w:tc>
        <w:tc>
          <w:tcPr>
            <w:tcW w:w="7173" w:type="dxa"/>
            <w:shd w:val="clear" w:color="auto" w:fill="auto"/>
            <w:noWrap/>
            <w:vAlign w:val="center"/>
            <w:hideMark/>
          </w:tcPr>
          <w:p w:rsidR="00AA37F7" w:rsidRPr="00F15ADB" w:rsidRDefault="00AA37F7" w:rsidP="009A160F">
            <w:pPr>
              <w:rPr>
                <w:rFonts w:eastAsia="Times New Roman"/>
              </w:rPr>
            </w:pPr>
            <w:r w:rsidRPr="00F15ADB">
              <w:rPr>
                <w:rFonts w:eastAsia="Times New Roman"/>
              </w:rPr>
              <w:t>výborné subjekty, bez rizika a s vynikající schopností splácet své závazky</w:t>
            </w:r>
          </w:p>
        </w:tc>
      </w:tr>
      <w:tr w:rsidR="00AA37F7" w:rsidRPr="00F15ADB" w:rsidTr="00F15ADB">
        <w:trPr>
          <w:trHeight w:val="520"/>
          <w:jc w:val="center"/>
        </w:trPr>
        <w:tc>
          <w:tcPr>
            <w:tcW w:w="549" w:type="dxa"/>
            <w:shd w:val="clear" w:color="auto" w:fill="auto"/>
            <w:noWrap/>
            <w:vAlign w:val="bottom"/>
            <w:hideMark/>
          </w:tcPr>
          <w:p w:rsidR="00AA37F7" w:rsidRPr="00F15ADB" w:rsidRDefault="00AA37F7" w:rsidP="009A160F">
            <w:pPr>
              <w:rPr>
                <w:rFonts w:eastAsia="Times New Roman"/>
              </w:rPr>
            </w:pPr>
            <w:r w:rsidRPr="00F15ADB">
              <w:rPr>
                <w:rFonts w:eastAsia="Times New Roman"/>
              </w:rPr>
              <w:t>A1+</w:t>
            </w:r>
          </w:p>
          <w:p w:rsidR="00AA37F7" w:rsidRPr="00F15ADB" w:rsidRDefault="00AA37F7" w:rsidP="009A160F">
            <w:pPr>
              <w:rPr>
                <w:rFonts w:eastAsia="Times New Roman"/>
              </w:rPr>
            </w:pPr>
            <w:r w:rsidRPr="00F15ADB">
              <w:rPr>
                <w:rFonts w:eastAsia="Times New Roman"/>
              </w:rPr>
              <w:t>A1-</w:t>
            </w:r>
          </w:p>
        </w:tc>
        <w:tc>
          <w:tcPr>
            <w:tcW w:w="7173" w:type="dxa"/>
            <w:shd w:val="clear" w:color="auto" w:fill="auto"/>
            <w:noWrap/>
            <w:vAlign w:val="center"/>
            <w:hideMark/>
          </w:tcPr>
          <w:p w:rsidR="00AA37F7" w:rsidRPr="00F15ADB" w:rsidRDefault="00AA37F7" w:rsidP="009A160F">
            <w:pPr>
              <w:rPr>
                <w:rFonts w:eastAsia="Times New Roman"/>
              </w:rPr>
            </w:pPr>
            <w:r w:rsidRPr="00F15ADB">
              <w:rPr>
                <w:rFonts w:eastAsia="Times New Roman"/>
              </w:rPr>
              <w:t>velmi dobré subjekty, s výbornou schopností splácet své závazky, s očekávanou stabilní budoucností</w:t>
            </w:r>
          </w:p>
        </w:tc>
      </w:tr>
      <w:tr w:rsidR="00AA37F7" w:rsidRPr="00F15ADB" w:rsidTr="00F15ADB">
        <w:trPr>
          <w:trHeight w:val="520"/>
          <w:jc w:val="center"/>
        </w:trPr>
        <w:tc>
          <w:tcPr>
            <w:tcW w:w="549" w:type="dxa"/>
            <w:shd w:val="clear" w:color="auto" w:fill="auto"/>
            <w:noWrap/>
            <w:vAlign w:val="bottom"/>
            <w:hideMark/>
          </w:tcPr>
          <w:p w:rsidR="00AA37F7" w:rsidRPr="00F15ADB" w:rsidRDefault="00AA37F7" w:rsidP="009A160F">
            <w:pPr>
              <w:rPr>
                <w:rFonts w:eastAsia="Times New Roman"/>
              </w:rPr>
            </w:pPr>
            <w:r w:rsidRPr="00F15ADB">
              <w:rPr>
                <w:rFonts w:eastAsia="Times New Roman"/>
              </w:rPr>
              <w:t>A2+</w:t>
            </w:r>
          </w:p>
          <w:p w:rsidR="00AA37F7" w:rsidRPr="00F15ADB" w:rsidRDefault="00AA37F7" w:rsidP="009A160F">
            <w:pPr>
              <w:rPr>
                <w:rFonts w:eastAsia="Times New Roman"/>
              </w:rPr>
            </w:pPr>
            <w:r w:rsidRPr="00F15ADB">
              <w:rPr>
                <w:rFonts w:eastAsia="Times New Roman"/>
              </w:rPr>
              <w:t>A2-</w:t>
            </w:r>
          </w:p>
        </w:tc>
        <w:tc>
          <w:tcPr>
            <w:tcW w:w="7173" w:type="dxa"/>
            <w:shd w:val="clear" w:color="auto" w:fill="auto"/>
            <w:noWrap/>
            <w:vAlign w:val="center"/>
            <w:hideMark/>
          </w:tcPr>
          <w:p w:rsidR="00AA37F7" w:rsidRPr="00F15ADB" w:rsidRDefault="00AA37F7" w:rsidP="009A160F">
            <w:pPr>
              <w:rPr>
                <w:rFonts w:eastAsia="Times New Roman"/>
              </w:rPr>
            </w:pPr>
            <w:r w:rsidRPr="00F15ADB">
              <w:rPr>
                <w:rFonts w:eastAsia="Times New Roman"/>
              </w:rPr>
              <w:t>dobré (kvalitní) subjekty, s velmi dobrou schopností splácet své závazky, doporučeno sledovat budoucí riziko v delším časovém horizontu</w:t>
            </w:r>
          </w:p>
        </w:tc>
      </w:tr>
      <w:tr w:rsidR="00AA37F7" w:rsidRPr="00F15ADB" w:rsidTr="00F15ADB">
        <w:trPr>
          <w:trHeight w:val="520"/>
          <w:jc w:val="center"/>
        </w:trPr>
        <w:tc>
          <w:tcPr>
            <w:tcW w:w="549" w:type="dxa"/>
            <w:shd w:val="clear" w:color="auto" w:fill="auto"/>
            <w:noWrap/>
            <w:vAlign w:val="bottom"/>
            <w:hideMark/>
          </w:tcPr>
          <w:p w:rsidR="00AA37F7" w:rsidRPr="00F15ADB" w:rsidRDefault="00AA37F7" w:rsidP="009A160F">
            <w:pPr>
              <w:rPr>
                <w:rFonts w:eastAsia="Times New Roman"/>
              </w:rPr>
            </w:pPr>
            <w:r w:rsidRPr="00F15ADB">
              <w:rPr>
                <w:rFonts w:eastAsia="Times New Roman"/>
              </w:rPr>
              <w:t>B+</w:t>
            </w:r>
          </w:p>
          <w:p w:rsidR="00AA37F7" w:rsidRPr="00F15ADB" w:rsidRDefault="00AA37F7" w:rsidP="009A160F">
            <w:pPr>
              <w:rPr>
                <w:rFonts w:eastAsia="Times New Roman"/>
              </w:rPr>
            </w:pPr>
            <w:r w:rsidRPr="00F15ADB">
              <w:rPr>
                <w:rFonts w:eastAsia="Times New Roman"/>
              </w:rPr>
              <w:t>B-</w:t>
            </w:r>
          </w:p>
        </w:tc>
        <w:tc>
          <w:tcPr>
            <w:tcW w:w="7173" w:type="dxa"/>
            <w:shd w:val="clear" w:color="auto" w:fill="auto"/>
            <w:noWrap/>
            <w:vAlign w:val="center"/>
            <w:hideMark/>
          </w:tcPr>
          <w:p w:rsidR="00AA37F7" w:rsidRPr="00F15ADB" w:rsidRDefault="00AA37F7" w:rsidP="009A160F">
            <w:pPr>
              <w:rPr>
                <w:rFonts w:eastAsia="Times New Roman"/>
              </w:rPr>
            </w:pPr>
            <w:r w:rsidRPr="00F15ADB">
              <w:rPr>
                <w:rFonts w:eastAsia="Times New Roman"/>
              </w:rPr>
              <w:t>přijatelné (bonitní) subjekty, s dobrou schopností splácet své závazky, doporučeno sledovat budoucí riziko již ve středním časovém horizontu</w:t>
            </w:r>
          </w:p>
        </w:tc>
      </w:tr>
      <w:tr w:rsidR="00AA37F7" w:rsidRPr="00F15ADB" w:rsidTr="00F15ADB">
        <w:trPr>
          <w:trHeight w:val="520"/>
          <w:jc w:val="center"/>
        </w:trPr>
        <w:tc>
          <w:tcPr>
            <w:tcW w:w="549" w:type="dxa"/>
            <w:shd w:val="clear" w:color="auto" w:fill="auto"/>
            <w:noWrap/>
            <w:vAlign w:val="bottom"/>
            <w:hideMark/>
          </w:tcPr>
          <w:p w:rsidR="00AA37F7" w:rsidRPr="00F15ADB" w:rsidRDefault="00AA37F7" w:rsidP="009A160F">
            <w:pPr>
              <w:rPr>
                <w:rFonts w:eastAsia="Times New Roman"/>
              </w:rPr>
            </w:pPr>
            <w:r w:rsidRPr="00F15ADB">
              <w:rPr>
                <w:rFonts w:eastAsia="Times New Roman"/>
              </w:rPr>
              <w:t>B1+</w:t>
            </w:r>
          </w:p>
          <w:p w:rsidR="00AA37F7" w:rsidRPr="00F15ADB" w:rsidRDefault="00AA37F7" w:rsidP="009A160F">
            <w:pPr>
              <w:rPr>
                <w:rFonts w:eastAsia="Times New Roman"/>
              </w:rPr>
            </w:pPr>
            <w:r w:rsidRPr="00F15ADB">
              <w:rPr>
                <w:rFonts w:eastAsia="Times New Roman"/>
              </w:rPr>
              <w:t>B1-</w:t>
            </w:r>
          </w:p>
        </w:tc>
        <w:tc>
          <w:tcPr>
            <w:tcW w:w="7173" w:type="dxa"/>
            <w:shd w:val="clear" w:color="auto" w:fill="auto"/>
            <w:noWrap/>
            <w:vAlign w:val="center"/>
            <w:hideMark/>
          </w:tcPr>
          <w:p w:rsidR="00AA37F7" w:rsidRPr="00F15ADB" w:rsidRDefault="00AA37F7" w:rsidP="009A160F">
            <w:pPr>
              <w:rPr>
                <w:rFonts w:eastAsia="Times New Roman"/>
              </w:rPr>
            </w:pPr>
            <w:r w:rsidRPr="00F15ADB">
              <w:rPr>
                <w:rFonts w:eastAsia="Times New Roman"/>
              </w:rPr>
              <w:t>vyhovující (uspokojivé) subjekty, s dostatečnou schopností splácet své aktuální závazky, s nejistým budoucím rizikem již v krátkém časovém horizontu</w:t>
            </w:r>
          </w:p>
        </w:tc>
      </w:tr>
      <w:tr w:rsidR="00AA37F7" w:rsidRPr="00F15ADB" w:rsidTr="00F15ADB">
        <w:trPr>
          <w:trHeight w:val="520"/>
          <w:jc w:val="center"/>
        </w:trPr>
        <w:tc>
          <w:tcPr>
            <w:tcW w:w="549" w:type="dxa"/>
            <w:shd w:val="clear" w:color="auto" w:fill="auto"/>
            <w:noWrap/>
            <w:vAlign w:val="bottom"/>
            <w:hideMark/>
          </w:tcPr>
          <w:p w:rsidR="00AA37F7" w:rsidRPr="00F15ADB" w:rsidRDefault="00AA37F7" w:rsidP="009A160F">
            <w:pPr>
              <w:rPr>
                <w:rFonts w:eastAsia="Times New Roman"/>
              </w:rPr>
            </w:pPr>
            <w:r w:rsidRPr="00F15ADB">
              <w:rPr>
                <w:rFonts w:eastAsia="Times New Roman"/>
              </w:rPr>
              <w:t>B2+</w:t>
            </w:r>
          </w:p>
          <w:p w:rsidR="00AA37F7" w:rsidRPr="00F15ADB" w:rsidRDefault="00AA37F7" w:rsidP="009A160F">
            <w:pPr>
              <w:rPr>
                <w:rFonts w:eastAsia="Times New Roman"/>
              </w:rPr>
            </w:pPr>
            <w:r w:rsidRPr="00F15ADB">
              <w:rPr>
                <w:rFonts w:eastAsia="Times New Roman"/>
              </w:rPr>
              <w:t>B2-</w:t>
            </w:r>
          </w:p>
        </w:tc>
        <w:tc>
          <w:tcPr>
            <w:tcW w:w="7173" w:type="dxa"/>
            <w:shd w:val="clear" w:color="auto" w:fill="auto"/>
            <w:noWrap/>
            <w:vAlign w:val="center"/>
            <w:hideMark/>
          </w:tcPr>
          <w:p w:rsidR="00AA37F7" w:rsidRPr="00F15ADB" w:rsidRDefault="00AA37F7" w:rsidP="009A160F">
            <w:pPr>
              <w:rPr>
                <w:rFonts w:eastAsia="Times New Roman"/>
              </w:rPr>
            </w:pPr>
            <w:r w:rsidRPr="00F15ADB">
              <w:rPr>
                <w:rFonts w:eastAsia="Times New Roman"/>
              </w:rPr>
              <w:t>průměrné subjekty schopné splácet své aktuální závazky, s problematickou budoucností</w:t>
            </w:r>
          </w:p>
        </w:tc>
      </w:tr>
      <w:tr w:rsidR="00AA37F7" w:rsidRPr="00F15ADB" w:rsidTr="00F15ADB">
        <w:trPr>
          <w:trHeight w:val="520"/>
          <w:jc w:val="center"/>
        </w:trPr>
        <w:tc>
          <w:tcPr>
            <w:tcW w:w="549" w:type="dxa"/>
            <w:shd w:val="clear" w:color="auto" w:fill="auto"/>
            <w:noWrap/>
            <w:vAlign w:val="bottom"/>
            <w:hideMark/>
          </w:tcPr>
          <w:p w:rsidR="00AA37F7" w:rsidRPr="00F15ADB" w:rsidRDefault="00AA37F7" w:rsidP="009A160F">
            <w:pPr>
              <w:rPr>
                <w:rFonts w:eastAsia="Times New Roman"/>
              </w:rPr>
            </w:pPr>
            <w:r w:rsidRPr="00F15ADB">
              <w:rPr>
                <w:rFonts w:eastAsia="Times New Roman"/>
              </w:rPr>
              <w:t>B3+</w:t>
            </w:r>
          </w:p>
          <w:p w:rsidR="00AA37F7" w:rsidRPr="00F15ADB" w:rsidRDefault="00AA37F7" w:rsidP="009A160F">
            <w:pPr>
              <w:rPr>
                <w:rFonts w:eastAsia="Times New Roman"/>
              </w:rPr>
            </w:pPr>
            <w:r w:rsidRPr="00F15ADB">
              <w:rPr>
                <w:rFonts w:eastAsia="Times New Roman"/>
              </w:rPr>
              <w:t>B3-</w:t>
            </w:r>
          </w:p>
        </w:tc>
        <w:tc>
          <w:tcPr>
            <w:tcW w:w="7173" w:type="dxa"/>
            <w:shd w:val="clear" w:color="auto" w:fill="auto"/>
            <w:noWrap/>
            <w:vAlign w:val="center"/>
            <w:hideMark/>
          </w:tcPr>
          <w:p w:rsidR="00AA37F7" w:rsidRPr="00F15ADB" w:rsidRDefault="00AA37F7" w:rsidP="009A160F">
            <w:pPr>
              <w:rPr>
                <w:rFonts w:eastAsia="Times New Roman"/>
              </w:rPr>
            </w:pPr>
            <w:r w:rsidRPr="00F15ADB">
              <w:rPr>
                <w:rFonts w:eastAsia="Times New Roman"/>
              </w:rPr>
              <w:t>podprůměrné subjekty s poměrně rizikovou schopností splácet své závazky, s rizikovou budoucností</w:t>
            </w:r>
          </w:p>
        </w:tc>
      </w:tr>
      <w:tr w:rsidR="00AA37F7" w:rsidRPr="00F15ADB" w:rsidTr="00F15ADB">
        <w:trPr>
          <w:trHeight w:val="520"/>
          <w:jc w:val="center"/>
        </w:trPr>
        <w:tc>
          <w:tcPr>
            <w:tcW w:w="549" w:type="dxa"/>
            <w:shd w:val="clear" w:color="auto" w:fill="auto"/>
            <w:noWrap/>
            <w:vAlign w:val="bottom"/>
            <w:hideMark/>
          </w:tcPr>
          <w:p w:rsidR="00AA37F7" w:rsidRPr="00F15ADB" w:rsidRDefault="00AA37F7" w:rsidP="009A160F">
            <w:pPr>
              <w:rPr>
                <w:rFonts w:eastAsia="Times New Roman"/>
              </w:rPr>
            </w:pPr>
            <w:r w:rsidRPr="00F15ADB">
              <w:rPr>
                <w:rFonts w:eastAsia="Times New Roman"/>
              </w:rPr>
              <w:t>C+</w:t>
            </w:r>
          </w:p>
          <w:p w:rsidR="00AA37F7" w:rsidRPr="00F15ADB" w:rsidRDefault="00AA37F7" w:rsidP="009A160F">
            <w:pPr>
              <w:rPr>
                <w:rFonts w:eastAsia="Times New Roman"/>
              </w:rPr>
            </w:pPr>
            <w:r w:rsidRPr="00F15ADB">
              <w:rPr>
                <w:rFonts w:eastAsia="Times New Roman"/>
              </w:rPr>
              <w:t>C-</w:t>
            </w:r>
          </w:p>
        </w:tc>
        <w:tc>
          <w:tcPr>
            <w:tcW w:w="7173" w:type="dxa"/>
            <w:shd w:val="clear" w:color="auto" w:fill="auto"/>
            <w:noWrap/>
            <w:vAlign w:val="center"/>
            <w:hideMark/>
          </w:tcPr>
          <w:p w:rsidR="00AA37F7" w:rsidRPr="00F15ADB" w:rsidRDefault="00AA37F7" w:rsidP="009A160F">
            <w:pPr>
              <w:rPr>
                <w:rFonts w:eastAsia="Times New Roman"/>
              </w:rPr>
            </w:pPr>
            <w:r w:rsidRPr="00F15ADB">
              <w:rPr>
                <w:rFonts w:eastAsia="Times New Roman"/>
              </w:rPr>
              <w:t>sporný (spekulativní) subjekty s nejistou schopností splácet své závazky, se značně rizikovou budoucností</w:t>
            </w:r>
          </w:p>
        </w:tc>
      </w:tr>
      <w:tr w:rsidR="00AA37F7" w:rsidRPr="00F15ADB" w:rsidTr="00F15ADB">
        <w:trPr>
          <w:trHeight w:val="520"/>
          <w:jc w:val="center"/>
        </w:trPr>
        <w:tc>
          <w:tcPr>
            <w:tcW w:w="549" w:type="dxa"/>
            <w:shd w:val="clear" w:color="auto" w:fill="auto"/>
            <w:noWrap/>
            <w:vAlign w:val="bottom"/>
            <w:hideMark/>
          </w:tcPr>
          <w:p w:rsidR="00AA37F7" w:rsidRPr="00F15ADB" w:rsidRDefault="00AA37F7" w:rsidP="009A160F">
            <w:pPr>
              <w:rPr>
                <w:rFonts w:eastAsia="Times New Roman"/>
              </w:rPr>
            </w:pPr>
            <w:r w:rsidRPr="00F15ADB">
              <w:rPr>
                <w:rFonts w:eastAsia="Times New Roman"/>
              </w:rPr>
              <w:t>C1+</w:t>
            </w:r>
          </w:p>
          <w:p w:rsidR="00AA37F7" w:rsidRPr="00F15ADB" w:rsidRDefault="00AA37F7" w:rsidP="009A160F">
            <w:pPr>
              <w:rPr>
                <w:rFonts w:eastAsia="Times New Roman"/>
              </w:rPr>
            </w:pPr>
            <w:r w:rsidRPr="00F15ADB">
              <w:rPr>
                <w:rFonts w:eastAsia="Times New Roman"/>
              </w:rPr>
              <w:t>C1-</w:t>
            </w:r>
          </w:p>
        </w:tc>
        <w:tc>
          <w:tcPr>
            <w:tcW w:w="7173" w:type="dxa"/>
            <w:shd w:val="clear" w:color="auto" w:fill="auto"/>
            <w:noWrap/>
            <w:vAlign w:val="center"/>
            <w:hideMark/>
          </w:tcPr>
          <w:p w:rsidR="00AA37F7" w:rsidRPr="00F15ADB" w:rsidRDefault="00AA37F7" w:rsidP="009A160F">
            <w:pPr>
              <w:rPr>
                <w:rFonts w:eastAsia="Times New Roman"/>
              </w:rPr>
            </w:pPr>
            <w:r w:rsidRPr="00F15ADB">
              <w:rPr>
                <w:rFonts w:eastAsia="Times New Roman"/>
              </w:rPr>
              <w:t>nevhodné (rizikové) subjekty s nestabilní schopností splácet své závazky, s vysokým rizikem v budoucnu</w:t>
            </w:r>
          </w:p>
        </w:tc>
      </w:tr>
      <w:tr w:rsidR="00AA37F7" w:rsidRPr="00F15ADB" w:rsidTr="00F15ADB">
        <w:trPr>
          <w:trHeight w:val="535"/>
          <w:jc w:val="center"/>
        </w:trPr>
        <w:tc>
          <w:tcPr>
            <w:tcW w:w="549" w:type="dxa"/>
            <w:shd w:val="clear" w:color="auto" w:fill="auto"/>
            <w:noWrap/>
            <w:vAlign w:val="bottom"/>
            <w:hideMark/>
          </w:tcPr>
          <w:p w:rsidR="00AA37F7" w:rsidRPr="00F15ADB" w:rsidRDefault="00AA37F7" w:rsidP="009A160F">
            <w:pPr>
              <w:rPr>
                <w:rFonts w:eastAsia="Times New Roman"/>
              </w:rPr>
            </w:pPr>
            <w:r w:rsidRPr="00F15ADB">
              <w:rPr>
                <w:rFonts w:eastAsia="Times New Roman"/>
              </w:rPr>
              <w:t>C2+</w:t>
            </w:r>
          </w:p>
          <w:p w:rsidR="00AA37F7" w:rsidRPr="00F15ADB" w:rsidRDefault="00AA37F7" w:rsidP="009A160F">
            <w:pPr>
              <w:rPr>
                <w:rFonts w:eastAsia="Times New Roman"/>
              </w:rPr>
            </w:pPr>
            <w:r w:rsidRPr="00F15ADB">
              <w:rPr>
                <w:rFonts w:eastAsia="Times New Roman"/>
              </w:rPr>
              <w:t>C2-</w:t>
            </w:r>
          </w:p>
        </w:tc>
        <w:tc>
          <w:tcPr>
            <w:tcW w:w="7173" w:type="dxa"/>
            <w:shd w:val="clear" w:color="auto" w:fill="auto"/>
            <w:noWrap/>
            <w:vAlign w:val="center"/>
            <w:hideMark/>
          </w:tcPr>
          <w:p w:rsidR="00AA37F7" w:rsidRPr="00F15ADB" w:rsidRDefault="00AA37F7" w:rsidP="009A160F">
            <w:pPr>
              <w:rPr>
                <w:rFonts w:eastAsia="Times New Roman"/>
              </w:rPr>
            </w:pPr>
            <w:r w:rsidRPr="00F15ADB">
              <w:rPr>
                <w:rFonts w:eastAsia="Times New Roman"/>
              </w:rPr>
              <w:t>nezpůsobilé (vysoce rizikové) subjekty s neschopností a neochotou splácet své závazky</w:t>
            </w:r>
          </w:p>
        </w:tc>
      </w:tr>
    </w:tbl>
    <w:p w:rsidR="00AA37F7" w:rsidRPr="00F15ADB" w:rsidRDefault="00AA37F7" w:rsidP="00531349">
      <w:pPr>
        <w:pStyle w:val="Ploha"/>
      </w:pPr>
      <w:bookmarkStart w:id="154" w:name="_Toc62211733"/>
      <w:bookmarkStart w:id="155" w:name="_Toc118977829"/>
      <w:r w:rsidRPr="00F15ADB">
        <w:lastRenderedPageBreak/>
        <w:t>Stupnice ekonomického hodnocení AQE</w:t>
      </w:r>
      <w:bookmarkEnd w:id="154"/>
      <w:r w:rsidR="003336FB" w:rsidRPr="00F15ADB">
        <w:t xml:space="preserve"> </w:t>
      </w:r>
      <w:r w:rsidR="003336FB" w:rsidRPr="00F15ADB">
        <w:rPr>
          <w:b w:val="0"/>
        </w:rPr>
        <w:t>(platná od 2021)</w:t>
      </w:r>
      <w:bookmarkEnd w:id="155"/>
    </w:p>
    <w:p w:rsidR="00AA37F7" w:rsidRPr="00F15ADB" w:rsidRDefault="00E16671" w:rsidP="00E16671">
      <w:pPr>
        <w:pStyle w:val="Objekt"/>
        <w:jc w:val="center"/>
      </w:pPr>
      <w:r w:rsidRPr="00E16671">
        <w:rPr>
          <w:noProof/>
          <w:lang w:eastAsia="cs-CZ"/>
        </w:rPr>
        <w:drawing>
          <wp:inline distT="0" distB="0" distL="0" distR="0">
            <wp:extent cx="4935415" cy="3245041"/>
            <wp:effectExtent l="0" t="0" r="0"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976459" cy="3272028"/>
                    </a:xfrm>
                    <a:prstGeom prst="rect">
                      <a:avLst/>
                    </a:prstGeom>
                    <a:noFill/>
                    <a:ln>
                      <a:noFill/>
                    </a:ln>
                  </pic:spPr>
                </pic:pic>
              </a:graphicData>
            </a:graphic>
          </wp:inline>
        </w:drawing>
      </w:r>
    </w:p>
    <w:p w:rsidR="00AA37F7" w:rsidRPr="00C91F31" w:rsidRDefault="00E16671" w:rsidP="00B51E38">
      <w:pPr>
        <w:pStyle w:val="Objekt"/>
        <w:jc w:val="center"/>
      </w:pPr>
      <w:r w:rsidRPr="00E16671">
        <w:rPr>
          <w:noProof/>
          <w:lang w:eastAsia="cs-CZ"/>
        </w:rPr>
        <w:drawing>
          <wp:inline distT="0" distB="0" distL="0" distR="0">
            <wp:extent cx="4924427" cy="1693985"/>
            <wp:effectExtent l="0" t="0" r="0" b="1905"/>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988758" cy="1716115"/>
                    </a:xfrm>
                    <a:prstGeom prst="rect">
                      <a:avLst/>
                    </a:prstGeom>
                    <a:noFill/>
                    <a:ln>
                      <a:noFill/>
                    </a:ln>
                  </pic:spPr>
                </pic:pic>
              </a:graphicData>
            </a:graphic>
          </wp:inline>
        </w:drawing>
      </w:r>
    </w:p>
    <w:p w:rsidR="00EF408D" w:rsidRDefault="00EF408D">
      <w:pPr>
        <w:spacing w:before="0" w:after="200"/>
        <w:jc w:val="left"/>
      </w:pPr>
      <w:r>
        <w:br w:type="page"/>
      </w:r>
    </w:p>
    <w:p w:rsidR="00EF408D" w:rsidRDefault="00EF408D" w:rsidP="00EF408D">
      <w:pPr>
        <w:jc w:val="left"/>
      </w:pPr>
    </w:p>
    <w:p w:rsidR="00EF408D" w:rsidRDefault="00EF408D" w:rsidP="00EF408D">
      <w:pPr>
        <w:jc w:val="left"/>
      </w:pPr>
    </w:p>
    <w:p w:rsidR="00EF408D" w:rsidRDefault="00EF408D" w:rsidP="00EF408D">
      <w:pPr>
        <w:jc w:val="left"/>
      </w:pPr>
      <w:r>
        <w:t>Zpracovatel:</w:t>
      </w:r>
      <w:r>
        <w:tab/>
      </w:r>
      <w:r>
        <w:tab/>
        <w:t xml:space="preserve">AQE </w:t>
      </w:r>
      <w:proofErr w:type="spellStart"/>
      <w:r>
        <w:t>advisors</w:t>
      </w:r>
      <w:proofErr w:type="spellEnd"/>
      <w:r>
        <w:t>, a.s.</w:t>
      </w:r>
      <w:r>
        <w:br/>
      </w:r>
      <w:r>
        <w:tab/>
      </w:r>
      <w:r>
        <w:tab/>
      </w:r>
      <w:r>
        <w:tab/>
        <w:t>třída Kapitána Jaroše 31</w:t>
      </w:r>
      <w:r>
        <w:br/>
      </w:r>
      <w:r>
        <w:tab/>
      </w:r>
      <w:r>
        <w:tab/>
      </w:r>
      <w:r>
        <w:tab/>
        <w:t>602 00 Brno</w:t>
      </w:r>
    </w:p>
    <w:p w:rsidR="00EF408D" w:rsidRDefault="00EF408D" w:rsidP="00EF408D">
      <w:pPr>
        <w:jc w:val="left"/>
      </w:pPr>
    </w:p>
    <w:p w:rsidR="00EF408D" w:rsidRDefault="00EF408D" w:rsidP="00EF408D">
      <w:pPr>
        <w:jc w:val="left"/>
      </w:pPr>
    </w:p>
    <w:p w:rsidR="00EF408D" w:rsidRDefault="00EF408D" w:rsidP="00EF408D">
      <w:pPr>
        <w:jc w:val="left"/>
      </w:pPr>
    </w:p>
    <w:p w:rsidR="00EF408D" w:rsidRDefault="00EF408D" w:rsidP="00EF408D">
      <w:pPr>
        <w:jc w:val="left"/>
      </w:pPr>
      <w:r>
        <w:t>Zpracoval:</w:t>
      </w:r>
      <w:r>
        <w:tab/>
      </w:r>
      <w:r>
        <w:tab/>
        <w:t>Ing. Petr Kamínek</w:t>
      </w:r>
    </w:p>
    <w:p w:rsidR="00CB2E70" w:rsidRDefault="00CB2E70" w:rsidP="00CB2E70">
      <w:pPr>
        <w:jc w:val="left"/>
      </w:pPr>
    </w:p>
    <w:p w:rsidR="00CB2E70" w:rsidRDefault="00CB2E70" w:rsidP="00CB2E70">
      <w:pPr>
        <w:jc w:val="left"/>
      </w:pPr>
    </w:p>
    <w:p w:rsidR="00EF408D" w:rsidRDefault="00793D98" w:rsidP="00CB2E70">
      <w:pPr>
        <w:ind w:left="1418" w:firstLine="709"/>
        <w:jc w:val="left"/>
      </w:pPr>
      <w:r>
        <w:t>Mgr. Jan Eberhard</w:t>
      </w:r>
    </w:p>
    <w:p w:rsidR="00EF408D" w:rsidRDefault="00EF408D" w:rsidP="00EF408D">
      <w:pPr>
        <w:jc w:val="left"/>
      </w:pPr>
    </w:p>
    <w:p w:rsidR="00EF408D" w:rsidRDefault="00EF408D" w:rsidP="00EF408D">
      <w:pPr>
        <w:jc w:val="left"/>
      </w:pPr>
    </w:p>
    <w:p w:rsidR="00EF408D" w:rsidRDefault="00EF408D" w:rsidP="00EF408D">
      <w:pPr>
        <w:jc w:val="left"/>
      </w:pPr>
      <w:r>
        <w:t>Vedoucí projektu:</w:t>
      </w:r>
      <w:r>
        <w:tab/>
        <w:t>Ing. Jan Obrovský</w:t>
      </w:r>
    </w:p>
    <w:p w:rsidR="00EF408D" w:rsidRDefault="00EF408D" w:rsidP="00EF408D">
      <w:pPr>
        <w:jc w:val="left"/>
      </w:pPr>
    </w:p>
    <w:p w:rsidR="00EF408D" w:rsidRDefault="00EF408D" w:rsidP="00EF408D">
      <w:pPr>
        <w:jc w:val="left"/>
      </w:pPr>
    </w:p>
    <w:p w:rsidR="00EF408D" w:rsidRDefault="00EF408D" w:rsidP="00EF408D">
      <w:pPr>
        <w:jc w:val="left"/>
      </w:pPr>
    </w:p>
    <w:p w:rsidR="00EF408D" w:rsidRDefault="00EF408D" w:rsidP="00EF408D">
      <w:pPr>
        <w:jc w:val="left"/>
      </w:pPr>
    </w:p>
    <w:p w:rsidR="00EF408D" w:rsidRDefault="00EF408D" w:rsidP="00EF408D">
      <w:pPr>
        <w:jc w:val="left"/>
      </w:pPr>
    </w:p>
    <w:p w:rsidR="00EF408D" w:rsidRDefault="00EF408D" w:rsidP="00EF408D">
      <w:pPr>
        <w:jc w:val="left"/>
      </w:pPr>
      <w:r>
        <w:t xml:space="preserve">Brno </w:t>
      </w:r>
      <w:r w:rsidR="00BB6E62">
        <w:t>listopad 2022</w:t>
      </w:r>
    </w:p>
    <w:p w:rsidR="00DD770D" w:rsidRDefault="00DD770D">
      <w:pPr>
        <w:spacing w:before="0" w:after="200"/>
        <w:jc w:val="left"/>
      </w:pPr>
    </w:p>
    <w:sectPr w:rsidR="00DD770D" w:rsidSect="001E1B53">
      <w:pgSz w:w="11906" w:h="16838"/>
      <w:pgMar w:top="1417" w:right="849" w:bottom="1236" w:left="851" w:header="709" w:footer="2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C711A" w:rsidRDefault="005C711A" w:rsidP="00993408">
      <w:r>
        <w:separator/>
      </w:r>
    </w:p>
    <w:p w:rsidR="005C711A" w:rsidRDefault="005C711A" w:rsidP="00993408"/>
  </w:endnote>
  <w:endnote w:type="continuationSeparator" w:id="0">
    <w:p w:rsidR="005C711A" w:rsidRDefault="005C711A" w:rsidP="00993408">
      <w:r>
        <w:continuationSeparator/>
      </w:r>
    </w:p>
    <w:p w:rsidR="005C711A" w:rsidRDefault="005C711A" w:rsidP="0099340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Verdana Pro">
    <w:altName w:val="Tahoma"/>
    <w:charset w:val="00"/>
    <w:family w:val="swiss"/>
    <w:pitch w:val="variable"/>
    <w:sig w:usb0="80000287" w:usb1="0000004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A6167" w:rsidRPr="00AE43AB" w:rsidRDefault="00DA6167" w:rsidP="00C67305">
    <w:pPr>
      <w:pStyle w:val="Zpat"/>
      <w:jc w:val="right"/>
      <w:rPr>
        <w:szCs w:val="20"/>
      </w:rPr>
    </w:pPr>
    <w:r>
      <w:rPr>
        <w:noProof/>
      </w:rPr>
      <w:fldChar w:fldCharType="begin"/>
    </w:r>
    <w:r>
      <w:rPr>
        <w:noProof/>
      </w:rPr>
      <w:instrText xml:space="preserve"> PAGE  \* Arabic  \* MERGEFORMAT </w:instrText>
    </w:r>
    <w:r>
      <w:rPr>
        <w:noProof/>
      </w:rPr>
      <w:fldChar w:fldCharType="separate"/>
    </w:r>
    <w:r w:rsidR="00080051">
      <w:rPr>
        <w:noProof/>
      </w:rPr>
      <w:t>5</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A6167" w:rsidRPr="00AE43AB" w:rsidRDefault="00DA6167" w:rsidP="003137C1">
    <w:pPr>
      <w:pStyle w:val="Zpat"/>
      <w:jc w:val="right"/>
      <w:rPr>
        <w:szCs w:val="20"/>
      </w:rPr>
    </w:pPr>
  </w:p>
  <w:p w:rsidR="00DA6167" w:rsidRDefault="00DA6167">
    <w:pPr>
      <w:pStyle w:val="Zpat"/>
    </w:pPr>
    <w:r>
      <w:tab/>
    </w:r>
    <w:r>
      <w:tab/>
    </w:r>
    <w:r>
      <w:tab/>
    </w:r>
    <w:r>
      <w:tab/>
    </w: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A6167" w:rsidRPr="00AE43AB" w:rsidRDefault="00DA6167" w:rsidP="00C67305">
    <w:pPr>
      <w:pStyle w:val="Zpat"/>
      <w:jc w:val="right"/>
      <w:rPr>
        <w:szCs w:val="20"/>
      </w:rPr>
    </w:pPr>
    <w:r>
      <w:rPr>
        <w:noProof/>
      </w:rPr>
      <w:fldChar w:fldCharType="begin"/>
    </w:r>
    <w:r>
      <w:rPr>
        <w:noProof/>
      </w:rPr>
      <w:instrText xml:space="preserve"> PAGE  \* Arabic  \* MERGEFORMAT </w:instrText>
    </w:r>
    <w:r>
      <w:rPr>
        <w:noProof/>
      </w:rPr>
      <w:fldChar w:fldCharType="separate"/>
    </w:r>
    <w:r w:rsidR="00080051">
      <w:rPr>
        <w:noProof/>
      </w:rPr>
      <w:t>20</w:t>
    </w:r>
    <w:r>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A6167" w:rsidRPr="00AE43AB" w:rsidRDefault="00DA6167" w:rsidP="003137C1">
    <w:pPr>
      <w:pStyle w:val="Zpat"/>
      <w:jc w:val="right"/>
      <w:rPr>
        <w:szCs w:val="20"/>
      </w:rPr>
    </w:pPr>
  </w:p>
  <w:p w:rsidR="00DA6167" w:rsidRDefault="00DA6167">
    <w:pPr>
      <w:pStyle w:val="Zpat"/>
    </w:pPr>
    <w:r>
      <w:tab/>
    </w:r>
    <w:r>
      <w:tab/>
    </w:r>
    <w:r>
      <w:tab/>
    </w: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C711A" w:rsidRDefault="005C711A" w:rsidP="00993408">
      <w:r>
        <w:separator/>
      </w:r>
    </w:p>
    <w:p w:rsidR="005C711A" w:rsidRDefault="005C711A" w:rsidP="00993408"/>
  </w:footnote>
  <w:footnote w:type="continuationSeparator" w:id="0">
    <w:p w:rsidR="005C711A" w:rsidRDefault="005C711A" w:rsidP="00993408">
      <w:r>
        <w:continuationSeparator/>
      </w:r>
    </w:p>
    <w:p w:rsidR="005C711A" w:rsidRDefault="005C711A" w:rsidP="0099340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A6167" w:rsidRPr="00C40C50" w:rsidRDefault="00DA6167" w:rsidP="00483E44">
    <w:pPr>
      <w:pStyle w:val="Zhlav"/>
      <w:tabs>
        <w:tab w:val="clear" w:pos="4536"/>
        <w:tab w:val="clear" w:pos="9072"/>
        <w:tab w:val="left" w:pos="3271"/>
        <w:tab w:val="left" w:pos="9923"/>
      </w:tabs>
    </w:pPr>
    <w:r w:rsidRPr="00464232">
      <w:rPr>
        <w:noProof/>
        <w:lang w:eastAsia="cs-CZ"/>
      </w:rPr>
      <w:drawing>
        <wp:anchor distT="0" distB="0" distL="114300" distR="114300" simplePos="0" relativeHeight="251659264" behindDoc="1" locked="0" layoutInCell="1" allowOverlap="1">
          <wp:simplePos x="0" y="0"/>
          <wp:positionH relativeFrom="column">
            <wp:posOffset>5860612</wp:posOffset>
          </wp:positionH>
          <wp:positionV relativeFrom="paragraph">
            <wp:posOffset>-144030</wp:posOffset>
          </wp:positionV>
          <wp:extent cx="568325" cy="554355"/>
          <wp:effectExtent l="0" t="0" r="3175" b="0"/>
          <wp:wrapNone/>
          <wp:docPr id="708" name="obrázek 12" descr="\\192.168.1.250\Firma\!___AQEacademy___!\AQE_Logotypy\AQE_Logotypy\AQE_advisors\JPG_300dpi\AQE-advisors_Logo-01_Positi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92.168.1.250\Firma\!___AQEacademy___!\AQE_Logotypy\AQE_Logotypy\AQE_advisors\JPG_300dpi\AQE-advisors_Logo-01_Positive.jpg"/>
                  <pic:cNvPicPr>
                    <a:picLocks noChangeAspect="1" noChangeArrowheads="1"/>
                  </pic:cNvPicPr>
                </pic:nvPicPr>
                <pic:blipFill>
                  <a:blip r:embed="rId1">
                    <a:extLst>
                      <a:ext uri="{28A0092B-C50C-407E-A947-70E740481C1C}">
                        <a14:useLocalDpi xmlns:a14="http://schemas.microsoft.com/office/drawing/2010/main" val="0"/>
                      </a:ext>
                    </a:extLst>
                  </a:blip>
                  <a:srcRect l="12691" t="13513" r="13396" b="14101"/>
                  <a:stretch>
                    <a:fillRect/>
                  </a:stretch>
                </pic:blipFill>
                <pic:spPr bwMode="auto">
                  <a:xfrm>
                    <a:off x="0" y="0"/>
                    <a:ext cx="568325" cy="554355"/>
                  </a:xfrm>
                  <a:prstGeom prst="rect">
                    <a:avLst/>
                  </a:prstGeom>
                  <a:noFill/>
                  <a:ln>
                    <a:noFill/>
                  </a:ln>
                </pic:spPr>
              </pic:pic>
            </a:graphicData>
          </a:graphic>
        </wp:anchor>
      </w:drawing>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A6167" w:rsidRPr="00C40C50" w:rsidRDefault="00DA6167" w:rsidP="00483E44">
    <w:pPr>
      <w:pStyle w:val="Zhlav"/>
      <w:tabs>
        <w:tab w:val="clear" w:pos="4536"/>
        <w:tab w:val="clear" w:pos="9072"/>
        <w:tab w:val="left" w:pos="3271"/>
        <w:tab w:val="left" w:pos="9923"/>
      </w:tabs>
    </w:pPr>
    <w:r w:rsidRPr="00464232">
      <w:rPr>
        <w:noProof/>
        <w:lang w:eastAsia="cs-CZ"/>
      </w:rPr>
      <w:drawing>
        <wp:anchor distT="0" distB="0" distL="114300" distR="114300" simplePos="0" relativeHeight="251657216" behindDoc="1" locked="0" layoutInCell="1" allowOverlap="1">
          <wp:simplePos x="0" y="0"/>
          <wp:positionH relativeFrom="column">
            <wp:posOffset>5860612</wp:posOffset>
          </wp:positionH>
          <wp:positionV relativeFrom="paragraph">
            <wp:posOffset>-144030</wp:posOffset>
          </wp:positionV>
          <wp:extent cx="568325" cy="554355"/>
          <wp:effectExtent l="0" t="0" r="3175" b="0"/>
          <wp:wrapNone/>
          <wp:docPr id="17" name="obrázek 12" descr="\\192.168.1.250\Firma\!___AQEacademy___!\AQE_Logotypy\AQE_Logotypy\AQE_advisors\JPG_300dpi\AQE-advisors_Logo-01_Positi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92.168.1.250\Firma\!___AQEacademy___!\AQE_Logotypy\AQE_Logotypy\AQE_advisors\JPG_300dpi\AQE-advisors_Logo-01_Positive.jpg"/>
                  <pic:cNvPicPr>
                    <a:picLocks noChangeAspect="1" noChangeArrowheads="1"/>
                  </pic:cNvPicPr>
                </pic:nvPicPr>
                <pic:blipFill>
                  <a:blip r:embed="rId1">
                    <a:extLst>
                      <a:ext uri="{28A0092B-C50C-407E-A947-70E740481C1C}">
                        <a14:useLocalDpi xmlns:a14="http://schemas.microsoft.com/office/drawing/2010/main" val="0"/>
                      </a:ext>
                    </a:extLst>
                  </a:blip>
                  <a:srcRect l="12691" t="13513" r="13396" b="14101"/>
                  <a:stretch>
                    <a:fillRect/>
                  </a:stretch>
                </pic:blipFill>
                <pic:spPr bwMode="auto">
                  <a:xfrm>
                    <a:off x="0" y="0"/>
                    <a:ext cx="568325" cy="554355"/>
                  </a:xfrm>
                  <a:prstGeom prst="rect">
                    <a:avLst/>
                  </a:prstGeom>
                  <a:noFill/>
                  <a:ln>
                    <a:noFill/>
                  </a:ln>
                </pic:spPr>
              </pic:pic>
            </a:graphicData>
          </a:graphic>
        </wp:anchor>
      </w:drawing>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A6167" w:rsidRDefault="00DA6167">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02652B"/>
    <w:multiLevelType w:val="multilevel"/>
    <w:tmpl w:val="1A269BA6"/>
    <w:lvl w:ilvl="0">
      <w:start w:val="1"/>
      <w:numFmt w:val="decimal"/>
      <w:lvlText w:val="%1"/>
      <w:lvlJc w:val="left"/>
      <w:pPr>
        <w:ind w:left="432" w:hanging="432"/>
      </w:pPr>
      <w:rPr>
        <w:rFonts w:cs="Times New Roman"/>
      </w:rPr>
    </w:lvl>
    <w:lvl w:ilvl="1">
      <w:start w:val="1"/>
      <w:numFmt w:val="decimal"/>
      <w:lvlText w:val="%1.%2"/>
      <w:lvlJc w:val="left"/>
      <w:pPr>
        <w:ind w:left="576" w:hanging="576"/>
      </w:pPr>
      <w:rPr>
        <w:rFonts w:cs="Times New Roman"/>
      </w:rPr>
    </w:lvl>
    <w:lvl w:ilvl="2">
      <w:start w:val="1"/>
      <w:numFmt w:val="decimal"/>
      <w:lvlText w:val="%1.%2.%3"/>
      <w:lvlJc w:val="left"/>
      <w:pPr>
        <w:ind w:left="720" w:hanging="720"/>
      </w:pPr>
      <w:rPr>
        <w:rFonts w:cs="Times New Roman"/>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1" w15:restartNumberingAfterBreak="0">
    <w:nsid w:val="02D30B6D"/>
    <w:multiLevelType w:val="multilevel"/>
    <w:tmpl w:val="0405001D"/>
    <w:styleLink w:val="Plohy"/>
    <w:lvl w:ilvl="0">
      <w:start w:val="1"/>
      <w:numFmt w:val="decimal"/>
      <w:lvlText w:val="%1)"/>
      <w:lvlJc w:val="left"/>
      <w:pPr>
        <w:ind w:left="360" w:hanging="360"/>
      </w:pPr>
      <w:rPr>
        <w:rFonts w:ascii="Verdana" w:hAnsi="Verdana"/>
        <w:b/>
        <w:sz w:val="19"/>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06952E97"/>
    <w:multiLevelType w:val="multilevel"/>
    <w:tmpl w:val="08109782"/>
    <w:lvl w:ilvl="0">
      <w:start w:val="1"/>
      <w:numFmt w:val="decimal"/>
      <w:pStyle w:val="Kaskda"/>
      <w:lvlText w:val="%1."/>
      <w:lvlJc w:val="left"/>
      <w:pPr>
        <w:ind w:left="425" w:hanging="141"/>
      </w:pPr>
      <w:rPr>
        <w:rFonts w:hint="default"/>
      </w:rPr>
    </w:lvl>
    <w:lvl w:ilvl="1">
      <w:start w:val="1"/>
      <w:numFmt w:val="lowerLetter"/>
      <w:lvlText w:val="%2."/>
      <w:lvlJc w:val="left"/>
      <w:pPr>
        <w:ind w:left="1134" w:hanging="425"/>
      </w:pPr>
      <w:rPr>
        <w:rFonts w:hint="default"/>
      </w:rPr>
    </w:lvl>
    <w:lvl w:ilvl="2">
      <w:start w:val="1"/>
      <w:numFmt w:val="lowerRoman"/>
      <w:lvlText w:val="%3."/>
      <w:lvlJc w:val="right"/>
      <w:pPr>
        <w:ind w:left="1559" w:hanging="283"/>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08623CF1"/>
    <w:multiLevelType w:val="multilevel"/>
    <w:tmpl w:val="F5EE2D3A"/>
    <w:lvl w:ilvl="0">
      <w:start w:val="1"/>
      <w:numFmt w:val="decimal"/>
      <w:pStyle w:val="Nadpis1"/>
      <w:lvlText w:val="%1"/>
      <w:lvlJc w:val="left"/>
      <w:pPr>
        <w:ind w:left="6953" w:hanging="432"/>
      </w:pPr>
    </w:lvl>
    <w:lvl w:ilvl="1">
      <w:start w:val="1"/>
      <w:numFmt w:val="decimal"/>
      <w:pStyle w:val="Nadpis2"/>
      <w:lvlText w:val="%1.%2"/>
      <w:lvlJc w:val="left"/>
      <w:pPr>
        <w:ind w:left="576" w:hanging="576"/>
      </w:pPr>
    </w:lvl>
    <w:lvl w:ilvl="2">
      <w:start w:val="1"/>
      <w:numFmt w:val="decimal"/>
      <w:pStyle w:val="Nadpis3"/>
      <w:lvlText w:val="%1.%2.%3"/>
      <w:lvlJc w:val="left"/>
      <w:pPr>
        <w:ind w:left="1288"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lvlText w:val="%1.%2.%3.%4.%5.%6.%7.%8.%9"/>
      <w:lvlJc w:val="left"/>
      <w:pPr>
        <w:ind w:left="1584" w:hanging="1584"/>
      </w:pPr>
    </w:lvl>
  </w:abstractNum>
  <w:abstractNum w:abstractNumId="4" w15:restartNumberingAfterBreak="0">
    <w:nsid w:val="0AB853DC"/>
    <w:multiLevelType w:val="hybridMultilevel"/>
    <w:tmpl w:val="AF4C845A"/>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0CB93E6F"/>
    <w:multiLevelType w:val="multilevel"/>
    <w:tmpl w:val="B1F8297E"/>
    <w:styleLink w:val="Grafy"/>
    <w:lvl w:ilvl="0">
      <w:start w:val="1"/>
      <w:numFmt w:val="decimal"/>
      <w:lvlText w:val="Graf č. %1:"/>
      <w:lvlJc w:val="left"/>
      <w:pPr>
        <w:tabs>
          <w:tab w:val="num" w:pos="1134"/>
        </w:tabs>
        <w:ind w:left="0" w:firstLine="0"/>
      </w:pPr>
      <w:rPr>
        <w:rFonts w:ascii="Verdana" w:hAnsi="Verdana" w:hint="default"/>
        <w:color w:val="auto"/>
        <w:sz w:val="19"/>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108F70F6"/>
    <w:multiLevelType w:val="multilevel"/>
    <w:tmpl w:val="9E827616"/>
    <w:lvl w:ilvl="0">
      <w:start w:val="1"/>
      <w:numFmt w:val="bullet"/>
      <w:lvlText w:val=""/>
      <w:lvlJc w:val="left"/>
      <w:pPr>
        <w:ind w:left="644" w:hanging="360"/>
      </w:pPr>
      <w:rPr>
        <w:rFonts w:ascii="Wingdings 2" w:hAnsi="Wingdings 2" w:hint="default"/>
        <w:color w:val="215868" w:themeColor="accent5" w:themeShade="80"/>
        <w:sz w:val="16"/>
        <w:szCs w:val="16"/>
        <w:u w:color="D52B1E"/>
      </w:rPr>
    </w:lvl>
    <w:lvl w:ilvl="1">
      <w:start w:val="1"/>
      <w:numFmt w:val="bullet"/>
      <w:lvlText w:val="-"/>
      <w:lvlJc w:val="left"/>
      <w:pPr>
        <w:ind w:left="1134" w:hanging="425"/>
      </w:pPr>
      <w:rPr>
        <w:rFonts w:ascii="Times New Roman" w:hAnsi="Times New Roman" w:cs="Times New Roman" w:hint="default"/>
      </w:rPr>
    </w:lvl>
    <w:lvl w:ilvl="2">
      <w:start w:val="1"/>
      <w:numFmt w:val="bullet"/>
      <w:lvlText w:val=""/>
      <w:lvlJc w:val="left"/>
      <w:pPr>
        <w:ind w:left="1559" w:hanging="283"/>
      </w:pPr>
      <w:rPr>
        <w:rFonts w:ascii="Wingdings" w:hAnsi="Wingdings" w:hint="default"/>
      </w:rPr>
    </w:lvl>
    <w:lvl w:ilvl="3">
      <w:start w:val="1"/>
      <w:numFmt w:val="bullet"/>
      <w:lvlText w:val=""/>
      <w:lvlJc w:val="left"/>
      <w:pPr>
        <w:ind w:left="3232" w:hanging="360"/>
      </w:pPr>
      <w:rPr>
        <w:rFonts w:ascii="Symbol" w:hAnsi="Symbol" w:hint="default"/>
      </w:rPr>
    </w:lvl>
    <w:lvl w:ilvl="4">
      <w:start w:val="1"/>
      <w:numFmt w:val="bullet"/>
      <w:lvlText w:val="o"/>
      <w:lvlJc w:val="left"/>
      <w:pPr>
        <w:ind w:left="3952" w:hanging="360"/>
      </w:pPr>
      <w:rPr>
        <w:rFonts w:ascii="Courier New" w:hAnsi="Courier New" w:cs="Courier New" w:hint="default"/>
      </w:rPr>
    </w:lvl>
    <w:lvl w:ilvl="5">
      <w:start w:val="1"/>
      <w:numFmt w:val="bullet"/>
      <w:lvlText w:val=""/>
      <w:lvlJc w:val="left"/>
      <w:pPr>
        <w:ind w:left="4672" w:hanging="360"/>
      </w:pPr>
      <w:rPr>
        <w:rFonts w:ascii="Wingdings" w:hAnsi="Wingdings" w:hint="default"/>
      </w:rPr>
    </w:lvl>
    <w:lvl w:ilvl="6">
      <w:start w:val="1"/>
      <w:numFmt w:val="bullet"/>
      <w:lvlText w:val=""/>
      <w:lvlJc w:val="left"/>
      <w:pPr>
        <w:ind w:left="5392" w:hanging="360"/>
      </w:pPr>
      <w:rPr>
        <w:rFonts w:ascii="Symbol" w:hAnsi="Symbol" w:hint="default"/>
      </w:rPr>
    </w:lvl>
    <w:lvl w:ilvl="7">
      <w:start w:val="1"/>
      <w:numFmt w:val="bullet"/>
      <w:lvlText w:val="o"/>
      <w:lvlJc w:val="left"/>
      <w:pPr>
        <w:ind w:left="6112" w:hanging="360"/>
      </w:pPr>
      <w:rPr>
        <w:rFonts w:ascii="Courier New" w:hAnsi="Courier New" w:cs="Courier New" w:hint="default"/>
      </w:rPr>
    </w:lvl>
    <w:lvl w:ilvl="8">
      <w:start w:val="1"/>
      <w:numFmt w:val="bullet"/>
      <w:lvlText w:val=""/>
      <w:lvlJc w:val="left"/>
      <w:pPr>
        <w:ind w:left="6832" w:hanging="360"/>
      </w:pPr>
      <w:rPr>
        <w:rFonts w:ascii="Wingdings" w:hAnsi="Wingdings" w:hint="default"/>
      </w:rPr>
    </w:lvl>
  </w:abstractNum>
  <w:abstractNum w:abstractNumId="7" w15:restartNumberingAfterBreak="0">
    <w:nsid w:val="12630EE9"/>
    <w:multiLevelType w:val="hybridMultilevel"/>
    <w:tmpl w:val="60B6B00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15841284"/>
    <w:multiLevelType w:val="hybridMultilevel"/>
    <w:tmpl w:val="09D8105A"/>
    <w:lvl w:ilvl="0" w:tplc="FB98C1D2">
      <w:start w:val="1"/>
      <w:numFmt w:val="decimal"/>
      <w:lvlText w:val="Tabulka č. %1: "/>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15E3692C"/>
    <w:multiLevelType w:val="hybridMultilevel"/>
    <w:tmpl w:val="FD5C73FE"/>
    <w:lvl w:ilvl="0" w:tplc="35264F44">
      <w:start w:val="1"/>
      <w:numFmt w:val="bullet"/>
      <w:pStyle w:val="Odstavecseseznamem"/>
      <w:lvlText w:val="Â"/>
      <w:lvlJc w:val="left"/>
      <w:pPr>
        <w:ind w:left="4188" w:hanging="360"/>
      </w:pPr>
      <w:rPr>
        <w:rFonts w:ascii="Wingdings 2" w:hAnsi="Wingdings 2" w:hint="default"/>
        <w:color w:val="808080" w:themeColor="background1" w:themeShade="80"/>
      </w:rPr>
    </w:lvl>
    <w:lvl w:ilvl="1" w:tplc="04050003">
      <w:start w:val="1"/>
      <w:numFmt w:val="bullet"/>
      <w:lvlText w:val="o"/>
      <w:lvlJc w:val="left"/>
      <w:pPr>
        <w:ind w:left="5846" w:hanging="360"/>
      </w:pPr>
      <w:rPr>
        <w:rFonts w:ascii="Courier New" w:hAnsi="Courier New" w:cs="Courier New" w:hint="default"/>
      </w:rPr>
    </w:lvl>
    <w:lvl w:ilvl="2" w:tplc="04050005" w:tentative="1">
      <w:start w:val="1"/>
      <w:numFmt w:val="bullet"/>
      <w:lvlText w:val=""/>
      <w:lvlJc w:val="left"/>
      <w:pPr>
        <w:ind w:left="6566" w:hanging="360"/>
      </w:pPr>
      <w:rPr>
        <w:rFonts w:ascii="Wingdings" w:hAnsi="Wingdings" w:hint="default"/>
      </w:rPr>
    </w:lvl>
    <w:lvl w:ilvl="3" w:tplc="04050001" w:tentative="1">
      <w:start w:val="1"/>
      <w:numFmt w:val="bullet"/>
      <w:lvlText w:val=""/>
      <w:lvlJc w:val="left"/>
      <w:pPr>
        <w:ind w:left="7286" w:hanging="360"/>
      </w:pPr>
      <w:rPr>
        <w:rFonts w:ascii="Symbol" w:hAnsi="Symbol" w:hint="default"/>
      </w:rPr>
    </w:lvl>
    <w:lvl w:ilvl="4" w:tplc="04050003" w:tentative="1">
      <w:start w:val="1"/>
      <w:numFmt w:val="bullet"/>
      <w:lvlText w:val="o"/>
      <w:lvlJc w:val="left"/>
      <w:pPr>
        <w:ind w:left="8006" w:hanging="360"/>
      </w:pPr>
      <w:rPr>
        <w:rFonts w:ascii="Courier New" w:hAnsi="Courier New" w:cs="Courier New" w:hint="default"/>
      </w:rPr>
    </w:lvl>
    <w:lvl w:ilvl="5" w:tplc="04050005" w:tentative="1">
      <w:start w:val="1"/>
      <w:numFmt w:val="bullet"/>
      <w:lvlText w:val=""/>
      <w:lvlJc w:val="left"/>
      <w:pPr>
        <w:ind w:left="8726" w:hanging="360"/>
      </w:pPr>
      <w:rPr>
        <w:rFonts w:ascii="Wingdings" w:hAnsi="Wingdings" w:hint="default"/>
      </w:rPr>
    </w:lvl>
    <w:lvl w:ilvl="6" w:tplc="04050001" w:tentative="1">
      <w:start w:val="1"/>
      <w:numFmt w:val="bullet"/>
      <w:lvlText w:val=""/>
      <w:lvlJc w:val="left"/>
      <w:pPr>
        <w:ind w:left="9446" w:hanging="360"/>
      </w:pPr>
      <w:rPr>
        <w:rFonts w:ascii="Symbol" w:hAnsi="Symbol" w:hint="default"/>
      </w:rPr>
    </w:lvl>
    <w:lvl w:ilvl="7" w:tplc="04050003" w:tentative="1">
      <w:start w:val="1"/>
      <w:numFmt w:val="bullet"/>
      <w:lvlText w:val="o"/>
      <w:lvlJc w:val="left"/>
      <w:pPr>
        <w:ind w:left="10166" w:hanging="360"/>
      </w:pPr>
      <w:rPr>
        <w:rFonts w:ascii="Courier New" w:hAnsi="Courier New" w:cs="Courier New" w:hint="default"/>
      </w:rPr>
    </w:lvl>
    <w:lvl w:ilvl="8" w:tplc="04050005" w:tentative="1">
      <w:start w:val="1"/>
      <w:numFmt w:val="bullet"/>
      <w:lvlText w:val=""/>
      <w:lvlJc w:val="left"/>
      <w:pPr>
        <w:ind w:left="10886" w:hanging="360"/>
      </w:pPr>
      <w:rPr>
        <w:rFonts w:ascii="Wingdings" w:hAnsi="Wingdings" w:hint="default"/>
      </w:rPr>
    </w:lvl>
  </w:abstractNum>
  <w:abstractNum w:abstractNumId="10" w15:restartNumberingAfterBreak="0">
    <w:nsid w:val="18EE20AE"/>
    <w:multiLevelType w:val="hybridMultilevel"/>
    <w:tmpl w:val="CD942976"/>
    <w:lvl w:ilvl="0" w:tplc="988CBEF6">
      <w:start w:val="1"/>
      <w:numFmt w:val="bullet"/>
      <w:lvlText w:val=""/>
      <w:lvlJc w:val="left"/>
      <w:pPr>
        <w:ind w:left="720" w:hanging="360"/>
      </w:pPr>
      <w:rPr>
        <w:rFonts w:ascii="Wingdings 2" w:hAnsi="Wingdings 2" w:hint="default"/>
        <w:color w:val="215868" w:themeColor="accent5" w:themeShade="80"/>
        <w:sz w:val="16"/>
        <w:szCs w:val="16"/>
        <w:u w:color="D52B1E"/>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1EF4323E"/>
    <w:multiLevelType w:val="multilevel"/>
    <w:tmpl w:val="1944AB6E"/>
    <w:styleLink w:val="Tabulky"/>
    <w:lvl w:ilvl="0">
      <w:start w:val="1"/>
      <w:numFmt w:val="decimal"/>
      <w:lvlText w:val="Tabulka č. %1:"/>
      <w:lvlJc w:val="left"/>
      <w:pPr>
        <w:ind w:left="786" w:hanging="360"/>
      </w:pPr>
      <w:rPr>
        <w:rFonts w:ascii="Verdana" w:hAnsi="Verdana" w:hint="default"/>
        <w:b/>
        <w:sz w:val="19"/>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20DD03AD"/>
    <w:multiLevelType w:val="hybridMultilevel"/>
    <w:tmpl w:val="537E99E6"/>
    <w:lvl w:ilvl="0" w:tplc="988CBEF6">
      <w:start w:val="1"/>
      <w:numFmt w:val="bullet"/>
      <w:lvlText w:val=""/>
      <w:lvlJc w:val="left"/>
      <w:pPr>
        <w:ind w:left="720" w:hanging="360"/>
      </w:pPr>
      <w:rPr>
        <w:rFonts w:ascii="Wingdings 2" w:hAnsi="Wingdings 2" w:hint="default"/>
        <w:color w:val="215868" w:themeColor="accent5" w:themeShade="80"/>
        <w:sz w:val="16"/>
        <w:szCs w:val="16"/>
        <w:u w:color="D52B1E"/>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23FF1FB4"/>
    <w:multiLevelType w:val="multilevel"/>
    <w:tmpl w:val="69AA1CF6"/>
    <w:lvl w:ilvl="0">
      <w:start w:val="1"/>
      <w:numFmt w:val="decimal"/>
      <w:pStyle w:val="Tabulka"/>
      <w:lvlText w:val="Tabulka č. %1:"/>
      <w:lvlJc w:val="left"/>
      <w:pPr>
        <w:tabs>
          <w:tab w:val="num" w:pos="2552"/>
        </w:tabs>
        <w:ind w:left="851" w:firstLine="0"/>
      </w:pPr>
      <w:rPr>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27785C32"/>
    <w:multiLevelType w:val="multilevel"/>
    <w:tmpl w:val="4AE6D854"/>
    <w:lvl w:ilvl="0">
      <w:start w:val="1"/>
      <w:numFmt w:val="bullet"/>
      <w:lvlText w:val=""/>
      <w:lvlJc w:val="left"/>
      <w:pPr>
        <w:ind w:left="644" w:hanging="360"/>
      </w:pPr>
      <w:rPr>
        <w:rFonts w:ascii="Wingdings 2" w:hAnsi="Wingdings 2" w:hint="default"/>
        <w:color w:val="215868" w:themeColor="accent5" w:themeShade="80"/>
        <w:sz w:val="16"/>
        <w:szCs w:val="16"/>
        <w:u w:color="D52B1E"/>
      </w:rPr>
    </w:lvl>
    <w:lvl w:ilvl="1">
      <w:start w:val="1"/>
      <w:numFmt w:val="bullet"/>
      <w:lvlText w:val="-"/>
      <w:lvlJc w:val="left"/>
      <w:pPr>
        <w:ind w:left="1134" w:hanging="425"/>
      </w:pPr>
      <w:rPr>
        <w:rFonts w:ascii="Times New Roman" w:hAnsi="Times New Roman" w:cs="Times New Roman" w:hint="default"/>
      </w:rPr>
    </w:lvl>
    <w:lvl w:ilvl="2">
      <w:start w:val="1"/>
      <w:numFmt w:val="bullet"/>
      <w:lvlText w:val=""/>
      <w:lvlJc w:val="left"/>
      <w:pPr>
        <w:ind w:left="1559" w:hanging="283"/>
      </w:pPr>
      <w:rPr>
        <w:rFonts w:ascii="Wingdings" w:hAnsi="Wingdings" w:hint="default"/>
      </w:rPr>
    </w:lvl>
    <w:lvl w:ilvl="3">
      <w:start w:val="1"/>
      <w:numFmt w:val="bullet"/>
      <w:lvlText w:val=""/>
      <w:lvlJc w:val="left"/>
      <w:pPr>
        <w:ind w:left="3232" w:hanging="360"/>
      </w:pPr>
      <w:rPr>
        <w:rFonts w:ascii="Symbol" w:hAnsi="Symbol" w:hint="default"/>
      </w:rPr>
    </w:lvl>
    <w:lvl w:ilvl="4">
      <w:start w:val="1"/>
      <w:numFmt w:val="bullet"/>
      <w:lvlText w:val="o"/>
      <w:lvlJc w:val="left"/>
      <w:pPr>
        <w:ind w:left="3952" w:hanging="360"/>
      </w:pPr>
      <w:rPr>
        <w:rFonts w:ascii="Courier New" w:hAnsi="Courier New" w:cs="Courier New" w:hint="default"/>
      </w:rPr>
    </w:lvl>
    <w:lvl w:ilvl="5">
      <w:start w:val="1"/>
      <w:numFmt w:val="bullet"/>
      <w:lvlText w:val=""/>
      <w:lvlJc w:val="left"/>
      <w:pPr>
        <w:ind w:left="4672" w:hanging="360"/>
      </w:pPr>
      <w:rPr>
        <w:rFonts w:ascii="Wingdings" w:hAnsi="Wingdings" w:hint="default"/>
      </w:rPr>
    </w:lvl>
    <w:lvl w:ilvl="6">
      <w:start w:val="1"/>
      <w:numFmt w:val="bullet"/>
      <w:lvlText w:val=""/>
      <w:lvlJc w:val="left"/>
      <w:pPr>
        <w:ind w:left="5392" w:hanging="360"/>
      </w:pPr>
      <w:rPr>
        <w:rFonts w:ascii="Symbol" w:hAnsi="Symbol" w:hint="default"/>
      </w:rPr>
    </w:lvl>
    <w:lvl w:ilvl="7">
      <w:start w:val="1"/>
      <w:numFmt w:val="bullet"/>
      <w:lvlText w:val="o"/>
      <w:lvlJc w:val="left"/>
      <w:pPr>
        <w:ind w:left="6112" w:hanging="360"/>
      </w:pPr>
      <w:rPr>
        <w:rFonts w:ascii="Courier New" w:hAnsi="Courier New" w:cs="Courier New" w:hint="default"/>
      </w:rPr>
    </w:lvl>
    <w:lvl w:ilvl="8">
      <w:start w:val="1"/>
      <w:numFmt w:val="bullet"/>
      <w:lvlText w:val=""/>
      <w:lvlJc w:val="left"/>
      <w:pPr>
        <w:ind w:left="6832" w:hanging="360"/>
      </w:pPr>
      <w:rPr>
        <w:rFonts w:ascii="Wingdings" w:hAnsi="Wingdings" w:hint="default"/>
      </w:rPr>
    </w:lvl>
  </w:abstractNum>
  <w:abstractNum w:abstractNumId="15" w15:restartNumberingAfterBreak="0">
    <w:nsid w:val="27C85C49"/>
    <w:multiLevelType w:val="multilevel"/>
    <w:tmpl w:val="8F785DF4"/>
    <w:styleLink w:val="KaskdyA"/>
    <w:lvl w:ilvl="0">
      <w:start w:val="1"/>
      <w:numFmt w:val="decimal"/>
      <w:lvlText w:val="%1."/>
      <w:lvlJc w:val="left"/>
      <w:pPr>
        <w:ind w:left="425" w:hanging="141"/>
      </w:pPr>
      <w:rPr>
        <w:rFonts w:ascii="Verdana" w:hAnsi="Verdana" w:hint="default"/>
        <w:sz w:val="19"/>
      </w:rPr>
    </w:lvl>
    <w:lvl w:ilvl="1">
      <w:start w:val="1"/>
      <w:numFmt w:val="lowerLetter"/>
      <w:lvlText w:val="%2."/>
      <w:lvlJc w:val="left"/>
      <w:pPr>
        <w:ind w:left="992" w:hanging="283"/>
      </w:pPr>
      <w:rPr>
        <w:rFonts w:hint="default"/>
      </w:rPr>
    </w:lvl>
    <w:lvl w:ilvl="2">
      <w:start w:val="1"/>
      <w:numFmt w:val="lowerRoman"/>
      <w:lvlText w:val="%3."/>
      <w:lvlJc w:val="right"/>
      <w:pPr>
        <w:ind w:left="1418" w:hanging="28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28573A2B"/>
    <w:multiLevelType w:val="multilevel"/>
    <w:tmpl w:val="DF8E1036"/>
    <w:lvl w:ilvl="0">
      <w:start w:val="1"/>
      <w:numFmt w:val="decimal"/>
      <w:pStyle w:val="Ploha"/>
      <w:lvlText w:val="Příloha č. %1:"/>
      <w:lvlJc w:val="left"/>
      <w:pPr>
        <w:ind w:left="1418" w:hanging="1418"/>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2B297A9A"/>
    <w:multiLevelType w:val="hybridMultilevel"/>
    <w:tmpl w:val="B392855C"/>
    <w:lvl w:ilvl="0" w:tplc="9494865C">
      <w:start w:val="1"/>
      <w:numFmt w:val="decimal"/>
      <w:pStyle w:val="graf"/>
      <w:lvlText w:val="Graf č. %1: "/>
      <w:lvlJc w:val="left"/>
      <w:pPr>
        <w:ind w:left="720" w:hanging="360"/>
      </w:pPr>
      <w:rPr>
        <w:rFonts w:hint="default"/>
      </w:rPr>
    </w:lvl>
    <w:lvl w:ilvl="1" w:tplc="04050003" w:tentative="1">
      <w:start w:val="1"/>
      <w:numFmt w:val="lowerLetter"/>
      <w:lvlText w:val="%2."/>
      <w:lvlJc w:val="left"/>
      <w:pPr>
        <w:ind w:left="1440" w:hanging="360"/>
      </w:pPr>
    </w:lvl>
    <w:lvl w:ilvl="2" w:tplc="04050005" w:tentative="1">
      <w:start w:val="1"/>
      <w:numFmt w:val="lowerRoman"/>
      <w:lvlText w:val="%3."/>
      <w:lvlJc w:val="right"/>
      <w:pPr>
        <w:ind w:left="2160" w:hanging="180"/>
      </w:pPr>
    </w:lvl>
    <w:lvl w:ilvl="3" w:tplc="04050001" w:tentative="1">
      <w:start w:val="1"/>
      <w:numFmt w:val="decimal"/>
      <w:lvlText w:val="%4."/>
      <w:lvlJc w:val="left"/>
      <w:pPr>
        <w:ind w:left="2880" w:hanging="360"/>
      </w:pPr>
    </w:lvl>
    <w:lvl w:ilvl="4" w:tplc="04050003" w:tentative="1">
      <w:start w:val="1"/>
      <w:numFmt w:val="lowerLetter"/>
      <w:lvlText w:val="%5."/>
      <w:lvlJc w:val="left"/>
      <w:pPr>
        <w:ind w:left="3600" w:hanging="360"/>
      </w:pPr>
    </w:lvl>
    <w:lvl w:ilvl="5" w:tplc="04050005" w:tentative="1">
      <w:start w:val="1"/>
      <w:numFmt w:val="lowerRoman"/>
      <w:lvlText w:val="%6."/>
      <w:lvlJc w:val="right"/>
      <w:pPr>
        <w:ind w:left="4320" w:hanging="180"/>
      </w:pPr>
    </w:lvl>
    <w:lvl w:ilvl="6" w:tplc="04050001" w:tentative="1">
      <w:start w:val="1"/>
      <w:numFmt w:val="decimal"/>
      <w:lvlText w:val="%7."/>
      <w:lvlJc w:val="left"/>
      <w:pPr>
        <w:ind w:left="5040" w:hanging="360"/>
      </w:pPr>
    </w:lvl>
    <w:lvl w:ilvl="7" w:tplc="04050003" w:tentative="1">
      <w:start w:val="1"/>
      <w:numFmt w:val="lowerLetter"/>
      <w:lvlText w:val="%8."/>
      <w:lvlJc w:val="left"/>
      <w:pPr>
        <w:ind w:left="5760" w:hanging="360"/>
      </w:pPr>
    </w:lvl>
    <w:lvl w:ilvl="8" w:tplc="04050005" w:tentative="1">
      <w:start w:val="1"/>
      <w:numFmt w:val="lowerRoman"/>
      <w:lvlText w:val="%9."/>
      <w:lvlJc w:val="right"/>
      <w:pPr>
        <w:ind w:left="6480" w:hanging="180"/>
      </w:pPr>
    </w:lvl>
  </w:abstractNum>
  <w:abstractNum w:abstractNumId="18" w15:restartNumberingAfterBreak="0">
    <w:nsid w:val="3289008B"/>
    <w:multiLevelType w:val="multilevel"/>
    <w:tmpl w:val="8EDC0B00"/>
    <w:lvl w:ilvl="0">
      <w:start w:val="1"/>
      <w:numFmt w:val="upperLetter"/>
      <w:pStyle w:val="KaskdaA"/>
      <w:lvlText w:val="%1."/>
      <w:lvlJc w:val="left"/>
      <w:pPr>
        <w:ind w:left="425" w:hanging="141"/>
      </w:pPr>
      <w:rPr>
        <w:rFonts w:ascii="Verdana" w:hAnsi="Verdana" w:hint="default"/>
        <w:sz w:val="19"/>
      </w:rPr>
    </w:lvl>
    <w:lvl w:ilvl="1">
      <w:start w:val="1"/>
      <w:numFmt w:val="decimal"/>
      <w:lvlText w:val="%2)"/>
      <w:lvlJc w:val="left"/>
      <w:pPr>
        <w:ind w:left="1134" w:hanging="425"/>
      </w:pPr>
      <w:rPr>
        <w:rFonts w:hint="default"/>
      </w:rPr>
    </w:lvl>
    <w:lvl w:ilvl="2">
      <w:start w:val="1"/>
      <w:numFmt w:val="lowerRoman"/>
      <w:lvlText w:val="%3."/>
      <w:lvlJc w:val="right"/>
      <w:pPr>
        <w:ind w:left="1559" w:hanging="283"/>
      </w:pPr>
      <w:rPr>
        <w:rFonts w:hint="default"/>
      </w:rPr>
    </w:lvl>
    <w:lvl w:ilvl="3">
      <w:start w:val="1"/>
      <w:numFmt w:val="decimal"/>
      <w:lvlText w:val="%4."/>
      <w:lvlJc w:val="left"/>
      <w:pPr>
        <w:ind w:left="1843" w:hanging="284"/>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15:restartNumberingAfterBreak="0">
    <w:nsid w:val="369658E9"/>
    <w:multiLevelType w:val="hybridMultilevel"/>
    <w:tmpl w:val="72828990"/>
    <w:lvl w:ilvl="0" w:tplc="988CBEF6">
      <w:start w:val="1"/>
      <w:numFmt w:val="bullet"/>
      <w:lvlText w:val=""/>
      <w:lvlJc w:val="left"/>
      <w:pPr>
        <w:ind w:left="720" w:hanging="360"/>
      </w:pPr>
      <w:rPr>
        <w:rFonts w:ascii="Wingdings 2" w:hAnsi="Wingdings 2" w:hint="default"/>
        <w:color w:val="215868" w:themeColor="accent5" w:themeShade="80"/>
        <w:sz w:val="16"/>
        <w:szCs w:val="16"/>
        <w:u w:color="D52B1E"/>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37E05A52"/>
    <w:multiLevelType w:val="multilevel"/>
    <w:tmpl w:val="04CEB976"/>
    <w:lvl w:ilvl="0">
      <w:start w:val="1"/>
      <w:numFmt w:val="decimal"/>
      <w:pStyle w:val="Obrzek"/>
      <w:lvlText w:val="Obrázek č. %1: "/>
      <w:lvlJc w:val="left"/>
      <w:pPr>
        <w:tabs>
          <w:tab w:val="num" w:pos="1701"/>
        </w:tabs>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1" w15:restartNumberingAfterBreak="0">
    <w:nsid w:val="39E94C1B"/>
    <w:multiLevelType w:val="hybridMultilevel"/>
    <w:tmpl w:val="C3A41A2C"/>
    <w:lvl w:ilvl="0" w:tplc="E9C4BB8A">
      <w:start w:val="1"/>
      <w:numFmt w:val="bullet"/>
      <w:lvlText w:val=""/>
      <w:lvlJc w:val="left"/>
      <w:pPr>
        <w:ind w:left="1080" w:hanging="360"/>
      </w:pPr>
      <w:rPr>
        <w:rFonts w:ascii="Wingdings 2" w:hAnsi="Wingdings 2" w:hint="default"/>
        <w:color w:val="C2DEEA"/>
        <w:sz w:val="16"/>
        <w:szCs w:val="16"/>
        <w:u w:color="D52B1E"/>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22" w15:restartNumberingAfterBreak="0">
    <w:nsid w:val="42DB0C72"/>
    <w:multiLevelType w:val="multilevel"/>
    <w:tmpl w:val="206C14F6"/>
    <w:lvl w:ilvl="0">
      <w:start w:val="1"/>
      <w:numFmt w:val="bullet"/>
      <w:lvlText w:val=""/>
      <w:lvlJc w:val="left"/>
      <w:pPr>
        <w:ind w:left="644" w:hanging="360"/>
      </w:pPr>
      <w:rPr>
        <w:rFonts w:ascii="Wingdings 2" w:hAnsi="Wingdings 2" w:hint="default"/>
        <w:color w:val="215868" w:themeColor="accent5" w:themeShade="80"/>
        <w:sz w:val="16"/>
        <w:szCs w:val="16"/>
        <w:u w:color="D52B1E"/>
      </w:rPr>
    </w:lvl>
    <w:lvl w:ilvl="1">
      <w:start w:val="1"/>
      <w:numFmt w:val="bullet"/>
      <w:lvlText w:val="-"/>
      <w:lvlJc w:val="left"/>
      <w:pPr>
        <w:ind w:left="1134" w:hanging="425"/>
      </w:pPr>
      <w:rPr>
        <w:rFonts w:ascii="Times New Roman" w:hAnsi="Times New Roman" w:cs="Times New Roman" w:hint="default"/>
      </w:rPr>
    </w:lvl>
    <w:lvl w:ilvl="2">
      <w:start w:val="1"/>
      <w:numFmt w:val="bullet"/>
      <w:lvlText w:val=""/>
      <w:lvlJc w:val="left"/>
      <w:pPr>
        <w:ind w:left="1559" w:hanging="283"/>
      </w:pPr>
      <w:rPr>
        <w:rFonts w:ascii="Wingdings" w:hAnsi="Wingdings" w:hint="default"/>
      </w:rPr>
    </w:lvl>
    <w:lvl w:ilvl="3">
      <w:start w:val="1"/>
      <w:numFmt w:val="bullet"/>
      <w:lvlText w:val=""/>
      <w:lvlJc w:val="left"/>
      <w:pPr>
        <w:ind w:left="3232" w:hanging="360"/>
      </w:pPr>
      <w:rPr>
        <w:rFonts w:ascii="Symbol" w:hAnsi="Symbol" w:hint="default"/>
      </w:rPr>
    </w:lvl>
    <w:lvl w:ilvl="4">
      <w:start w:val="1"/>
      <w:numFmt w:val="bullet"/>
      <w:lvlText w:val="o"/>
      <w:lvlJc w:val="left"/>
      <w:pPr>
        <w:ind w:left="3952" w:hanging="360"/>
      </w:pPr>
      <w:rPr>
        <w:rFonts w:ascii="Courier New" w:hAnsi="Courier New" w:cs="Courier New" w:hint="default"/>
      </w:rPr>
    </w:lvl>
    <w:lvl w:ilvl="5">
      <w:start w:val="1"/>
      <w:numFmt w:val="bullet"/>
      <w:lvlText w:val=""/>
      <w:lvlJc w:val="left"/>
      <w:pPr>
        <w:ind w:left="4672" w:hanging="360"/>
      </w:pPr>
      <w:rPr>
        <w:rFonts w:ascii="Wingdings" w:hAnsi="Wingdings" w:hint="default"/>
      </w:rPr>
    </w:lvl>
    <w:lvl w:ilvl="6">
      <w:start w:val="1"/>
      <w:numFmt w:val="bullet"/>
      <w:lvlText w:val=""/>
      <w:lvlJc w:val="left"/>
      <w:pPr>
        <w:ind w:left="5392" w:hanging="360"/>
      </w:pPr>
      <w:rPr>
        <w:rFonts w:ascii="Symbol" w:hAnsi="Symbol" w:hint="default"/>
      </w:rPr>
    </w:lvl>
    <w:lvl w:ilvl="7">
      <w:start w:val="1"/>
      <w:numFmt w:val="bullet"/>
      <w:lvlText w:val="o"/>
      <w:lvlJc w:val="left"/>
      <w:pPr>
        <w:ind w:left="6112" w:hanging="360"/>
      </w:pPr>
      <w:rPr>
        <w:rFonts w:ascii="Courier New" w:hAnsi="Courier New" w:cs="Courier New" w:hint="default"/>
      </w:rPr>
    </w:lvl>
    <w:lvl w:ilvl="8">
      <w:start w:val="1"/>
      <w:numFmt w:val="bullet"/>
      <w:lvlText w:val=""/>
      <w:lvlJc w:val="left"/>
      <w:pPr>
        <w:ind w:left="6832" w:hanging="360"/>
      </w:pPr>
      <w:rPr>
        <w:rFonts w:ascii="Wingdings" w:hAnsi="Wingdings" w:hint="default"/>
      </w:rPr>
    </w:lvl>
  </w:abstractNum>
  <w:abstractNum w:abstractNumId="23" w15:restartNumberingAfterBreak="0">
    <w:nsid w:val="44CB72C4"/>
    <w:multiLevelType w:val="multilevel"/>
    <w:tmpl w:val="422CFD04"/>
    <w:lvl w:ilvl="0">
      <w:start w:val="1"/>
      <w:numFmt w:val="bullet"/>
      <w:lvlText w:val=""/>
      <w:lvlJc w:val="left"/>
      <w:pPr>
        <w:ind w:left="644" w:hanging="360"/>
      </w:pPr>
      <w:rPr>
        <w:rFonts w:ascii="Wingdings 2" w:hAnsi="Wingdings 2" w:hint="default"/>
        <w:color w:val="215868" w:themeColor="accent5" w:themeShade="80"/>
        <w:sz w:val="16"/>
        <w:szCs w:val="16"/>
        <w:u w:color="D52B1E"/>
      </w:rPr>
    </w:lvl>
    <w:lvl w:ilvl="1">
      <w:start w:val="1"/>
      <w:numFmt w:val="bullet"/>
      <w:lvlText w:val="-"/>
      <w:lvlJc w:val="left"/>
      <w:pPr>
        <w:ind w:left="1134" w:hanging="425"/>
      </w:pPr>
      <w:rPr>
        <w:rFonts w:ascii="Times New Roman" w:hAnsi="Times New Roman" w:cs="Times New Roman" w:hint="default"/>
      </w:rPr>
    </w:lvl>
    <w:lvl w:ilvl="2">
      <w:start w:val="1"/>
      <w:numFmt w:val="bullet"/>
      <w:lvlText w:val=""/>
      <w:lvlJc w:val="left"/>
      <w:pPr>
        <w:ind w:left="1559" w:hanging="283"/>
      </w:pPr>
      <w:rPr>
        <w:rFonts w:ascii="Wingdings" w:hAnsi="Wingdings" w:hint="default"/>
      </w:rPr>
    </w:lvl>
    <w:lvl w:ilvl="3">
      <w:start w:val="1"/>
      <w:numFmt w:val="bullet"/>
      <w:lvlText w:val=""/>
      <w:lvlJc w:val="left"/>
      <w:pPr>
        <w:ind w:left="3232" w:hanging="360"/>
      </w:pPr>
      <w:rPr>
        <w:rFonts w:ascii="Symbol" w:hAnsi="Symbol" w:hint="default"/>
      </w:rPr>
    </w:lvl>
    <w:lvl w:ilvl="4">
      <w:start w:val="1"/>
      <w:numFmt w:val="bullet"/>
      <w:lvlText w:val="o"/>
      <w:lvlJc w:val="left"/>
      <w:pPr>
        <w:ind w:left="3952" w:hanging="360"/>
      </w:pPr>
      <w:rPr>
        <w:rFonts w:ascii="Courier New" w:hAnsi="Courier New" w:cs="Courier New" w:hint="default"/>
      </w:rPr>
    </w:lvl>
    <w:lvl w:ilvl="5">
      <w:start w:val="1"/>
      <w:numFmt w:val="bullet"/>
      <w:lvlText w:val=""/>
      <w:lvlJc w:val="left"/>
      <w:pPr>
        <w:ind w:left="4672" w:hanging="360"/>
      </w:pPr>
      <w:rPr>
        <w:rFonts w:ascii="Wingdings" w:hAnsi="Wingdings" w:hint="default"/>
      </w:rPr>
    </w:lvl>
    <w:lvl w:ilvl="6">
      <w:start w:val="1"/>
      <w:numFmt w:val="bullet"/>
      <w:lvlText w:val=""/>
      <w:lvlJc w:val="left"/>
      <w:pPr>
        <w:ind w:left="5392" w:hanging="360"/>
      </w:pPr>
      <w:rPr>
        <w:rFonts w:ascii="Symbol" w:hAnsi="Symbol" w:hint="default"/>
      </w:rPr>
    </w:lvl>
    <w:lvl w:ilvl="7">
      <w:start w:val="1"/>
      <w:numFmt w:val="bullet"/>
      <w:lvlText w:val="o"/>
      <w:lvlJc w:val="left"/>
      <w:pPr>
        <w:ind w:left="6112" w:hanging="360"/>
      </w:pPr>
      <w:rPr>
        <w:rFonts w:ascii="Courier New" w:hAnsi="Courier New" w:cs="Courier New" w:hint="default"/>
      </w:rPr>
    </w:lvl>
    <w:lvl w:ilvl="8">
      <w:start w:val="1"/>
      <w:numFmt w:val="bullet"/>
      <w:lvlText w:val=""/>
      <w:lvlJc w:val="left"/>
      <w:pPr>
        <w:ind w:left="6832" w:hanging="360"/>
      </w:pPr>
      <w:rPr>
        <w:rFonts w:ascii="Wingdings" w:hAnsi="Wingdings" w:hint="default"/>
      </w:rPr>
    </w:lvl>
  </w:abstractNum>
  <w:abstractNum w:abstractNumId="24" w15:restartNumberingAfterBreak="0">
    <w:nsid w:val="457E43F4"/>
    <w:multiLevelType w:val="hybridMultilevel"/>
    <w:tmpl w:val="73AE534E"/>
    <w:lvl w:ilvl="0" w:tplc="9716A94C">
      <w:start w:val="1"/>
      <w:numFmt w:val="decimal"/>
      <w:pStyle w:val="tabulka0"/>
      <w:lvlText w:val="Tabulka č. %1:"/>
      <w:lvlJc w:val="left"/>
      <w:pPr>
        <w:ind w:left="36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 w15:restartNumberingAfterBreak="0">
    <w:nsid w:val="4AE207DB"/>
    <w:multiLevelType w:val="multilevel"/>
    <w:tmpl w:val="1D1AC466"/>
    <w:lvl w:ilvl="0">
      <w:start w:val="1"/>
      <w:numFmt w:val="bullet"/>
      <w:lvlText w:val=""/>
      <w:lvlJc w:val="left"/>
      <w:pPr>
        <w:ind w:left="644" w:hanging="360"/>
      </w:pPr>
      <w:rPr>
        <w:rFonts w:ascii="Wingdings 2" w:hAnsi="Wingdings 2" w:hint="default"/>
        <w:color w:val="215868" w:themeColor="accent5" w:themeShade="80"/>
        <w:sz w:val="16"/>
        <w:szCs w:val="16"/>
        <w:u w:color="D52B1E"/>
      </w:rPr>
    </w:lvl>
    <w:lvl w:ilvl="1">
      <w:start w:val="1"/>
      <w:numFmt w:val="bullet"/>
      <w:lvlText w:val="-"/>
      <w:lvlJc w:val="left"/>
      <w:pPr>
        <w:ind w:left="1134" w:hanging="425"/>
      </w:pPr>
      <w:rPr>
        <w:rFonts w:ascii="Times New Roman" w:hAnsi="Times New Roman" w:cs="Times New Roman" w:hint="default"/>
      </w:rPr>
    </w:lvl>
    <w:lvl w:ilvl="2">
      <w:start w:val="1"/>
      <w:numFmt w:val="bullet"/>
      <w:lvlText w:val=""/>
      <w:lvlJc w:val="left"/>
      <w:pPr>
        <w:ind w:left="1559" w:hanging="283"/>
      </w:pPr>
      <w:rPr>
        <w:rFonts w:ascii="Wingdings" w:hAnsi="Wingdings" w:hint="default"/>
      </w:rPr>
    </w:lvl>
    <w:lvl w:ilvl="3">
      <w:start w:val="1"/>
      <w:numFmt w:val="bullet"/>
      <w:lvlText w:val=""/>
      <w:lvlJc w:val="left"/>
      <w:pPr>
        <w:ind w:left="3232" w:hanging="360"/>
      </w:pPr>
      <w:rPr>
        <w:rFonts w:ascii="Symbol" w:hAnsi="Symbol" w:hint="default"/>
      </w:rPr>
    </w:lvl>
    <w:lvl w:ilvl="4">
      <w:start w:val="1"/>
      <w:numFmt w:val="bullet"/>
      <w:lvlText w:val="o"/>
      <w:lvlJc w:val="left"/>
      <w:pPr>
        <w:ind w:left="3952" w:hanging="360"/>
      </w:pPr>
      <w:rPr>
        <w:rFonts w:ascii="Courier New" w:hAnsi="Courier New" w:cs="Courier New" w:hint="default"/>
      </w:rPr>
    </w:lvl>
    <w:lvl w:ilvl="5">
      <w:start w:val="1"/>
      <w:numFmt w:val="bullet"/>
      <w:lvlText w:val=""/>
      <w:lvlJc w:val="left"/>
      <w:pPr>
        <w:ind w:left="4672" w:hanging="360"/>
      </w:pPr>
      <w:rPr>
        <w:rFonts w:ascii="Wingdings" w:hAnsi="Wingdings" w:hint="default"/>
      </w:rPr>
    </w:lvl>
    <w:lvl w:ilvl="6">
      <w:start w:val="1"/>
      <w:numFmt w:val="bullet"/>
      <w:lvlText w:val=""/>
      <w:lvlJc w:val="left"/>
      <w:pPr>
        <w:ind w:left="5392" w:hanging="360"/>
      </w:pPr>
      <w:rPr>
        <w:rFonts w:ascii="Symbol" w:hAnsi="Symbol" w:hint="default"/>
      </w:rPr>
    </w:lvl>
    <w:lvl w:ilvl="7">
      <w:start w:val="1"/>
      <w:numFmt w:val="bullet"/>
      <w:lvlText w:val="o"/>
      <w:lvlJc w:val="left"/>
      <w:pPr>
        <w:ind w:left="6112" w:hanging="360"/>
      </w:pPr>
      <w:rPr>
        <w:rFonts w:ascii="Courier New" w:hAnsi="Courier New" w:cs="Courier New" w:hint="default"/>
      </w:rPr>
    </w:lvl>
    <w:lvl w:ilvl="8">
      <w:start w:val="1"/>
      <w:numFmt w:val="bullet"/>
      <w:lvlText w:val=""/>
      <w:lvlJc w:val="left"/>
      <w:pPr>
        <w:ind w:left="6832" w:hanging="360"/>
      </w:pPr>
      <w:rPr>
        <w:rFonts w:ascii="Wingdings" w:hAnsi="Wingdings" w:hint="default"/>
      </w:rPr>
    </w:lvl>
  </w:abstractNum>
  <w:abstractNum w:abstractNumId="26" w15:restartNumberingAfterBreak="0">
    <w:nsid w:val="4AF25C8A"/>
    <w:multiLevelType w:val="multilevel"/>
    <w:tmpl w:val="C4E4EE16"/>
    <w:lvl w:ilvl="0">
      <w:start w:val="3"/>
      <w:numFmt w:val="bullet"/>
      <w:pStyle w:val="Kaskda0"/>
      <w:lvlText w:val="●"/>
      <w:lvlJc w:val="left"/>
      <w:pPr>
        <w:ind w:left="644" w:hanging="360"/>
      </w:pPr>
      <w:rPr>
        <w:rFonts w:ascii="Calibri" w:hAnsi="Calibri" w:hint="default"/>
        <w:color w:val="2E3192"/>
        <w:sz w:val="16"/>
      </w:rPr>
    </w:lvl>
    <w:lvl w:ilvl="1">
      <w:start w:val="1"/>
      <w:numFmt w:val="bullet"/>
      <w:lvlText w:val="-"/>
      <w:lvlJc w:val="left"/>
      <w:pPr>
        <w:ind w:left="1134" w:hanging="425"/>
      </w:pPr>
      <w:rPr>
        <w:rFonts w:ascii="Times New Roman" w:hAnsi="Times New Roman" w:cs="Times New Roman" w:hint="default"/>
      </w:rPr>
    </w:lvl>
    <w:lvl w:ilvl="2">
      <w:start w:val="1"/>
      <w:numFmt w:val="bullet"/>
      <w:lvlText w:val=""/>
      <w:lvlJc w:val="left"/>
      <w:pPr>
        <w:ind w:left="1559" w:hanging="283"/>
      </w:pPr>
      <w:rPr>
        <w:rFonts w:ascii="Wingdings" w:hAnsi="Wingdings" w:hint="default"/>
      </w:rPr>
    </w:lvl>
    <w:lvl w:ilvl="3">
      <w:start w:val="1"/>
      <w:numFmt w:val="bullet"/>
      <w:lvlText w:val=""/>
      <w:lvlJc w:val="left"/>
      <w:pPr>
        <w:ind w:left="3232" w:hanging="360"/>
      </w:pPr>
      <w:rPr>
        <w:rFonts w:ascii="Symbol" w:hAnsi="Symbol" w:hint="default"/>
      </w:rPr>
    </w:lvl>
    <w:lvl w:ilvl="4">
      <w:start w:val="1"/>
      <w:numFmt w:val="bullet"/>
      <w:lvlText w:val="o"/>
      <w:lvlJc w:val="left"/>
      <w:pPr>
        <w:ind w:left="3952" w:hanging="360"/>
      </w:pPr>
      <w:rPr>
        <w:rFonts w:ascii="Courier New" w:hAnsi="Courier New" w:cs="Courier New" w:hint="default"/>
      </w:rPr>
    </w:lvl>
    <w:lvl w:ilvl="5">
      <w:start w:val="1"/>
      <w:numFmt w:val="bullet"/>
      <w:lvlText w:val=""/>
      <w:lvlJc w:val="left"/>
      <w:pPr>
        <w:ind w:left="4672" w:hanging="360"/>
      </w:pPr>
      <w:rPr>
        <w:rFonts w:ascii="Wingdings" w:hAnsi="Wingdings" w:hint="default"/>
      </w:rPr>
    </w:lvl>
    <w:lvl w:ilvl="6">
      <w:start w:val="1"/>
      <w:numFmt w:val="bullet"/>
      <w:lvlText w:val=""/>
      <w:lvlJc w:val="left"/>
      <w:pPr>
        <w:ind w:left="5392" w:hanging="360"/>
      </w:pPr>
      <w:rPr>
        <w:rFonts w:ascii="Symbol" w:hAnsi="Symbol" w:hint="default"/>
      </w:rPr>
    </w:lvl>
    <w:lvl w:ilvl="7">
      <w:start w:val="1"/>
      <w:numFmt w:val="bullet"/>
      <w:lvlText w:val="o"/>
      <w:lvlJc w:val="left"/>
      <w:pPr>
        <w:ind w:left="6112" w:hanging="360"/>
      </w:pPr>
      <w:rPr>
        <w:rFonts w:ascii="Courier New" w:hAnsi="Courier New" w:cs="Courier New" w:hint="default"/>
      </w:rPr>
    </w:lvl>
    <w:lvl w:ilvl="8">
      <w:start w:val="1"/>
      <w:numFmt w:val="bullet"/>
      <w:lvlText w:val=""/>
      <w:lvlJc w:val="left"/>
      <w:pPr>
        <w:ind w:left="6832" w:hanging="360"/>
      </w:pPr>
      <w:rPr>
        <w:rFonts w:ascii="Wingdings" w:hAnsi="Wingdings" w:hint="default"/>
      </w:rPr>
    </w:lvl>
  </w:abstractNum>
  <w:abstractNum w:abstractNumId="27" w15:restartNumberingAfterBreak="0">
    <w:nsid w:val="4CCB5274"/>
    <w:multiLevelType w:val="multilevel"/>
    <w:tmpl w:val="DB68E026"/>
    <w:lvl w:ilvl="0">
      <w:start w:val="1"/>
      <w:numFmt w:val="bullet"/>
      <w:lvlText w:val=""/>
      <w:lvlJc w:val="left"/>
      <w:pPr>
        <w:ind w:left="644" w:hanging="360"/>
      </w:pPr>
      <w:rPr>
        <w:rFonts w:ascii="Wingdings 2" w:hAnsi="Wingdings 2" w:hint="default"/>
        <w:color w:val="215868" w:themeColor="accent5" w:themeShade="80"/>
        <w:sz w:val="16"/>
        <w:szCs w:val="16"/>
        <w:u w:color="D52B1E"/>
      </w:rPr>
    </w:lvl>
    <w:lvl w:ilvl="1">
      <w:start w:val="1"/>
      <w:numFmt w:val="bullet"/>
      <w:lvlText w:val="-"/>
      <w:lvlJc w:val="left"/>
      <w:pPr>
        <w:ind w:left="1134" w:hanging="425"/>
      </w:pPr>
      <w:rPr>
        <w:rFonts w:ascii="Times New Roman" w:hAnsi="Times New Roman" w:cs="Times New Roman" w:hint="default"/>
      </w:rPr>
    </w:lvl>
    <w:lvl w:ilvl="2">
      <w:start w:val="1"/>
      <w:numFmt w:val="bullet"/>
      <w:lvlText w:val=""/>
      <w:lvlJc w:val="left"/>
      <w:pPr>
        <w:ind w:left="1559" w:hanging="283"/>
      </w:pPr>
      <w:rPr>
        <w:rFonts w:ascii="Wingdings" w:hAnsi="Wingdings" w:hint="default"/>
      </w:rPr>
    </w:lvl>
    <w:lvl w:ilvl="3">
      <w:start w:val="1"/>
      <w:numFmt w:val="bullet"/>
      <w:lvlText w:val=""/>
      <w:lvlJc w:val="left"/>
      <w:pPr>
        <w:ind w:left="3232" w:hanging="360"/>
      </w:pPr>
      <w:rPr>
        <w:rFonts w:ascii="Symbol" w:hAnsi="Symbol" w:hint="default"/>
      </w:rPr>
    </w:lvl>
    <w:lvl w:ilvl="4">
      <w:start w:val="1"/>
      <w:numFmt w:val="bullet"/>
      <w:lvlText w:val="o"/>
      <w:lvlJc w:val="left"/>
      <w:pPr>
        <w:ind w:left="3952" w:hanging="360"/>
      </w:pPr>
      <w:rPr>
        <w:rFonts w:ascii="Courier New" w:hAnsi="Courier New" w:cs="Courier New" w:hint="default"/>
      </w:rPr>
    </w:lvl>
    <w:lvl w:ilvl="5">
      <w:start w:val="1"/>
      <w:numFmt w:val="bullet"/>
      <w:lvlText w:val=""/>
      <w:lvlJc w:val="left"/>
      <w:pPr>
        <w:ind w:left="4672" w:hanging="360"/>
      </w:pPr>
      <w:rPr>
        <w:rFonts w:ascii="Wingdings" w:hAnsi="Wingdings" w:hint="default"/>
      </w:rPr>
    </w:lvl>
    <w:lvl w:ilvl="6">
      <w:start w:val="1"/>
      <w:numFmt w:val="bullet"/>
      <w:lvlText w:val=""/>
      <w:lvlJc w:val="left"/>
      <w:pPr>
        <w:ind w:left="5392" w:hanging="360"/>
      </w:pPr>
      <w:rPr>
        <w:rFonts w:ascii="Symbol" w:hAnsi="Symbol" w:hint="default"/>
      </w:rPr>
    </w:lvl>
    <w:lvl w:ilvl="7">
      <w:start w:val="1"/>
      <w:numFmt w:val="bullet"/>
      <w:lvlText w:val="o"/>
      <w:lvlJc w:val="left"/>
      <w:pPr>
        <w:ind w:left="6112" w:hanging="360"/>
      </w:pPr>
      <w:rPr>
        <w:rFonts w:ascii="Courier New" w:hAnsi="Courier New" w:cs="Courier New" w:hint="default"/>
      </w:rPr>
    </w:lvl>
    <w:lvl w:ilvl="8">
      <w:start w:val="1"/>
      <w:numFmt w:val="bullet"/>
      <w:lvlText w:val=""/>
      <w:lvlJc w:val="left"/>
      <w:pPr>
        <w:ind w:left="6832" w:hanging="360"/>
      </w:pPr>
      <w:rPr>
        <w:rFonts w:ascii="Wingdings" w:hAnsi="Wingdings" w:hint="default"/>
      </w:rPr>
    </w:lvl>
  </w:abstractNum>
  <w:abstractNum w:abstractNumId="28" w15:restartNumberingAfterBreak="0">
    <w:nsid w:val="4FCA4982"/>
    <w:multiLevelType w:val="hybridMultilevel"/>
    <w:tmpl w:val="F19EC372"/>
    <w:lvl w:ilvl="0" w:tplc="87DA3480">
      <w:start w:val="1"/>
      <w:numFmt w:val="decimal"/>
      <w:pStyle w:val="Odstavecsslem"/>
      <w:lvlText w:val="%1)"/>
      <w:lvlJc w:val="left"/>
      <w:pPr>
        <w:ind w:left="1068" w:hanging="708"/>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9" w15:restartNumberingAfterBreak="0">
    <w:nsid w:val="515C69FD"/>
    <w:multiLevelType w:val="hybridMultilevel"/>
    <w:tmpl w:val="FB7C5D8A"/>
    <w:lvl w:ilvl="0" w:tplc="FE324CCE">
      <w:start w:val="2016"/>
      <w:numFmt w:val="bullet"/>
      <w:lvlText w:val="-"/>
      <w:lvlJc w:val="left"/>
      <w:pPr>
        <w:ind w:left="720" w:hanging="360"/>
      </w:pPr>
      <w:rPr>
        <w:rFonts w:ascii="Calibri" w:eastAsiaTheme="minorEastAsia"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 w15:restartNumberingAfterBreak="0">
    <w:nsid w:val="51770CBB"/>
    <w:multiLevelType w:val="multilevel"/>
    <w:tmpl w:val="01CEB6B4"/>
    <w:lvl w:ilvl="0">
      <w:start w:val="1"/>
      <w:numFmt w:val="bullet"/>
      <w:lvlText w:val=""/>
      <w:lvlJc w:val="left"/>
      <w:pPr>
        <w:ind w:left="644" w:hanging="360"/>
      </w:pPr>
      <w:rPr>
        <w:rFonts w:ascii="Wingdings 2" w:hAnsi="Wingdings 2" w:hint="default"/>
        <w:color w:val="C2DEEA"/>
        <w:sz w:val="16"/>
        <w:szCs w:val="16"/>
        <w:u w:color="D52B1E"/>
      </w:rPr>
    </w:lvl>
    <w:lvl w:ilvl="1">
      <w:start w:val="1"/>
      <w:numFmt w:val="bullet"/>
      <w:lvlText w:val="-"/>
      <w:lvlJc w:val="left"/>
      <w:pPr>
        <w:ind w:left="1134" w:hanging="425"/>
      </w:pPr>
      <w:rPr>
        <w:rFonts w:ascii="Times New Roman" w:hAnsi="Times New Roman" w:cs="Times New Roman" w:hint="default"/>
      </w:rPr>
    </w:lvl>
    <w:lvl w:ilvl="2">
      <w:start w:val="1"/>
      <w:numFmt w:val="bullet"/>
      <w:lvlText w:val=""/>
      <w:lvlJc w:val="left"/>
      <w:pPr>
        <w:ind w:left="1559" w:hanging="283"/>
      </w:pPr>
      <w:rPr>
        <w:rFonts w:ascii="Wingdings" w:hAnsi="Wingdings" w:hint="default"/>
      </w:rPr>
    </w:lvl>
    <w:lvl w:ilvl="3">
      <w:start w:val="1"/>
      <w:numFmt w:val="bullet"/>
      <w:lvlText w:val=""/>
      <w:lvlJc w:val="left"/>
      <w:pPr>
        <w:ind w:left="3232" w:hanging="360"/>
      </w:pPr>
      <w:rPr>
        <w:rFonts w:ascii="Symbol" w:hAnsi="Symbol" w:hint="default"/>
      </w:rPr>
    </w:lvl>
    <w:lvl w:ilvl="4">
      <w:start w:val="1"/>
      <w:numFmt w:val="bullet"/>
      <w:lvlText w:val="o"/>
      <w:lvlJc w:val="left"/>
      <w:pPr>
        <w:ind w:left="3952" w:hanging="360"/>
      </w:pPr>
      <w:rPr>
        <w:rFonts w:ascii="Courier New" w:hAnsi="Courier New" w:cs="Courier New" w:hint="default"/>
      </w:rPr>
    </w:lvl>
    <w:lvl w:ilvl="5">
      <w:start w:val="1"/>
      <w:numFmt w:val="bullet"/>
      <w:lvlText w:val=""/>
      <w:lvlJc w:val="left"/>
      <w:pPr>
        <w:ind w:left="4672" w:hanging="360"/>
      </w:pPr>
      <w:rPr>
        <w:rFonts w:ascii="Wingdings" w:hAnsi="Wingdings" w:hint="default"/>
      </w:rPr>
    </w:lvl>
    <w:lvl w:ilvl="6">
      <w:start w:val="1"/>
      <w:numFmt w:val="bullet"/>
      <w:lvlText w:val=""/>
      <w:lvlJc w:val="left"/>
      <w:pPr>
        <w:ind w:left="5392" w:hanging="360"/>
      </w:pPr>
      <w:rPr>
        <w:rFonts w:ascii="Symbol" w:hAnsi="Symbol" w:hint="default"/>
      </w:rPr>
    </w:lvl>
    <w:lvl w:ilvl="7">
      <w:start w:val="1"/>
      <w:numFmt w:val="bullet"/>
      <w:lvlText w:val="o"/>
      <w:lvlJc w:val="left"/>
      <w:pPr>
        <w:ind w:left="6112" w:hanging="360"/>
      </w:pPr>
      <w:rPr>
        <w:rFonts w:ascii="Courier New" w:hAnsi="Courier New" w:cs="Courier New" w:hint="default"/>
      </w:rPr>
    </w:lvl>
    <w:lvl w:ilvl="8">
      <w:start w:val="1"/>
      <w:numFmt w:val="bullet"/>
      <w:lvlText w:val=""/>
      <w:lvlJc w:val="left"/>
      <w:pPr>
        <w:ind w:left="6832" w:hanging="360"/>
      </w:pPr>
      <w:rPr>
        <w:rFonts w:ascii="Wingdings" w:hAnsi="Wingdings" w:hint="default"/>
      </w:rPr>
    </w:lvl>
  </w:abstractNum>
  <w:abstractNum w:abstractNumId="31" w15:restartNumberingAfterBreak="0">
    <w:nsid w:val="5CDE7197"/>
    <w:multiLevelType w:val="multilevel"/>
    <w:tmpl w:val="EF02B3AC"/>
    <w:lvl w:ilvl="0">
      <w:start w:val="1"/>
      <w:numFmt w:val="decimal"/>
      <w:pStyle w:val="Graf0"/>
      <w:lvlText w:val="Graf č. %1:"/>
      <w:lvlJc w:val="left"/>
      <w:pPr>
        <w:tabs>
          <w:tab w:val="num" w:pos="1276"/>
        </w:tabs>
        <w:ind w:left="0" w:firstLine="0"/>
      </w:pPr>
      <w:rPr>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2" w15:restartNumberingAfterBreak="0">
    <w:nsid w:val="6BB837F1"/>
    <w:multiLevelType w:val="multilevel"/>
    <w:tmpl w:val="B192A514"/>
    <w:lvl w:ilvl="0">
      <w:start w:val="1"/>
      <w:numFmt w:val="bullet"/>
      <w:lvlText w:val=""/>
      <w:lvlJc w:val="left"/>
      <w:pPr>
        <w:ind w:left="644" w:hanging="360"/>
      </w:pPr>
      <w:rPr>
        <w:rFonts w:ascii="Wingdings 2" w:hAnsi="Wingdings 2" w:hint="default"/>
        <w:color w:val="215868" w:themeColor="accent5" w:themeShade="80"/>
        <w:sz w:val="16"/>
        <w:szCs w:val="16"/>
        <w:u w:color="D52B1E"/>
      </w:rPr>
    </w:lvl>
    <w:lvl w:ilvl="1">
      <w:start w:val="1"/>
      <w:numFmt w:val="bullet"/>
      <w:lvlText w:val="-"/>
      <w:lvlJc w:val="left"/>
      <w:pPr>
        <w:ind w:left="1134" w:hanging="425"/>
      </w:pPr>
      <w:rPr>
        <w:rFonts w:ascii="Times New Roman" w:hAnsi="Times New Roman" w:cs="Times New Roman" w:hint="default"/>
      </w:rPr>
    </w:lvl>
    <w:lvl w:ilvl="2">
      <w:start w:val="1"/>
      <w:numFmt w:val="bullet"/>
      <w:lvlText w:val=""/>
      <w:lvlJc w:val="left"/>
      <w:pPr>
        <w:ind w:left="1559" w:hanging="283"/>
      </w:pPr>
      <w:rPr>
        <w:rFonts w:ascii="Wingdings" w:hAnsi="Wingdings" w:hint="default"/>
      </w:rPr>
    </w:lvl>
    <w:lvl w:ilvl="3">
      <w:start w:val="1"/>
      <w:numFmt w:val="bullet"/>
      <w:lvlText w:val=""/>
      <w:lvlJc w:val="left"/>
      <w:pPr>
        <w:ind w:left="3232" w:hanging="360"/>
      </w:pPr>
      <w:rPr>
        <w:rFonts w:ascii="Symbol" w:hAnsi="Symbol" w:hint="default"/>
      </w:rPr>
    </w:lvl>
    <w:lvl w:ilvl="4">
      <w:start w:val="1"/>
      <w:numFmt w:val="bullet"/>
      <w:lvlText w:val="o"/>
      <w:lvlJc w:val="left"/>
      <w:pPr>
        <w:ind w:left="3952" w:hanging="360"/>
      </w:pPr>
      <w:rPr>
        <w:rFonts w:ascii="Courier New" w:hAnsi="Courier New" w:cs="Courier New" w:hint="default"/>
      </w:rPr>
    </w:lvl>
    <w:lvl w:ilvl="5">
      <w:start w:val="1"/>
      <w:numFmt w:val="bullet"/>
      <w:lvlText w:val=""/>
      <w:lvlJc w:val="left"/>
      <w:pPr>
        <w:ind w:left="4672" w:hanging="360"/>
      </w:pPr>
      <w:rPr>
        <w:rFonts w:ascii="Wingdings" w:hAnsi="Wingdings" w:hint="default"/>
      </w:rPr>
    </w:lvl>
    <w:lvl w:ilvl="6">
      <w:start w:val="1"/>
      <w:numFmt w:val="bullet"/>
      <w:lvlText w:val=""/>
      <w:lvlJc w:val="left"/>
      <w:pPr>
        <w:ind w:left="5392" w:hanging="360"/>
      </w:pPr>
      <w:rPr>
        <w:rFonts w:ascii="Symbol" w:hAnsi="Symbol" w:hint="default"/>
      </w:rPr>
    </w:lvl>
    <w:lvl w:ilvl="7">
      <w:start w:val="1"/>
      <w:numFmt w:val="bullet"/>
      <w:lvlText w:val="o"/>
      <w:lvlJc w:val="left"/>
      <w:pPr>
        <w:ind w:left="6112" w:hanging="360"/>
      </w:pPr>
      <w:rPr>
        <w:rFonts w:ascii="Courier New" w:hAnsi="Courier New" w:cs="Courier New" w:hint="default"/>
      </w:rPr>
    </w:lvl>
    <w:lvl w:ilvl="8">
      <w:start w:val="1"/>
      <w:numFmt w:val="bullet"/>
      <w:lvlText w:val=""/>
      <w:lvlJc w:val="left"/>
      <w:pPr>
        <w:ind w:left="6832" w:hanging="360"/>
      </w:pPr>
      <w:rPr>
        <w:rFonts w:ascii="Wingdings" w:hAnsi="Wingdings" w:hint="default"/>
      </w:rPr>
    </w:lvl>
  </w:abstractNum>
  <w:abstractNum w:abstractNumId="33" w15:restartNumberingAfterBreak="0">
    <w:nsid w:val="71B04295"/>
    <w:multiLevelType w:val="hybridMultilevel"/>
    <w:tmpl w:val="3DDECB40"/>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4" w15:restartNumberingAfterBreak="0">
    <w:nsid w:val="76672387"/>
    <w:multiLevelType w:val="multilevel"/>
    <w:tmpl w:val="45BA5B3C"/>
    <w:lvl w:ilvl="0">
      <w:start w:val="1"/>
      <w:numFmt w:val="bullet"/>
      <w:lvlText w:val=""/>
      <w:lvlJc w:val="left"/>
      <w:pPr>
        <w:ind w:left="644" w:hanging="360"/>
      </w:pPr>
      <w:rPr>
        <w:rFonts w:ascii="Wingdings 2" w:hAnsi="Wingdings 2" w:hint="default"/>
        <w:color w:val="215868" w:themeColor="accent5" w:themeShade="80"/>
        <w:sz w:val="16"/>
        <w:szCs w:val="16"/>
        <w:u w:color="D52B1E"/>
      </w:rPr>
    </w:lvl>
    <w:lvl w:ilvl="1">
      <w:start w:val="1"/>
      <w:numFmt w:val="bullet"/>
      <w:lvlText w:val="-"/>
      <w:lvlJc w:val="left"/>
      <w:pPr>
        <w:ind w:left="1134" w:hanging="425"/>
      </w:pPr>
      <w:rPr>
        <w:rFonts w:ascii="Times New Roman" w:hAnsi="Times New Roman" w:cs="Times New Roman" w:hint="default"/>
      </w:rPr>
    </w:lvl>
    <w:lvl w:ilvl="2">
      <w:start w:val="1"/>
      <w:numFmt w:val="bullet"/>
      <w:lvlText w:val=""/>
      <w:lvlJc w:val="left"/>
      <w:pPr>
        <w:ind w:left="1559" w:hanging="283"/>
      </w:pPr>
      <w:rPr>
        <w:rFonts w:ascii="Wingdings" w:hAnsi="Wingdings" w:hint="default"/>
      </w:rPr>
    </w:lvl>
    <w:lvl w:ilvl="3">
      <w:start w:val="1"/>
      <w:numFmt w:val="bullet"/>
      <w:lvlText w:val=""/>
      <w:lvlJc w:val="left"/>
      <w:pPr>
        <w:ind w:left="3232" w:hanging="360"/>
      </w:pPr>
      <w:rPr>
        <w:rFonts w:ascii="Symbol" w:hAnsi="Symbol" w:hint="default"/>
      </w:rPr>
    </w:lvl>
    <w:lvl w:ilvl="4">
      <w:start w:val="1"/>
      <w:numFmt w:val="bullet"/>
      <w:lvlText w:val="o"/>
      <w:lvlJc w:val="left"/>
      <w:pPr>
        <w:ind w:left="3952" w:hanging="360"/>
      </w:pPr>
      <w:rPr>
        <w:rFonts w:ascii="Courier New" w:hAnsi="Courier New" w:cs="Courier New" w:hint="default"/>
      </w:rPr>
    </w:lvl>
    <w:lvl w:ilvl="5">
      <w:start w:val="1"/>
      <w:numFmt w:val="bullet"/>
      <w:lvlText w:val=""/>
      <w:lvlJc w:val="left"/>
      <w:pPr>
        <w:ind w:left="4672" w:hanging="360"/>
      </w:pPr>
      <w:rPr>
        <w:rFonts w:ascii="Wingdings" w:hAnsi="Wingdings" w:hint="default"/>
      </w:rPr>
    </w:lvl>
    <w:lvl w:ilvl="6">
      <w:start w:val="1"/>
      <w:numFmt w:val="bullet"/>
      <w:lvlText w:val=""/>
      <w:lvlJc w:val="left"/>
      <w:pPr>
        <w:ind w:left="5392" w:hanging="360"/>
      </w:pPr>
      <w:rPr>
        <w:rFonts w:ascii="Symbol" w:hAnsi="Symbol" w:hint="default"/>
      </w:rPr>
    </w:lvl>
    <w:lvl w:ilvl="7">
      <w:start w:val="1"/>
      <w:numFmt w:val="bullet"/>
      <w:lvlText w:val="o"/>
      <w:lvlJc w:val="left"/>
      <w:pPr>
        <w:ind w:left="6112" w:hanging="360"/>
      </w:pPr>
      <w:rPr>
        <w:rFonts w:ascii="Courier New" w:hAnsi="Courier New" w:cs="Courier New" w:hint="default"/>
      </w:rPr>
    </w:lvl>
    <w:lvl w:ilvl="8">
      <w:start w:val="1"/>
      <w:numFmt w:val="bullet"/>
      <w:lvlText w:val=""/>
      <w:lvlJc w:val="left"/>
      <w:pPr>
        <w:ind w:left="6832" w:hanging="360"/>
      </w:pPr>
      <w:rPr>
        <w:rFonts w:ascii="Wingdings" w:hAnsi="Wingdings" w:hint="default"/>
      </w:rPr>
    </w:lvl>
  </w:abstractNum>
  <w:abstractNum w:abstractNumId="35" w15:restartNumberingAfterBreak="0">
    <w:nsid w:val="790A4F38"/>
    <w:multiLevelType w:val="multilevel"/>
    <w:tmpl w:val="0405001D"/>
    <w:styleLink w:val="Seznamgraf"/>
    <w:lvl w:ilvl="0">
      <w:start w:val="1"/>
      <w:numFmt w:val="decimal"/>
      <w:lvlText w:val="%1"/>
      <w:lvlJc w:val="left"/>
      <w:pPr>
        <w:ind w:left="360" w:hanging="360"/>
      </w:pPr>
      <w:rPr>
        <w:rFonts w:ascii="Times New Roman" w:hAnsi="Times New Roman" w:hint="default"/>
        <w:color w:val="auto"/>
        <w:sz w:val="21"/>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6" w15:restartNumberingAfterBreak="0">
    <w:nsid w:val="7AC35449"/>
    <w:multiLevelType w:val="multilevel"/>
    <w:tmpl w:val="53601DDC"/>
    <w:lvl w:ilvl="0">
      <w:start w:val="4"/>
      <w:numFmt w:val="bullet"/>
      <w:lvlText w:val=""/>
      <w:lvlJc w:val="left"/>
      <w:pPr>
        <w:ind w:left="425" w:hanging="141"/>
      </w:pPr>
      <w:rPr>
        <w:rFonts w:ascii="Wingdings 2" w:hAnsi="Wingdings 2" w:hint="default"/>
        <w:color w:val="2E3192"/>
        <w:sz w:val="16"/>
      </w:rPr>
    </w:lvl>
    <w:lvl w:ilvl="1">
      <w:start w:val="1"/>
      <w:numFmt w:val="bullet"/>
      <w:lvlText w:val="-"/>
      <w:lvlJc w:val="left"/>
      <w:pPr>
        <w:ind w:left="1134" w:hanging="425"/>
      </w:pPr>
      <w:rPr>
        <w:rFonts w:ascii="Times New Roman" w:hAnsi="Times New Roman" w:cs="Times New Roman" w:hint="default"/>
      </w:rPr>
    </w:lvl>
    <w:lvl w:ilvl="2">
      <w:start w:val="1"/>
      <w:numFmt w:val="bullet"/>
      <w:lvlText w:val=""/>
      <w:lvlJc w:val="left"/>
      <w:pPr>
        <w:ind w:left="1559" w:hanging="283"/>
      </w:pPr>
      <w:rPr>
        <w:rFonts w:ascii="Wingdings" w:hAnsi="Wingdings" w:hint="default"/>
      </w:rPr>
    </w:lvl>
    <w:lvl w:ilvl="3">
      <w:start w:val="1"/>
      <w:numFmt w:val="bullet"/>
      <w:lvlText w:val=""/>
      <w:lvlJc w:val="left"/>
      <w:pPr>
        <w:ind w:left="3232" w:hanging="360"/>
      </w:pPr>
      <w:rPr>
        <w:rFonts w:ascii="Symbol" w:hAnsi="Symbol" w:hint="default"/>
      </w:rPr>
    </w:lvl>
    <w:lvl w:ilvl="4">
      <w:start w:val="1"/>
      <w:numFmt w:val="bullet"/>
      <w:lvlText w:val="o"/>
      <w:lvlJc w:val="left"/>
      <w:pPr>
        <w:ind w:left="3952" w:hanging="360"/>
      </w:pPr>
      <w:rPr>
        <w:rFonts w:ascii="Courier New" w:hAnsi="Courier New" w:cs="Courier New" w:hint="default"/>
      </w:rPr>
    </w:lvl>
    <w:lvl w:ilvl="5">
      <w:start w:val="1"/>
      <w:numFmt w:val="bullet"/>
      <w:lvlText w:val=""/>
      <w:lvlJc w:val="left"/>
      <w:pPr>
        <w:ind w:left="4672" w:hanging="360"/>
      </w:pPr>
      <w:rPr>
        <w:rFonts w:ascii="Wingdings" w:hAnsi="Wingdings" w:hint="default"/>
      </w:rPr>
    </w:lvl>
    <w:lvl w:ilvl="6">
      <w:start w:val="1"/>
      <w:numFmt w:val="bullet"/>
      <w:lvlText w:val=""/>
      <w:lvlJc w:val="left"/>
      <w:pPr>
        <w:ind w:left="5392" w:hanging="360"/>
      </w:pPr>
      <w:rPr>
        <w:rFonts w:ascii="Symbol" w:hAnsi="Symbol" w:hint="default"/>
      </w:rPr>
    </w:lvl>
    <w:lvl w:ilvl="7">
      <w:start w:val="1"/>
      <w:numFmt w:val="bullet"/>
      <w:lvlText w:val="o"/>
      <w:lvlJc w:val="left"/>
      <w:pPr>
        <w:ind w:left="6112" w:hanging="360"/>
      </w:pPr>
      <w:rPr>
        <w:rFonts w:ascii="Courier New" w:hAnsi="Courier New" w:cs="Courier New" w:hint="default"/>
      </w:rPr>
    </w:lvl>
    <w:lvl w:ilvl="8">
      <w:start w:val="1"/>
      <w:numFmt w:val="bullet"/>
      <w:lvlText w:val=""/>
      <w:lvlJc w:val="left"/>
      <w:pPr>
        <w:ind w:left="6832" w:hanging="360"/>
      </w:pPr>
      <w:rPr>
        <w:rFonts w:ascii="Wingdings" w:hAnsi="Wingdings" w:hint="default"/>
      </w:rPr>
    </w:lvl>
  </w:abstractNum>
  <w:abstractNum w:abstractNumId="37" w15:restartNumberingAfterBreak="0">
    <w:nsid w:val="7D7C5336"/>
    <w:multiLevelType w:val="hybridMultilevel"/>
    <w:tmpl w:val="F07096D4"/>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35"/>
  </w:num>
  <w:num w:numId="2">
    <w:abstractNumId w:val="2"/>
  </w:num>
  <w:num w:numId="3">
    <w:abstractNumId w:val="28"/>
  </w:num>
  <w:num w:numId="4">
    <w:abstractNumId w:val="3"/>
  </w:num>
  <w:num w:numId="5">
    <w:abstractNumId w:val="20"/>
  </w:num>
  <w:num w:numId="6">
    <w:abstractNumId w:val="31"/>
  </w:num>
  <w:num w:numId="7">
    <w:abstractNumId w:val="5"/>
  </w:num>
  <w:num w:numId="8">
    <w:abstractNumId w:val="11"/>
  </w:num>
  <w:num w:numId="9">
    <w:abstractNumId w:val="13"/>
  </w:num>
  <w:num w:numId="10">
    <w:abstractNumId w:val="1"/>
  </w:num>
  <w:num w:numId="11">
    <w:abstractNumId w:val="16"/>
  </w:num>
  <w:num w:numId="12">
    <w:abstractNumId w:val="36"/>
  </w:num>
  <w:num w:numId="13">
    <w:abstractNumId w:val="15"/>
  </w:num>
  <w:num w:numId="14">
    <w:abstractNumId w:val="18"/>
  </w:num>
  <w:num w:numId="15">
    <w:abstractNumId w:val="0"/>
  </w:num>
  <w:num w:numId="16">
    <w:abstractNumId w:val="8"/>
  </w:num>
  <w:num w:numId="17">
    <w:abstractNumId w:val="17"/>
  </w:num>
  <w:num w:numId="18">
    <w:abstractNumId w:val="24"/>
  </w:num>
  <w:num w:numId="19">
    <w:abstractNumId w:val="4"/>
  </w:num>
  <w:num w:numId="20">
    <w:abstractNumId w:val="33"/>
  </w:num>
  <w:num w:numId="21">
    <w:abstractNumId w:val="37"/>
  </w:num>
  <w:num w:numId="22">
    <w:abstractNumId w:val="9"/>
  </w:num>
  <w:num w:numId="2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6"/>
  </w:num>
  <w:num w:numId="25">
    <w:abstractNumId w:val="31"/>
  </w:num>
  <w:num w:numId="26">
    <w:abstractNumId w:val="7"/>
  </w:num>
  <w:num w:numId="27">
    <w:abstractNumId w:val="29"/>
  </w:num>
  <w:num w:numId="28">
    <w:abstractNumId w:val="3"/>
  </w:num>
  <w:num w:numId="29">
    <w:abstractNumId w:val="13"/>
  </w:num>
  <w:num w:numId="30">
    <w:abstractNumId w:val="13"/>
  </w:num>
  <w:num w:numId="31">
    <w:abstractNumId w:val="30"/>
  </w:num>
  <w:num w:numId="32">
    <w:abstractNumId w:val="23"/>
  </w:num>
  <w:num w:numId="33">
    <w:abstractNumId w:val="10"/>
  </w:num>
  <w:num w:numId="34">
    <w:abstractNumId w:val="27"/>
  </w:num>
  <w:num w:numId="35">
    <w:abstractNumId w:val="12"/>
  </w:num>
  <w:num w:numId="36">
    <w:abstractNumId w:val="25"/>
  </w:num>
  <w:num w:numId="37">
    <w:abstractNumId w:val="21"/>
  </w:num>
  <w:num w:numId="38">
    <w:abstractNumId w:val="19"/>
  </w:num>
  <w:num w:numId="39">
    <w:abstractNumId w:val="22"/>
  </w:num>
  <w:num w:numId="40">
    <w:abstractNumId w:val="14"/>
  </w:num>
  <w:num w:numId="41">
    <w:abstractNumId w:val="32"/>
  </w:num>
  <w:num w:numId="42">
    <w:abstractNumId w:val="6"/>
  </w:num>
  <w:num w:numId="43">
    <w:abstractNumId w:val="34"/>
  </w:num>
  <w:num w:numId="44">
    <w:abstractNumId w:val="26"/>
  </w:num>
  <w:num w:numId="45">
    <w:abstractNumId w:val="6"/>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09"/>
  <w:autoHyphenation/>
  <w:consecutiveHyphenLimit w:val="1"/>
  <w:hyphenationZone w:val="425"/>
  <w:doNotHyphenateCaps/>
  <w:drawingGridHorizontalSpacing w:val="105"/>
  <w:displayHorizontalDrawingGridEvery w:val="2"/>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6ED9"/>
    <w:rsid w:val="00000272"/>
    <w:rsid w:val="000002D3"/>
    <w:rsid w:val="000012A2"/>
    <w:rsid w:val="00001561"/>
    <w:rsid w:val="00001604"/>
    <w:rsid w:val="000028F1"/>
    <w:rsid w:val="00002DBA"/>
    <w:rsid w:val="0000386C"/>
    <w:rsid w:val="000038DF"/>
    <w:rsid w:val="00003DDD"/>
    <w:rsid w:val="00005B42"/>
    <w:rsid w:val="00005E0E"/>
    <w:rsid w:val="00006CB0"/>
    <w:rsid w:val="000073A5"/>
    <w:rsid w:val="000075AB"/>
    <w:rsid w:val="000111C0"/>
    <w:rsid w:val="0001130E"/>
    <w:rsid w:val="0001162A"/>
    <w:rsid w:val="000118CB"/>
    <w:rsid w:val="0001255E"/>
    <w:rsid w:val="00012C98"/>
    <w:rsid w:val="00013013"/>
    <w:rsid w:val="00013718"/>
    <w:rsid w:val="0001574D"/>
    <w:rsid w:val="00015996"/>
    <w:rsid w:val="00015C40"/>
    <w:rsid w:val="00016CA8"/>
    <w:rsid w:val="00021B7D"/>
    <w:rsid w:val="0002221A"/>
    <w:rsid w:val="000224A2"/>
    <w:rsid w:val="000227BB"/>
    <w:rsid w:val="00022BAA"/>
    <w:rsid w:val="00024D96"/>
    <w:rsid w:val="00024E3A"/>
    <w:rsid w:val="00025E13"/>
    <w:rsid w:val="00026AA5"/>
    <w:rsid w:val="00026ACB"/>
    <w:rsid w:val="00026F08"/>
    <w:rsid w:val="0002783F"/>
    <w:rsid w:val="00031044"/>
    <w:rsid w:val="00032188"/>
    <w:rsid w:val="000331B5"/>
    <w:rsid w:val="000335FE"/>
    <w:rsid w:val="00035BBC"/>
    <w:rsid w:val="0003715B"/>
    <w:rsid w:val="00037A8B"/>
    <w:rsid w:val="00041293"/>
    <w:rsid w:val="00041E26"/>
    <w:rsid w:val="000425E5"/>
    <w:rsid w:val="00043012"/>
    <w:rsid w:val="00043514"/>
    <w:rsid w:val="00044528"/>
    <w:rsid w:val="0004473A"/>
    <w:rsid w:val="000450D7"/>
    <w:rsid w:val="00046613"/>
    <w:rsid w:val="00047168"/>
    <w:rsid w:val="000473E8"/>
    <w:rsid w:val="00050444"/>
    <w:rsid w:val="00050FED"/>
    <w:rsid w:val="00051774"/>
    <w:rsid w:val="00051967"/>
    <w:rsid w:val="00051990"/>
    <w:rsid w:val="000522EB"/>
    <w:rsid w:val="00054500"/>
    <w:rsid w:val="00054C2C"/>
    <w:rsid w:val="00055B0F"/>
    <w:rsid w:val="00056212"/>
    <w:rsid w:val="0005697C"/>
    <w:rsid w:val="00056B7F"/>
    <w:rsid w:val="00057E3C"/>
    <w:rsid w:val="00060069"/>
    <w:rsid w:val="00061212"/>
    <w:rsid w:val="00061473"/>
    <w:rsid w:val="00062888"/>
    <w:rsid w:val="00062E35"/>
    <w:rsid w:val="00063436"/>
    <w:rsid w:val="00063947"/>
    <w:rsid w:val="000639B2"/>
    <w:rsid w:val="00063FD3"/>
    <w:rsid w:val="00064180"/>
    <w:rsid w:val="00064384"/>
    <w:rsid w:val="00064628"/>
    <w:rsid w:val="00065555"/>
    <w:rsid w:val="00065818"/>
    <w:rsid w:val="00066709"/>
    <w:rsid w:val="000668DD"/>
    <w:rsid w:val="00070FBA"/>
    <w:rsid w:val="000714A9"/>
    <w:rsid w:val="0007279F"/>
    <w:rsid w:val="0007308F"/>
    <w:rsid w:val="00073125"/>
    <w:rsid w:val="00074B2B"/>
    <w:rsid w:val="000750DA"/>
    <w:rsid w:val="00076038"/>
    <w:rsid w:val="0007761A"/>
    <w:rsid w:val="00077914"/>
    <w:rsid w:val="00080051"/>
    <w:rsid w:val="000800F7"/>
    <w:rsid w:val="00080619"/>
    <w:rsid w:val="00080F1B"/>
    <w:rsid w:val="00081AFD"/>
    <w:rsid w:val="00082042"/>
    <w:rsid w:val="00082663"/>
    <w:rsid w:val="000827CC"/>
    <w:rsid w:val="000852C9"/>
    <w:rsid w:val="00085ADC"/>
    <w:rsid w:val="00086EAD"/>
    <w:rsid w:val="00090856"/>
    <w:rsid w:val="00090BC8"/>
    <w:rsid w:val="0009184F"/>
    <w:rsid w:val="000918D4"/>
    <w:rsid w:val="00092667"/>
    <w:rsid w:val="00092BA1"/>
    <w:rsid w:val="00092CFB"/>
    <w:rsid w:val="00093100"/>
    <w:rsid w:val="000934E1"/>
    <w:rsid w:val="00093A62"/>
    <w:rsid w:val="00094636"/>
    <w:rsid w:val="00094DA4"/>
    <w:rsid w:val="00095C36"/>
    <w:rsid w:val="0009605A"/>
    <w:rsid w:val="00096060"/>
    <w:rsid w:val="00097198"/>
    <w:rsid w:val="00097328"/>
    <w:rsid w:val="000A0D3C"/>
    <w:rsid w:val="000A0E39"/>
    <w:rsid w:val="000A10C2"/>
    <w:rsid w:val="000A1500"/>
    <w:rsid w:val="000A1ABF"/>
    <w:rsid w:val="000A200F"/>
    <w:rsid w:val="000A332B"/>
    <w:rsid w:val="000A36A7"/>
    <w:rsid w:val="000A374A"/>
    <w:rsid w:val="000A4B0F"/>
    <w:rsid w:val="000A688E"/>
    <w:rsid w:val="000B02A7"/>
    <w:rsid w:val="000B0F23"/>
    <w:rsid w:val="000B12D2"/>
    <w:rsid w:val="000B22C7"/>
    <w:rsid w:val="000B30AC"/>
    <w:rsid w:val="000B3466"/>
    <w:rsid w:val="000B3B94"/>
    <w:rsid w:val="000B451B"/>
    <w:rsid w:val="000B743E"/>
    <w:rsid w:val="000B7C6B"/>
    <w:rsid w:val="000C00E9"/>
    <w:rsid w:val="000C068A"/>
    <w:rsid w:val="000C06A2"/>
    <w:rsid w:val="000C0BF4"/>
    <w:rsid w:val="000C1378"/>
    <w:rsid w:val="000C13D6"/>
    <w:rsid w:val="000C179E"/>
    <w:rsid w:val="000C1C78"/>
    <w:rsid w:val="000C3D3C"/>
    <w:rsid w:val="000C3DB2"/>
    <w:rsid w:val="000C43FB"/>
    <w:rsid w:val="000C462D"/>
    <w:rsid w:val="000C483E"/>
    <w:rsid w:val="000C48AF"/>
    <w:rsid w:val="000C4B8F"/>
    <w:rsid w:val="000C5278"/>
    <w:rsid w:val="000C554C"/>
    <w:rsid w:val="000C5A6D"/>
    <w:rsid w:val="000C64D9"/>
    <w:rsid w:val="000C6DE7"/>
    <w:rsid w:val="000D195F"/>
    <w:rsid w:val="000D25DC"/>
    <w:rsid w:val="000D2B8A"/>
    <w:rsid w:val="000D2D11"/>
    <w:rsid w:val="000D2F0C"/>
    <w:rsid w:val="000D3215"/>
    <w:rsid w:val="000D3BE0"/>
    <w:rsid w:val="000D3D76"/>
    <w:rsid w:val="000D3F8C"/>
    <w:rsid w:val="000D5C99"/>
    <w:rsid w:val="000D5DE5"/>
    <w:rsid w:val="000D6BDA"/>
    <w:rsid w:val="000E032E"/>
    <w:rsid w:val="000E05AF"/>
    <w:rsid w:val="000E0B1C"/>
    <w:rsid w:val="000E0DC0"/>
    <w:rsid w:val="000E26E3"/>
    <w:rsid w:val="000E3E01"/>
    <w:rsid w:val="000E4AE0"/>
    <w:rsid w:val="000E59F7"/>
    <w:rsid w:val="000E5B1C"/>
    <w:rsid w:val="000E6320"/>
    <w:rsid w:val="000E63DD"/>
    <w:rsid w:val="000E6996"/>
    <w:rsid w:val="000E7145"/>
    <w:rsid w:val="000F051B"/>
    <w:rsid w:val="000F1ACA"/>
    <w:rsid w:val="000F1C19"/>
    <w:rsid w:val="000F5562"/>
    <w:rsid w:val="000F55B2"/>
    <w:rsid w:val="000F5A4B"/>
    <w:rsid w:val="000F665F"/>
    <w:rsid w:val="00100B64"/>
    <w:rsid w:val="0010102D"/>
    <w:rsid w:val="00101291"/>
    <w:rsid w:val="001013E2"/>
    <w:rsid w:val="00102435"/>
    <w:rsid w:val="00102541"/>
    <w:rsid w:val="00103FF7"/>
    <w:rsid w:val="00104086"/>
    <w:rsid w:val="00105478"/>
    <w:rsid w:val="00105C23"/>
    <w:rsid w:val="00107A6B"/>
    <w:rsid w:val="00110190"/>
    <w:rsid w:val="00110D14"/>
    <w:rsid w:val="00111052"/>
    <w:rsid w:val="00111238"/>
    <w:rsid w:val="001120A7"/>
    <w:rsid w:val="00112263"/>
    <w:rsid w:val="00112699"/>
    <w:rsid w:val="00113ABD"/>
    <w:rsid w:val="00113B21"/>
    <w:rsid w:val="00113FEF"/>
    <w:rsid w:val="00114A16"/>
    <w:rsid w:val="00114B41"/>
    <w:rsid w:val="001160FC"/>
    <w:rsid w:val="00117CDB"/>
    <w:rsid w:val="00117EF2"/>
    <w:rsid w:val="001202B2"/>
    <w:rsid w:val="0012039C"/>
    <w:rsid w:val="00121CE6"/>
    <w:rsid w:val="00121D44"/>
    <w:rsid w:val="0012215D"/>
    <w:rsid w:val="00122208"/>
    <w:rsid w:val="00122D55"/>
    <w:rsid w:val="00122E2F"/>
    <w:rsid w:val="0012430B"/>
    <w:rsid w:val="00124561"/>
    <w:rsid w:val="0012663D"/>
    <w:rsid w:val="0012773E"/>
    <w:rsid w:val="001304FB"/>
    <w:rsid w:val="001309F4"/>
    <w:rsid w:val="00130CC9"/>
    <w:rsid w:val="00130EDC"/>
    <w:rsid w:val="00131009"/>
    <w:rsid w:val="00131731"/>
    <w:rsid w:val="00131C8D"/>
    <w:rsid w:val="00133C89"/>
    <w:rsid w:val="00133CC9"/>
    <w:rsid w:val="001341F7"/>
    <w:rsid w:val="00135DC0"/>
    <w:rsid w:val="00136D25"/>
    <w:rsid w:val="00136E06"/>
    <w:rsid w:val="001370F4"/>
    <w:rsid w:val="0014018E"/>
    <w:rsid w:val="00140256"/>
    <w:rsid w:val="0014067D"/>
    <w:rsid w:val="001412B7"/>
    <w:rsid w:val="0014140C"/>
    <w:rsid w:val="00142237"/>
    <w:rsid w:val="0014232A"/>
    <w:rsid w:val="00142C36"/>
    <w:rsid w:val="00145043"/>
    <w:rsid w:val="00145379"/>
    <w:rsid w:val="00145CA3"/>
    <w:rsid w:val="00145ED6"/>
    <w:rsid w:val="001464B4"/>
    <w:rsid w:val="00146580"/>
    <w:rsid w:val="001466A0"/>
    <w:rsid w:val="001468E8"/>
    <w:rsid w:val="00146B8D"/>
    <w:rsid w:val="00146D0F"/>
    <w:rsid w:val="00146E33"/>
    <w:rsid w:val="00147998"/>
    <w:rsid w:val="001511A9"/>
    <w:rsid w:val="00152376"/>
    <w:rsid w:val="00152853"/>
    <w:rsid w:val="00152B1C"/>
    <w:rsid w:val="00152EB2"/>
    <w:rsid w:val="0015359C"/>
    <w:rsid w:val="001538E0"/>
    <w:rsid w:val="00153EF8"/>
    <w:rsid w:val="00154A81"/>
    <w:rsid w:val="00156008"/>
    <w:rsid w:val="00156983"/>
    <w:rsid w:val="00156A34"/>
    <w:rsid w:val="001607A8"/>
    <w:rsid w:val="00160FFF"/>
    <w:rsid w:val="00161D43"/>
    <w:rsid w:val="00162531"/>
    <w:rsid w:val="001628F6"/>
    <w:rsid w:val="00162B0C"/>
    <w:rsid w:val="00163012"/>
    <w:rsid w:val="001631F5"/>
    <w:rsid w:val="00164651"/>
    <w:rsid w:val="00164BA3"/>
    <w:rsid w:val="001650C2"/>
    <w:rsid w:val="00165214"/>
    <w:rsid w:val="0016590B"/>
    <w:rsid w:val="001664FE"/>
    <w:rsid w:val="0016749A"/>
    <w:rsid w:val="001679D2"/>
    <w:rsid w:val="0017020E"/>
    <w:rsid w:val="00170B3D"/>
    <w:rsid w:val="001712FD"/>
    <w:rsid w:val="00171C3B"/>
    <w:rsid w:val="0017304B"/>
    <w:rsid w:val="001734A5"/>
    <w:rsid w:val="00173838"/>
    <w:rsid w:val="001747CE"/>
    <w:rsid w:val="00174AF0"/>
    <w:rsid w:val="00174B51"/>
    <w:rsid w:val="00175FF9"/>
    <w:rsid w:val="001761DA"/>
    <w:rsid w:val="001766C4"/>
    <w:rsid w:val="001768B6"/>
    <w:rsid w:val="00176F15"/>
    <w:rsid w:val="001773BF"/>
    <w:rsid w:val="00180A4D"/>
    <w:rsid w:val="00180D26"/>
    <w:rsid w:val="00180E1B"/>
    <w:rsid w:val="00181906"/>
    <w:rsid w:val="001824DD"/>
    <w:rsid w:val="001826F8"/>
    <w:rsid w:val="00182780"/>
    <w:rsid w:val="00182967"/>
    <w:rsid w:val="00183A77"/>
    <w:rsid w:val="001841CD"/>
    <w:rsid w:val="00184D76"/>
    <w:rsid w:val="00185338"/>
    <w:rsid w:val="00185500"/>
    <w:rsid w:val="00186DB1"/>
    <w:rsid w:val="00187692"/>
    <w:rsid w:val="00187711"/>
    <w:rsid w:val="00187A84"/>
    <w:rsid w:val="0019192F"/>
    <w:rsid w:val="00191A87"/>
    <w:rsid w:val="00192038"/>
    <w:rsid w:val="00193CCF"/>
    <w:rsid w:val="00193D74"/>
    <w:rsid w:val="00193D81"/>
    <w:rsid w:val="00194CDA"/>
    <w:rsid w:val="00196194"/>
    <w:rsid w:val="001963F5"/>
    <w:rsid w:val="00196B33"/>
    <w:rsid w:val="0019734F"/>
    <w:rsid w:val="001A11BB"/>
    <w:rsid w:val="001A1B2E"/>
    <w:rsid w:val="001A26CC"/>
    <w:rsid w:val="001A2E9F"/>
    <w:rsid w:val="001A39CE"/>
    <w:rsid w:val="001A3B44"/>
    <w:rsid w:val="001A5180"/>
    <w:rsid w:val="001A5A5D"/>
    <w:rsid w:val="001A6EEE"/>
    <w:rsid w:val="001A700E"/>
    <w:rsid w:val="001A725B"/>
    <w:rsid w:val="001A7579"/>
    <w:rsid w:val="001A7AFF"/>
    <w:rsid w:val="001A7FD3"/>
    <w:rsid w:val="001B0A94"/>
    <w:rsid w:val="001B0B02"/>
    <w:rsid w:val="001B1C8F"/>
    <w:rsid w:val="001B2851"/>
    <w:rsid w:val="001B2BCE"/>
    <w:rsid w:val="001B2EC4"/>
    <w:rsid w:val="001B4D73"/>
    <w:rsid w:val="001B584F"/>
    <w:rsid w:val="001B58F3"/>
    <w:rsid w:val="001B6FAF"/>
    <w:rsid w:val="001B7172"/>
    <w:rsid w:val="001B7894"/>
    <w:rsid w:val="001B7AA3"/>
    <w:rsid w:val="001C0B65"/>
    <w:rsid w:val="001C2291"/>
    <w:rsid w:val="001C2AFC"/>
    <w:rsid w:val="001C2E51"/>
    <w:rsid w:val="001C2FC6"/>
    <w:rsid w:val="001C3685"/>
    <w:rsid w:val="001C3766"/>
    <w:rsid w:val="001C4CBB"/>
    <w:rsid w:val="001C5948"/>
    <w:rsid w:val="001C6850"/>
    <w:rsid w:val="001C7558"/>
    <w:rsid w:val="001D0D04"/>
    <w:rsid w:val="001D182B"/>
    <w:rsid w:val="001D21E5"/>
    <w:rsid w:val="001D4941"/>
    <w:rsid w:val="001D51B6"/>
    <w:rsid w:val="001D5750"/>
    <w:rsid w:val="001D583F"/>
    <w:rsid w:val="001D5DB8"/>
    <w:rsid w:val="001E08E5"/>
    <w:rsid w:val="001E0AC2"/>
    <w:rsid w:val="001E1B53"/>
    <w:rsid w:val="001E1B8B"/>
    <w:rsid w:val="001E21E5"/>
    <w:rsid w:val="001E2CF8"/>
    <w:rsid w:val="001E4345"/>
    <w:rsid w:val="001E4908"/>
    <w:rsid w:val="001E4D41"/>
    <w:rsid w:val="001E51D1"/>
    <w:rsid w:val="001E58BE"/>
    <w:rsid w:val="001E5B9B"/>
    <w:rsid w:val="001E60C1"/>
    <w:rsid w:val="001E6410"/>
    <w:rsid w:val="001E66E6"/>
    <w:rsid w:val="001E6DC3"/>
    <w:rsid w:val="001F0190"/>
    <w:rsid w:val="001F0629"/>
    <w:rsid w:val="001F11D8"/>
    <w:rsid w:val="001F2772"/>
    <w:rsid w:val="001F2A69"/>
    <w:rsid w:val="001F2F3F"/>
    <w:rsid w:val="001F3350"/>
    <w:rsid w:val="001F3610"/>
    <w:rsid w:val="001F4ED8"/>
    <w:rsid w:val="001F67F9"/>
    <w:rsid w:val="001F6AC2"/>
    <w:rsid w:val="001F7291"/>
    <w:rsid w:val="001F784C"/>
    <w:rsid w:val="001F7D07"/>
    <w:rsid w:val="0020137F"/>
    <w:rsid w:val="0020197D"/>
    <w:rsid w:val="00201E08"/>
    <w:rsid w:val="0020203F"/>
    <w:rsid w:val="002020CD"/>
    <w:rsid w:val="00202AB1"/>
    <w:rsid w:val="00202DEC"/>
    <w:rsid w:val="00203087"/>
    <w:rsid w:val="00203D3F"/>
    <w:rsid w:val="00204494"/>
    <w:rsid w:val="002048AA"/>
    <w:rsid w:val="00206A05"/>
    <w:rsid w:val="00210150"/>
    <w:rsid w:val="00211122"/>
    <w:rsid w:val="002112E9"/>
    <w:rsid w:val="002135E0"/>
    <w:rsid w:val="00213C0C"/>
    <w:rsid w:val="00213DCC"/>
    <w:rsid w:val="0021477E"/>
    <w:rsid w:val="00214E22"/>
    <w:rsid w:val="0021597C"/>
    <w:rsid w:val="00216767"/>
    <w:rsid w:val="00216CE7"/>
    <w:rsid w:val="00220F2A"/>
    <w:rsid w:val="002215EF"/>
    <w:rsid w:val="0022328D"/>
    <w:rsid w:val="00223A9E"/>
    <w:rsid w:val="00223D8B"/>
    <w:rsid w:val="0022513D"/>
    <w:rsid w:val="0022643B"/>
    <w:rsid w:val="0022653C"/>
    <w:rsid w:val="00226543"/>
    <w:rsid w:val="00226A9A"/>
    <w:rsid w:val="00227088"/>
    <w:rsid w:val="00227275"/>
    <w:rsid w:val="002279BF"/>
    <w:rsid w:val="00227A8D"/>
    <w:rsid w:val="00227EF1"/>
    <w:rsid w:val="002305D4"/>
    <w:rsid w:val="00230729"/>
    <w:rsid w:val="00232238"/>
    <w:rsid w:val="002330C5"/>
    <w:rsid w:val="00233427"/>
    <w:rsid w:val="00233938"/>
    <w:rsid w:val="00234552"/>
    <w:rsid w:val="0023520F"/>
    <w:rsid w:val="0023590D"/>
    <w:rsid w:val="002362B1"/>
    <w:rsid w:val="00237135"/>
    <w:rsid w:val="002371A2"/>
    <w:rsid w:val="00237796"/>
    <w:rsid w:val="00237A94"/>
    <w:rsid w:val="0024047E"/>
    <w:rsid w:val="002404AC"/>
    <w:rsid w:val="00242A6D"/>
    <w:rsid w:val="0024338B"/>
    <w:rsid w:val="00243A70"/>
    <w:rsid w:val="00243CBC"/>
    <w:rsid w:val="002447B4"/>
    <w:rsid w:val="002449A8"/>
    <w:rsid w:val="00245008"/>
    <w:rsid w:val="00245713"/>
    <w:rsid w:val="0025003C"/>
    <w:rsid w:val="00250EAD"/>
    <w:rsid w:val="00251FA4"/>
    <w:rsid w:val="00252704"/>
    <w:rsid w:val="00252746"/>
    <w:rsid w:val="00252E9F"/>
    <w:rsid w:val="0025363B"/>
    <w:rsid w:val="00254BEB"/>
    <w:rsid w:val="00254C36"/>
    <w:rsid w:val="002559CA"/>
    <w:rsid w:val="00256491"/>
    <w:rsid w:val="002569BE"/>
    <w:rsid w:val="00261285"/>
    <w:rsid w:val="0026263E"/>
    <w:rsid w:val="00262DAE"/>
    <w:rsid w:val="00263135"/>
    <w:rsid w:val="002640F1"/>
    <w:rsid w:val="002644E2"/>
    <w:rsid w:val="00264648"/>
    <w:rsid w:val="00264654"/>
    <w:rsid w:val="0026582F"/>
    <w:rsid w:val="00266620"/>
    <w:rsid w:val="002673D8"/>
    <w:rsid w:val="00267537"/>
    <w:rsid w:val="00270DEB"/>
    <w:rsid w:val="00271A5E"/>
    <w:rsid w:val="00272893"/>
    <w:rsid w:val="00272AAD"/>
    <w:rsid w:val="00272C35"/>
    <w:rsid w:val="00273CF5"/>
    <w:rsid w:val="00273D92"/>
    <w:rsid w:val="0027439C"/>
    <w:rsid w:val="00275392"/>
    <w:rsid w:val="002756A1"/>
    <w:rsid w:val="00275E3E"/>
    <w:rsid w:val="00276985"/>
    <w:rsid w:val="00277AA2"/>
    <w:rsid w:val="00277D96"/>
    <w:rsid w:val="00280DE7"/>
    <w:rsid w:val="002811D7"/>
    <w:rsid w:val="00281838"/>
    <w:rsid w:val="00281C3B"/>
    <w:rsid w:val="00283373"/>
    <w:rsid w:val="00283D9D"/>
    <w:rsid w:val="00284397"/>
    <w:rsid w:val="0028452C"/>
    <w:rsid w:val="0028459E"/>
    <w:rsid w:val="002850FB"/>
    <w:rsid w:val="00285170"/>
    <w:rsid w:val="00285353"/>
    <w:rsid w:val="0028594C"/>
    <w:rsid w:val="002869C3"/>
    <w:rsid w:val="00287217"/>
    <w:rsid w:val="00292184"/>
    <w:rsid w:val="00293194"/>
    <w:rsid w:val="002936FB"/>
    <w:rsid w:val="00293BE3"/>
    <w:rsid w:val="00293DDC"/>
    <w:rsid w:val="00294136"/>
    <w:rsid w:val="00294EB4"/>
    <w:rsid w:val="00295973"/>
    <w:rsid w:val="002962E0"/>
    <w:rsid w:val="00296498"/>
    <w:rsid w:val="00296EB6"/>
    <w:rsid w:val="0029705E"/>
    <w:rsid w:val="00297888"/>
    <w:rsid w:val="002979BF"/>
    <w:rsid w:val="00297A5B"/>
    <w:rsid w:val="002A002F"/>
    <w:rsid w:val="002A084B"/>
    <w:rsid w:val="002A164D"/>
    <w:rsid w:val="002A1B43"/>
    <w:rsid w:val="002A1B7B"/>
    <w:rsid w:val="002A2BFC"/>
    <w:rsid w:val="002A36B9"/>
    <w:rsid w:val="002A3769"/>
    <w:rsid w:val="002A37C9"/>
    <w:rsid w:val="002A3E89"/>
    <w:rsid w:val="002A54F1"/>
    <w:rsid w:val="002A577E"/>
    <w:rsid w:val="002A60FF"/>
    <w:rsid w:val="002A7136"/>
    <w:rsid w:val="002A7764"/>
    <w:rsid w:val="002B03FC"/>
    <w:rsid w:val="002B0C7D"/>
    <w:rsid w:val="002B2E28"/>
    <w:rsid w:val="002B399B"/>
    <w:rsid w:val="002B3FB4"/>
    <w:rsid w:val="002B40DA"/>
    <w:rsid w:val="002B4984"/>
    <w:rsid w:val="002B4EA4"/>
    <w:rsid w:val="002B4EE4"/>
    <w:rsid w:val="002B549D"/>
    <w:rsid w:val="002B5667"/>
    <w:rsid w:val="002B7F5F"/>
    <w:rsid w:val="002C1B0B"/>
    <w:rsid w:val="002C1B8F"/>
    <w:rsid w:val="002C1F00"/>
    <w:rsid w:val="002C26E6"/>
    <w:rsid w:val="002C2863"/>
    <w:rsid w:val="002C36D0"/>
    <w:rsid w:val="002C458E"/>
    <w:rsid w:val="002C4A54"/>
    <w:rsid w:val="002C4AFC"/>
    <w:rsid w:val="002C5171"/>
    <w:rsid w:val="002C61DF"/>
    <w:rsid w:val="002C68A9"/>
    <w:rsid w:val="002C78B5"/>
    <w:rsid w:val="002D0283"/>
    <w:rsid w:val="002D08F8"/>
    <w:rsid w:val="002D0955"/>
    <w:rsid w:val="002D0C38"/>
    <w:rsid w:val="002D1386"/>
    <w:rsid w:val="002D22B0"/>
    <w:rsid w:val="002D353A"/>
    <w:rsid w:val="002D3593"/>
    <w:rsid w:val="002D363B"/>
    <w:rsid w:val="002D3664"/>
    <w:rsid w:val="002D36F6"/>
    <w:rsid w:val="002D38AB"/>
    <w:rsid w:val="002D3C9B"/>
    <w:rsid w:val="002D4487"/>
    <w:rsid w:val="002D54C1"/>
    <w:rsid w:val="002D5B08"/>
    <w:rsid w:val="002D610E"/>
    <w:rsid w:val="002D767D"/>
    <w:rsid w:val="002E120F"/>
    <w:rsid w:val="002E2510"/>
    <w:rsid w:val="002E2FF3"/>
    <w:rsid w:val="002E372D"/>
    <w:rsid w:val="002E3A30"/>
    <w:rsid w:val="002E4A20"/>
    <w:rsid w:val="002E52EE"/>
    <w:rsid w:val="002E5CBB"/>
    <w:rsid w:val="002E5CD9"/>
    <w:rsid w:val="002E6E3B"/>
    <w:rsid w:val="002E7618"/>
    <w:rsid w:val="002F00E4"/>
    <w:rsid w:val="002F06C8"/>
    <w:rsid w:val="002F18EA"/>
    <w:rsid w:val="002F34F8"/>
    <w:rsid w:val="002F37ED"/>
    <w:rsid w:val="002F4772"/>
    <w:rsid w:val="002F4A00"/>
    <w:rsid w:val="002F4F34"/>
    <w:rsid w:val="002F67A4"/>
    <w:rsid w:val="002F6887"/>
    <w:rsid w:val="002F791E"/>
    <w:rsid w:val="00300A8F"/>
    <w:rsid w:val="003012A1"/>
    <w:rsid w:val="0030187D"/>
    <w:rsid w:val="0030295A"/>
    <w:rsid w:val="0030396C"/>
    <w:rsid w:val="00303B14"/>
    <w:rsid w:val="00303FF0"/>
    <w:rsid w:val="003042B4"/>
    <w:rsid w:val="00306101"/>
    <w:rsid w:val="003065AD"/>
    <w:rsid w:val="00306B97"/>
    <w:rsid w:val="0030771F"/>
    <w:rsid w:val="00307A32"/>
    <w:rsid w:val="00310412"/>
    <w:rsid w:val="00311825"/>
    <w:rsid w:val="0031214B"/>
    <w:rsid w:val="003137C1"/>
    <w:rsid w:val="00313C51"/>
    <w:rsid w:val="00313F51"/>
    <w:rsid w:val="00314404"/>
    <w:rsid w:val="00314A8E"/>
    <w:rsid w:val="00314EB1"/>
    <w:rsid w:val="00315777"/>
    <w:rsid w:val="00315A20"/>
    <w:rsid w:val="0031612D"/>
    <w:rsid w:val="0031782D"/>
    <w:rsid w:val="00320175"/>
    <w:rsid w:val="00320B53"/>
    <w:rsid w:val="00320C44"/>
    <w:rsid w:val="00321821"/>
    <w:rsid w:val="00325803"/>
    <w:rsid w:val="0032580B"/>
    <w:rsid w:val="00325CA7"/>
    <w:rsid w:val="00325ED2"/>
    <w:rsid w:val="0032636D"/>
    <w:rsid w:val="003263C3"/>
    <w:rsid w:val="00326BCC"/>
    <w:rsid w:val="00326DFD"/>
    <w:rsid w:val="00327127"/>
    <w:rsid w:val="00327FF1"/>
    <w:rsid w:val="00330096"/>
    <w:rsid w:val="00330946"/>
    <w:rsid w:val="00331AB1"/>
    <w:rsid w:val="003325CA"/>
    <w:rsid w:val="00332988"/>
    <w:rsid w:val="003336FB"/>
    <w:rsid w:val="003345E2"/>
    <w:rsid w:val="00334953"/>
    <w:rsid w:val="00334C1F"/>
    <w:rsid w:val="00335166"/>
    <w:rsid w:val="00335997"/>
    <w:rsid w:val="00335E20"/>
    <w:rsid w:val="0034050D"/>
    <w:rsid w:val="0034130A"/>
    <w:rsid w:val="00342698"/>
    <w:rsid w:val="003432C8"/>
    <w:rsid w:val="003451AE"/>
    <w:rsid w:val="00346904"/>
    <w:rsid w:val="00346E07"/>
    <w:rsid w:val="00347D3F"/>
    <w:rsid w:val="00347EF2"/>
    <w:rsid w:val="0035113C"/>
    <w:rsid w:val="003516B5"/>
    <w:rsid w:val="00351757"/>
    <w:rsid w:val="00351B70"/>
    <w:rsid w:val="0035287A"/>
    <w:rsid w:val="0035381A"/>
    <w:rsid w:val="0035388F"/>
    <w:rsid w:val="003541A8"/>
    <w:rsid w:val="00354EEA"/>
    <w:rsid w:val="00356765"/>
    <w:rsid w:val="0035714F"/>
    <w:rsid w:val="00360416"/>
    <w:rsid w:val="00360F2F"/>
    <w:rsid w:val="003610E3"/>
    <w:rsid w:val="003615AA"/>
    <w:rsid w:val="00361B20"/>
    <w:rsid w:val="00362A5F"/>
    <w:rsid w:val="00363A9C"/>
    <w:rsid w:val="00364D6D"/>
    <w:rsid w:val="003657FF"/>
    <w:rsid w:val="00365B4E"/>
    <w:rsid w:val="00365C65"/>
    <w:rsid w:val="003661AA"/>
    <w:rsid w:val="00366A11"/>
    <w:rsid w:val="00366D95"/>
    <w:rsid w:val="00366FD7"/>
    <w:rsid w:val="00370D4F"/>
    <w:rsid w:val="00371E20"/>
    <w:rsid w:val="00373493"/>
    <w:rsid w:val="00374343"/>
    <w:rsid w:val="00375C7D"/>
    <w:rsid w:val="00377DF6"/>
    <w:rsid w:val="003800A9"/>
    <w:rsid w:val="003806B1"/>
    <w:rsid w:val="003809C2"/>
    <w:rsid w:val="00380CA2"/>
    <w:rsid w:val="00380D5E"/>
    <w:rsid w:val="00380F56"/>
    <w:rsid w:val="003810B1"/>
    <w:rsid w:val="0038113D"/>
    <w:rsid w:val="0038114E"/>
    <w:rsid w:val="00381A5F"/>
    <w:rsid w:val="0038254D"/>
    <w:rsid w:val="00382A2A"/>
    <w:rsid w:val="00382F4A"/>
    <w:rsid w:val="003838A3"/>
    <w:rsid w:val="00384B67"/>
    <w:rsid w:val="00384E85"/>
    <w:rsid w:val="00386EAC"/>
    <w:rsid w:val="0038781B"/>
    <w:rsid w:val="003935C3"/>
    <w:rsid w:val="00393CF0"/>
    <w:rsid w:val="00394582"/>
    <w:rsid w:val="00395474"/>
    <w:rsid w:val="00396A76"/>
    <w:rsid w:val="003A03F9"/>
    <w:rsid w:val="003A104C"/>
    <w:rsid w:val="003A12AF"/>
    <w:rsid w:val="003A1C9A"/>
    <w:rsid w:val="003A2720"/>
    <w:rsid w:val="003A2C68"/>
    <w:rsid w:val="003A45A7"/>
    <w:rsid w:val="003A4989"/>
    <w:rsid w:val="003A5763"/>
    <w:rsid w:val="003A5C5E"/>
    <w:rsid w:val="003A6659"/>
    <w:rsid w:val="003A69F6"/>
    <w:rsid w:val="003A6B08"/>
    <w:rsid w:val="003A7FE5"/>
    <w:rsid w:val="003B0A3C"/>
    <w:rsid w:val="003B0F81"/>
    <w:rsid w:val="003B2597"/>
    <w:rsid w:val="003B284B"/>
    <w:rsid w:val="003B3980"/>
    <w:rsid w:val="003B4500"/>
    <w:rsid w:val="003B4559"/>
    <w:rsid w:val="003B4BB0"/>
    <w:rsid w:val="003B5DF4"/>
    <w:rsid w:val="003B60D4"/>
    <w:rsid w:val="003B6A32"/>
    <w:rsid w:val="003B7003"/>
    <w:rsid w:val="003B7165"/>
    <w:rsid w:val="003B7AD5"/>
    <w:rsid w:val="003B7BEF"/>
    <w:rsid w:val="003B7D7D"/>
    <w:rsid w:val="003C0139"/>
    <w:rsid w:val="003C0D40"/>
    <w:rsid w:val="003C1027"/>
    <w:rsid w:val="003C12A1"/>
    <w:rsid w:val="003C2195"/>
    <w:rsid w:val="003C2C43"/>
    <w:rsid w:val="003C341B"/>
    <w:rsid w:val="003C3E73"/>
    <w:rsid w:val="003C3F3C"/>
    <w:rsid w:val="003C62F3"/>
    <w:rsid w:val="003D12CE"/>
    <w:rsid w:val="003D1420"/>
    <w:rsid w:val="003D1D89"/>
    <w:rsid w:val="003D22E1"/>
    <w:rsid w:val="003D2538"/>
    <w:rsid w:val="003D36AD"/>
    <w:rsid w:val="003D4768"/>
    <w:rsid w:val="003D4BC1"/>
    <w:rsid w:val="003D4F44"/>
    <w:rsid w:val="003D7EEF"/>
    <w:rsid w:val="003E08A5"/>
    <w:rsid w:val="003E08C9"/>
    <w:rsid w:val="003E18D2"/>
    <w:rsid w:val="003E289D"/>
    <w:rsid w:val="003E2CB7"/>
    <w:rsid w:val="003E3757"/>
    <w:rsid w:val="003E3F0D"/>
    <w:rsid w:val="003E5CFF"/>
    <w:rsid w:val="003E5ED9"/>
    <w:rsid w:val="003E6826"/>
    <w:rsid w:val="003E6C85"/>
    <w:rsid w:val="003F00F4"/>
    <w:rsid w:val="003F03A8"/>
    <w:rsid w:val="003F041D"/>
    <w:rsid w:val="003F0D28"/>
    <w:rsid w:val="003F1559"/>
    <w:rsid w:val="003F238F"/>
    <w:rsid w:val="003F37EF"/>
    <w:rsid w:val="003F435B"/>
    <w:rsid w:val="003F4DD4"/>
    <w:rsid w:val="003F53E6"/>
    <w:rsid w:val="003F56B9"/>
    <w:rsid w:val="003F5F7D"/>
    <w:rsid w:val="003F6347"/>
    <w:rsid w:val="003F67EF"/>
    <w:rsid w:val="003F6952"/>
    <w:rsid w:val="003F6CF5"/>
    <w:rsid w:val="003F6F42"/>
    <w:rsid w:val="003F74B1"/>
    <w:rsid w:val="003F74DA"/>
    <w:rsid w:val="003F7AE0"/>
    <w:rsid w:val="004001CC"/>
    <w:rsid w:val="0040224E"/>
    <w:rsid w:val="004024B7"/>
    <w:rsid w:val="0040370F"/>
    <w:rsid w:val="00406116"/>
    <w:rsid w:val="004065DA"/>
    <w:rsid w:val="004072A7"/>
    <w:rsid w:val="0040795D"/>
    <w:rsid w:val="00407B26"/>
    <w:rsid w:val="0041031E"/>
    <w:rsid w:val="0041075E"/>
    <w:rsid w:val="0041118E"/>
    <w:rsid w:val="004126FA"/>
    <w:rsid w:val="00412DCE"/>
    <w:rsid w:val="00413227"/>
    <w:rsid w:val="00413951"/>
    <w:rsid w:val="00414CC4"/>
    <w:rsid w:val="00415EC3"/>
    <w:rsid w:val="00416AEE"/>
    <w:rsid w:val="00420E89"/>
    <w:rsid w:val="00421C0A"/>
    <w:rsid w:val="004222F6"/>
    <w:rsid w:val="004226D5"/>
    <w:rsid w:val="00422C36"/>
    <w:rsid w:val="00423785"/>
    <w:rsid w:val="00426263"/>
    <w:rsid w:val="00427409"/>
    <w:rsid w:val="00430999"/>
    <w:rsid w:val="004330CB"/>
    <w:rsid w:val="00433AD1"/>
    <w:rsid w:val="00434E3E"/>
    <w:rsid w:val="00434F92"/>
    <w:rsid w:val="004352AF"/>
    <w:rsid w:val="00436B38"/>
    <w:rsid w:val="00436D43"/>
    <w:rsid w:val="00437A7A"/>
    <w:rsid w:val="00437E1B"/>
    <w:rsid w:val="00441D44"/>
    <w:rsid w:val="00442C60"/>
    <w:rsid w:val="00443377"/>
    <w:rsid w:val="00443D07"/>
    <w:rsid w:val="0044430E"/>
    <w:rsid w:val="0044545F"/>
    <w:rsid w:val="0044563E"/>
    <w:rsid w:val="00445A69"/>
    <w:rsid w:val="00446C33"/>
    <w:rsid w:val="004472A7"/>
    <w:rsid w:val="004478BB"/>
    <w:rsid w:val="00447D97"/>
    <w:rsid w:val="00450B71"/>
    <w:rsid w:val="00451CF1"/>
    <w:rsid w:val="00452BBA"/>
    <w:rsid w:val="00452BBF"/>
    <w:rsid w:val="0045340D"/>
    <w:rsid w:val="0045488D"/>
    <w:rsid w:val="00456DD1"/>
    <w:rsid w:val="00457975"/>
    <w:rsid w:val="004600C2"/>
    <w:rsid w:val="0046059F"/>
    <w:rsid w:val="0046149B"/>
    <w:rsid w:val="0046166C"/>
    <w:rsid w:val="004616F3"/>
    <w:rsid w:val="0046179A"/>
    <w:rsid w:val="0046206D"/>
    <w:rsid w:val="00462C7C"/>
    <w:rsid w:val="00462E68"/>
    <w:rsid w:val="00462E86"/>
    <w:rsid w:val="00464459"/>
    <w:rsid w:val="004645E2"/>
    <w:rsid w:val="00464C9E"/>
    <w:rsid w:val="0046516B"/>
    <w:rsid w:val="004658C9"/>
    <w:rsid w:val="004666C5"/>
    <w:rsid w:val="00467158"/>
    <w:rsid w:val="0046738C"/>
    <w:rsid w:val="00467B6D"/>
    <w:rsid w:val="004701A3"/>
    <w:rsid w:val="00470FD0"/>
    <w:rsid w:val="004723F4"/>
    <w:rsid w:val="00472D86"/>
    <w:rsid w:val="004730E7"/>
    <w:rsid w:val="004734ED"/>
    <w:rsid w:val="0047394F"/>
    <w:rsid w:val="004744E7"/>
    <w:rsid w:val="00474D58"/>
    <w:rsid w:val="00475503"/>
    <w:rsid w:val="00477466"/>
    <w:rsid w:val="004775A0"/>
    <w:rsid w:val="0047768D"/>
    <w:rsid w:val="004802C2"/>
    <w:rsid w:val="00480BCC"/>
    <w:rsid w:val="00481808"/>
    <w:rsid w:val="00481F9B"/>
    <w:rsid w:val="00483E44"/>
    <w:rsid w:val="0048431E"/>
    <w:rsid w:val="0048443A"/>
    <w:rsid w:val="00484446"/>
    <w:rsid w:val="00484CA5"/>
    <w:rsid w:val="00485228"/>
    <w:rsid w:val="004864A5"/>
    <w:rsid w:val="00486ED9"/>
    <w:rsid w:val="004905BD"/>
    <w:rsid w:val="00491188"/>
    <w:rsid w:val="00491A42"/>
    <w:rsid w:val="0049226D"/>
    <w:rsid w:val="00493382"/>
    <w:rsid w:val="0049384E"/>
    <w:rsid w:val="0049412C"/>
    <w:rsid w:val="0049484F"/>
    <w:rsid w:val="00495381"/>
    <w:rsid w:val="004A178B"/>
    <w:rsid w:val="004A25AC"/>
    <w:rsid w:val="004A2857"/>
    <w:rsid w:val="004A397C"/>
    <w:rsid w:val="004A4A0A"/>
    <w:rsid w:val="004A4A9E"/>
    <w:rsid w:val="004A4E5C"/>
    <w:rsid w:val="004A51F7"/>
    <w:rsid w:val="004B02FF"/>
    <w:rsid w:val="004B0858"/>
    <w:rsid w:val="004B1633"/>
    <w:rsid w:val="004B16E1"/>
    <w:rsid w:val="004B2706"/>
    <w:rsid w:val="004B31A4"/>
    <w:rsid w:val="004B5688"/>
    <w:rsid w:val="004B764F"/>
    <w:rsid w:val="004B785A"/>
    <w:rsid w:val="004B7C66"/>
    <w:rsid w:val="004C07EB"/>
    <w:rsid w:val="004C18D2"/>
    <w:rsid w:val="004C1BE8"/>
    <w:rsid w:val="004C28B2"/>
    <w:rsid w:val="004C2E66"/>
    <w:rsid w:val="004C3591"/>
    <w:rsid w:val="004C3BF3"/>
    <w:rsid w:val="004C50A9"/>
    <w:rsid w:val="004C5895"/>
    <w:rsid w:val="004C5E20"/>
    <w:rsid w:val="004C6D06"/>
    <w:rsid w:val="004D0795"/>
    <w:rsid w:val="004D0F12"/>
    <w:rsid w:val="004D0FAA"/>
    <w:rsid w:val="004D1E8C"/>
    <w:rsid w:val="004D36BD"/>
    <w:rsid w:val="004D379A"/>
    <w:rsid w:val="004D38D8"/>
    <w:rsid w:val="004D3BAE"/>
    <w:rsid w:val="004D3BCA"/>
    <w:rsid w:val="004D4A1A"/>
    <w:rsid w:val="004D5A4C"/>
    <w:rsid w:val="004D5E8A"/>
    <w:rsid w:val="004E14CA"/>
    <w:rsid w:val="004E1820"/>
    <w:rsid w:val="004E314F"/>
    <w:rsid w:val="004E33FA"/>
    <w:rsid w:val="004E38A1"/>
    <w:rsid w:val="004E3EB8"/>
    <w:rsid w:val="004E42A8"/>
    <w:rsid w:val="004E434D"/>
    <w:rsid w:val="004E43BE"/>
    <w:rsid w:val="004E447D"/>
    <w:rsid w:val="004E67E6"/>
    <w:rsid w:val="004E6919"/>
    <w:rsid w:val="004E6BEE"/>
    <w:rsid w:val="004E6EB7"/>
    <w:rsid w:val="004E73EF"/>
    <w:rsid w:val="004E76CB"/>
    <w:rsid w:val="004E7AD1"/>
    <w:rsid w:val="004E7BBF"/>
    <w:rsid w:val="004F07AD"/>
    <w:rsid w:val="004F10E0"/>
    <w:rsid w:val="004F15E3"/>
    <w:rsid w:val="004F16F6"/>
    <w:rsid w:val="004F1B63"/>
    <w:rsid w:val="004F1C7A"/>
    <w:rsid w:val="004F1D60"/>
    <w:rsid w:val="004F1DC3"/>
    <w:rsid w:val="004F2105"/>
    <w:rsid w:val="004F30E4"/>
    <w:rsid w:val="004F3F67"/>
    <w:rsid w:val="004F4117"/>
    <w:rsid w:val="004F43EE"/>
    <w:rsid w:val="004F4D19"/>
    <w:rsid w:val="004F53CF"/>
    <w:rsid w:val="004F584E"/>
    <w:rsid w:val="004F5A89"/>
    <w:rsid w:val="004F74FA"/>
    <w:rsid w:val="004F7707"/>
    <w:rsid w:val="004F772F"/>
    <w:rsid w:val="004F7C32"/>
    <w:rsid w:val="005002CF"/>
    <w:rsid w:val="00500333"/>
    <w:rsid w:val="00500DAD"/>
    <w:rsid w:val="005021BD"/>
    <w:rsid w:val="00502925"/>
    <w:rsid w:val="00502D2E"/>
    <w:rsid w:val="00503B40"/>
    <w:rsid w:val="0050408F"/>
    <w:rsid w:val="0050442C"/>
    <w:rsid w:val="00506314"/>
    <w:rsid w:val="005065C0"/>
    <w:rsid w:val="00507356"/>
    <w:rsid w:val="0050787E"/>
    <w:rsid w:val="00507B12"/>
    <w:rsid w:val="00507D46"/>
    <w:rsid w:val="005105E8"/>
    <w:rsid w:val="00511782"/>
    <w:rsid w:val="00512443"/>
    <w:rsid w:val="005125C8"/>
    <w:rsid w:val="00512630"/>
    <w:rsid w:val="00512E90"/>
    <w:rsid w:val="00513009"/>
    <w:rsid w:val="005134D6"/>
    <w:rsid w:val="005148B6"/>
    <w:rsid w:val="00515351"/>
    <w:rsid w:val="00515CB3"/>
    <w:rsid w:val="005163E4"/>
    <w:rsid w:val="00516CF0"/>
    <w:rsid w:val="0051701E"/>
    <w:rsid w:val="005173C6"/>
    <w:rsid w:val="005204FD"/>
    <w:rsid w:val="0052087C"/>
    <w:rsid w:val="00520D25"/>
    <w:rsid w:val="005229FC"/>
    <w:rsid w:val="00522B05"/>
    <w:rsid w:val="00522B81"/>
    <w:rsid w:val="0052362D"/>
    <w:rsid w:val="00523DF0"/>
    <w:rsid w:val="00524421"/>
    <w:rsid w:val="0052454E"/>
    <w:rsid w:val="00524CDB"/>
    <w:rsid w:val="00524E73"/>
    <w:rsid w:val="00525B69"/>
    <w:rsid w:val="0052692C"/>
    <w:rsid w:val="0052748D"/>
    <w:rsid w:val="00527EC5"/>
    <w:rsid w:val="005301A6"/>
    <w:rsid w:val="00530824"/>
    <w:rsid w:val="00530D57"/>
    <w:rsid w:val="00531349"/>
    <w:rsid w:val="0053150C"/>
    <w:rsid w:val="005319BF"/>
    <w:rsid w:val="00531BA3"/>
    <w:rsid w:val="00532746"/>
    <w:rsid w:val="00532921"/>
    <w:rsid w:val="00532C1A"/>
    <w:rsid w:val="005331E3"/>
    <w:rsid w:val="005336E6"/>
    <w:rsid w:val="00533B56"/>
    <w:rsid w:val="00533BDC"/>
    <w:rsid w:val="00533C4A"/>
    <w:rsid w:val="005346F5"/>
    <w:rsid w:val="005360E4"/>
    <w:rsid w:val="00536789"/>
    <w:rsid w:val="00536B4B"/>
    <w:rsid w:val="0053739B"/>
    <w:rsid w:val="005373CB"/>
    <w:rsid w:val="0054096E"/>
    <w:rsid w:val="00540EA9"/>
    <w:rsid w:val="00541643"/>
    <w:rsid w:val="00541DB3"/>
    <w:rsid w:val="00543D0F"/>
    <w:rsid w:val="00544446"/>
    <w:rsid w:val="005446CB"/>
    <w:rsid w:val="0054579D"/>
    <w:rsid w:val="005461FC"/>
    <w:rsid w:val="00546B64"/>
    <w:rsid w:val="0054708A"/>
    <w:rsid w:val="005472B8"/>
    <w:rsid w:val="00551164"/>
    <w:rsid w:val="00552B66"/>
    <w:rsid w:val="005556AE"/>
    <w:rsid w:val="00555748"/>
    <w:rsid w:val="005568F5"/>
    <w:rsid w:val="00556A97"/>
    <w:rsid w:val="00557456"/>
    <w:rsid w:val="0055750B"/>
    <w:rsid w:val="005579D5"/>
    <w:rsid w:val="00557CE9"/>
    <w:rsid w:val="00560834"/>
    <w:rsid w:val="00560CB7"/>
    <w:rsid w:val="00561111"/>
    <w:rsid w:val="00561A48"/>
    <w:rsid w:val="00561F38"/>
    <w:rsid w:val="00562DEC"/>
    <w:rsid w:val="00562EC8"/>
    <w:rsid w:val="005644CE"/>
    <w:rsid w:val="005645AB"/>
    <w:rsid w:val="00564E09"/>
    <w:rsid w:val="00566660"/>
    <w:rsid w:val="00566878"/>
    <w:rsid w:val="00566FE3"/>
    <w:rsid w:val="005670E8"/>
    <w:rsid w:val="005675BF"/>
    <w:rsid w:val="00570D14"/>
    <w:rsid w:val="00571044"/>
    <w:rsid w:val="0057168F"/>
    <w:rsid w:val="00571D3B"/>
    <w:rsid w:val="00572F00"/>
    <w:rsid w:val="00572FBE"/>
    <w:rsid w:val="00573439"/>
    <w:rsid w:val="00573C4A"/>
    <w:rsid w:val="00574000"/>
    <w:rsid w:val="00575C59"/>
    <w:rsid w:val="00576230"/>
    <w:rsid w:val="0057664F"/>
    <w:rsid w:val="0057670B"/>
    <w:rsid w:val="005776A4"/>
    <w:rsid w:val="00577860"/>
    <w:rsid w:val="00580AA0"/>
    <w:rsid w:val="005815AF"/>
    <w:rsid w:val="00581B13"/>
    <w:rsid w:val="00582FC6"/>
    <w:rsid w:val="00583F25"/>
    <w:rsid w:val="0058437C"/>
    <w:rsid w:val="005846D9"/>
    <w:rsid w:val="005849A1"/>
    <w:rsid w:val="005856E3"/>
    <w:rsid w:val="00585D58"/>
    <w:rsid w:val="00585EF3"/>
    <w:rsid w:val="00587213"/>
    <w:rsid w:val="00587251"/>
    <w:rsid w:val="005877E4"/>
    <w:rsid w:val="00590B14"/>
    <w:rsid w:val="00590B1C"/>
    <w:rsid w:val="00590BF8"/>
    <w:rsid w:val="005910FE"/>
    <w:rsid w:val="005912C7"/>
    <w:rsid w:val="00591448"/>
    <w:rsid w:val="005920D1"/>
    <w:rsid w:val="00593F3A"/>
    <w:rsid w:val="00594436"/>
    <w:rsid w:val="00594E5F"/>
    <w:rsid w:val="005969B3"/>
    <w:rsid w:val="00596EF5"/>
    <w:rsid w:val="005A00BC"/>
    <w:rsid w:val="005A18E6"/>
    <w:rsid w:val="005A1DAE"/>
    <w:rsid w:val="005A207B"/>
    <w:rsid w:val="005A2BAE"/>
    <w:rsid w:val="005A31A0"/>
    <w:rsid w:val="005A3A87"/>
    <w:rsid w:val="005A4521"/>
    <w:rsid w:val="005A4747"/>
    <w:rsid w:val="005A48A3"/>
    <w:rsid w:val="005A58FE"/>
    <w:rsid w:val="005A5E75"/>
    <w:rsid w:val="005A5FB3"/>
    <w:rsid w:val="005A6AB8"/>
    <w:rsid w:val="005A79A0"/>
    <w:rsid w:val="005B06B9"/>
    <w:rsid w:val="005B1AE2"/>
    <w:rsid w:val="005B1D9F"/>
    <w:rsid w:val="005B3686"/>
    <w:rsid w:val="005B4235"/>
    <w:rsid w:val="005B48B9"/>
    <w:rsid w:val="005B5435"/>
    <w:rsid w:val="005B5CC7"/>
    <w:rsid w:val="005B5D32"/>
    <w:rsid w:val="005B7385"/>
    <w:rsid w:val="005B73D6"/>
    <w:rsid w:val="005B78B6"/>
    <w:rsid w:val="005B7F1F"/>
    <w:rsid w:val="005C15E2"/>
    <w:rsid w:val="005C1C9D"/>
    <w:rsid w:val="005C27F6"/>
    <w:rsid w:val="005C35CB"/>
    <w:rsid w:val="005C3F35"/>
    <w:rsid w:val="005C4376"/>
    <w:rsid w:val="005C46C2"/>
    <w:rsid w:val="005C5A32"/>
    <w:rsid w:val="005C67AD"/>
    <w:rsid w:val="005C7022"/>
    <w:rsid w:val="005C7048"/>
    <w:rsid w:val="005C711A"/>
    <w:rsid w:val="005C7736"/>
    <w:rsid w:val="005D0528"/>
    <w:rsid w:val="005D0591"/>
    <w:rsid w:val="005D10E1"/>
    <w:rsid w:val="005D11A9"/>
    <w:rsid w:val="005D1D54"/>
    <w:rsid w:val="005D2C65"/>
    <w:rsid w:val="005D30F9"/>
    <w:rsid w:val="005D4E49"/>
    <w:rsid w:val="005D4F94"/>
    <w:rsid w:val="005D57FC"/>
    <w:rsid w:val="005D6AA0"/>
    <w:rsid w:val="005D7625"/>
    <w:rsid w:val="005E210B"/>
    <w:rsid w:val="005E4817"/>
    <w:rsid w:val="005E5313"/>
    <w:rsid w:val="005E5C40"/>
    <w:rsid w:val="005E5FD6"/>
    <w:rsid w:val="005E7208"/>
    <w:rsid w:val="005F036D"/>
    <w:rsid w:val="005F05BE"/>
    <w:rsid w:val="005F09B9"/>
    <w:rsid w:val="005F0A8F"/>
    <w:rsid w:val="005F1095"/>
    <w:rsid w:val="005F150B"/>
    <w:rsid w:val="005F1C01"/>
    <w:rsid w:val="005F1E61"/>
    <w:rsid w:val="005F20AA"/>
    <w:rsid w:val="005F277B"/>
    <w:rsid w:val="005F2805"/>
    <w:rsid w:val="005F2E00"/>
    <w:rsid w:val="005F39A8"/>
    <w:rsid w:val="005F39C0"/>
    <w:rsid w:val="005F4018"/>
    <w:rsid w:val="005F4C96"/>
    <w:rsid w:val="005F4EFF"/>
    <w:rsid w:val="005F52F5"/>
    <w:rsid w:val="005F5AD4"/>
    <w:rsid w:val="005F5D6F"/>
    <w:rsid w:val="005F7AA5"/>
    <w:rsid w:val="005F7B9F"/>
    <w:rsid w:val="005F7BE6"/>
    <w:rsid w:val="0060111F"/>
    <w:rsid w:val="00601254"/>
    <w:rsid w:val="00602306"/>
    <w:rsid w:val="00602404"/>
    <w:rsid w:val="00602C56"/>
    <w:rsid w:val="00603272"/>
    <w:rsid w:val="006044C6"/>
    <w:rsid w:val="00604556"/>
    <w:rsid w:val="00606500"/>
    <w:rsid w:val="00606E92"/>
    <w:rsid w:val="006070FF"/>
    <w:rsid w:val="00607873"/>
    <w:rsid w:val="00610F4B"/>
    <w:rsid w:val="00610F52"/>
    <w:rsid w:val="00611E76"/>
    <w:rsid w:val="0061270A"/>
    <w:rsid w:val="00613B6D"/>
    <w:rsid w:val="00615249"/>
    <w:rsid w:val="006158A6"/>
    <w:rsid w:val="00615F90"/>
    <w:rsid w:val="00616312"/>
    <w:rsid w:val="00616488"/>
    <w:rsid w:val="00620CAA"/>
    <w:rsid w:val="00620F16"/>
    <w:rsid w:val="00621A02"/>
    <w:rsid w:val="00623403"/>
    <w:rsid w:val="00627933"/>
    <w:rsid w:val="00627D71"/>
    <w:rsid w:val="006306EE"/>
    <w:rsid w:val="00630A5D"/>
    <w:rsid w:val="0063107A"/>
    <w:rsid w:val="00631182"/>
    <w:rsid w:val="006316B4"/>
    <w:rsid w:val="00632B79"/>
    <w:rsid w:val="00635A26"/>
    <w:rsid w:val="00635CEF"/>
    <w:rsid w:val="0063655E"/>
    <w:rsid w:val="006368A3"/>
    <w:rsid w:val="00636CBE"/>
    <w:rsid w:val="00636E72"/>
    <w:rsid w:val="006379D7"/>
    <w:rsid w:val="006403C7"/>
    <w:rsid w:val="00640A48"/>
    <w:rsid w:val="006417FA"/>
    <w:rsid w:val="0064196A"/>
    <w:rsid w:val="006422DC"/>
    <w:rsid w:val="00642BD5"/>
    <w:rsid w:val="00642F56"/>
    <w:rsid w:val="006431D1"/>
    <w:rsid w:val="006440C7"/>
    <w:rsid w:val="0064430B"/>
    <w:rsid w:val="006451A9"/>
    <w:rsid w:val="00645210"/>
    <w:rsid w:val="00645E84"/>
    <w:rsid w:val="00646150"/>
    <w:rsid w:val="006470FA"/>
    <w:rsid w:val="00647118"/>
    <w:rsid w:val="00647905"/>
    <w:rsid w:val="0065284B"/>
    <w:rsid w:val="0065376E"/>
    <w:rsid w:val="00653F6C"/>
    <w:rsid w:val="006559F6"/>
    <w:rsid w:val="00655DDB"/>
    <w:rsid w:val="00656A27"/>
    <w:rsid w:val="00656B8B"/>
    <w:rsid w:val="006604E6"/>
    <w:rsid w:val="00660FF6"/>
    <w:rsid w:val="0066231A"/>
    <w:rsid w:val="00662FF2"/>
    <w:rsid w:val="00663760"/>
    <w:rsid w:val="00663BA5"/>
    <w:rsid w:val="00664085"/>
    <w:rsid w:val="00664596"/>
    <w:rsid w:val="0066573E"/>
    <w:rsid w:val="0066685B"/>
    <w:rsid w:val="00666ACE"/>
    <w:rsid w:val="006672A8"/>
    <w:rsid w:val="0066760D"/>
    <w:rsid w:val="00667666"/>
    <w:rsid w:val="00667E56"/>
    <w:rsid w:val="00670BA3"/>
    <w:rsid w:val="006711DB"/>
    <w:rsid w:val="00671CDE"/>
    <w:rsid w:val="00672229"/>
    <w:rsid w:val="00672280"/>
    <w:rsid w:val="00672361"/>
    <w:rsid w:val="00673991"/>
    <w:rsid w:val="00676915"/>
    <w:rsid w:val="00677910"/>
    <w:rsid w:val="00677915"/>
    <w:rsid w:val="00677A34"/>
    <w:rsid w:val="006800C7"/>
    <w:rsid w:val="0068153E"/>
    <w:rsid w:val="006817B1"/>
    <w:rsid w:val="00681F1E"/>
    <w:rsid w:val="0068274B"/>
    <w:rsid w:val="00682ED6"/>
    <w:rsid w:val="006834F0"/>
    <w:rsid w:val="00683C63"/>
    <w:rsid w:val="006846B2"/>
    <w:rsid w:val="00684D49"/>
    <w:rsid w:val="00684DBB"/>
    <w:rsid w:val="00685A6E"/>
    <w:rsid w:val="00686FBD"/>
    <w:rsid w:val="00687174"/>
    <w:rsid w:val="006871C0"/>
    <w:rsid w:val="006871CE"/>
    <w:rsid w:val="006874A7"/>
    <w:rsid w:val="00690594"/>
    <w:rsid w:val="00690DA9"/>
    <w:rsid w:val="0069225D"/>
    <w:rsid w:val="006929A3"/>
    <w:rsid w:val="00692CC8"/>
    <w:rsid w:val="0069310A"/>
    <w:rsid w:val="00693574"/>
    <w:rsid w:val="00694091"/>
    <w:rsid w:val="006942C7"/>
    <w:rsid w:val="00694513"/>
    <w:rsid w:val="00695114"/>
    <w:rsid w:val="0069581A"/>
    <w:rsid w:val="00697087"/>
    <w:rsid w:val="006974E7"/>
    <w:rsid w:val="006A03A9"/>
    <w:rsid w:val="006A06FE"/>
    <w:rsid w:val="006A0724"/>
    <w:rsid w:val="006A07D6"/>
    <w:rsid w:val="006A13D7"/>
    <w:rsid w:val="006A1709"/>
    <w:rsid w:val="006A23F6"/>
    <w:rsid w:val="006A27B8"/>
    <w:rsid w:val="006A31CA"/>
    <w:rsid w:val="006A4060"/>
    <w:rsid w:val="006A56C2"/>
    <w:rsid w:val="006A69AF"/>
    <w:rsid w:val="006A6A76"/>
    <w:rsid w:val="006A762D"/>
    <w:rsid w:val="006B026D"/>
    <w:rsid w:val="006B03D8"/>
    <w:rsid w:val="006B0B7A"/>
    <w:rsid w:val="006B1A4F"/>
    <w:rsid w:val="006B22B3"/>
    <w:rsid w:val="006B2EEE"/>
    <w:rsid w:val="006B32B6"/>
    <w:rsid w:val="006B3F5A"/>
    <w:rsid w:val="006B4F13"/>
    <w:rsid w:val="006B5470"/>
    <w:rsid w:val="006B672D"/>
    <w:rsid w:val="006B768D"/>
    <w:rsid w:val="006B7DB8"/>
    <w:rsid w:val="006C0355"/>
    <w:rsid w:val="006C2303"/>
    <w:rsid w:val="006C31AA"/>
    <w:rsid w:val="006C3413"/>
    <w:rsid w:val="006C369B"/>
    <w:rsid w:val="006C3AF8"/>
    <w:rsid w:val="006C49F0"/>
    <w:rsid w:val="006C4BEA"/>
    <w:rsid w:val="006C4C8C"/>
    <w:rsid w:val="006C4D46"/>
    <w:rsid w:val="006C5970"/>
    <w:rsid w:val="006C6B88"/>
    <w:rsid w:val="006C7515"/>
    <w:rsid w:val="006D12D7"/>
    <w:rsid w:val="006D17C5"/>
    <w:rsid w:val="006D1CA0"/>
    <w:rsid w:val="006D3A62"/>
    <w:rsid w:val="006D4B88"/>
    <w:rsid w:val="006D4E99"/>
    <w:rsid w:val="006D5C5E"/>
    <w:rsid w:val="006D6206"/>
    <w:rsid w:val="006D77E2"/>
    <w:rsid w:val="006E1C35"/>
    <w:rsid w:val="006E306E"/>
    <w:rsid w:val="006E30BF"/>
    <w:rsid w:val="006E3D7B"/>
    <w:rsid w:val="006E4916"/>
    <w:rsid w:val="006E73EF"/>
    <w:rsid w:val="006E7538"/>
    <w:rsid w:val="006E768D"/>
    <w:rsid w:val="006E7AA0"/>
    <w:rsid w:val="006F06A3"/>
    <w:rsid w:val="006F10B6"/>
    <w:rsid w:val="006F1EBE"/>
    <w:rsid w:val="006F331B"/>
    <w:rsid w:val="006F33CA"/>
    <w:rsid w:val="006F3E81"/>
    <w:rsid w:val="006F5D77"/>
    <w:rsid w:val="006F5FD7"/>
    <w:rsid w:val="006F6B3B"/>
    <w:rsid w:val="006F7232"/>
    <w:rsid w:val="006F74F9"/>
    <w:rsid w:val="00700532"/>
    <w:rsid w:val="0070061F"/>
    <w:rsid w:val="00701261"/>
    <w:rsid w:val="00704828"/>
    <w:rsid w:val="00704CBB"/>
    <w:rsid w:val="007051CB"/>
    <w:rsid w:val="007053BA"/>
    <w:rsid w:val="007066D8"/>
    <w:rsid w:val="007068AB"/>
    <w:rsid w:val="00706E37"/>
    <w:rsid w:val="00707657"/>
    <w:rsid w:val="007106B0"/>
    <w:rsid w:val="00711010"/>
    <w:rsid w:val="007115F2"/>
    <w:rsid w:val="00711C86"/>
    <w:rsid w:val="00714EF8"/>
    <w:rsid w:val="00715450"/>
    <w:rsid w:val="00716A38"/>
    <w:rsid w:val="00717372"/>
    <w:rsid w:val="007174CE"/>
    <w:rsid w:val="0072062C"/>
    <w:rsid w:val="00721089"/>
    <w:rsid w:val="007213FD"/>
    <w:rsid w:val="00721426"/>
    <w:rsid w:val="00721F05"/>
    <w:rsid w:val="00722137"/>
    <w:rsid w:val="00723498"/>
    <w:rsid w:val="0072387E"/>
    <w:rsid w:val="00724EBF"/>
    <w:rsid w:val="007250D7"/>
    <w:rsid w:val="007254FF"/>
    <w:rsid w:val="00726E44"/>
    <w:rsid w:val="0072723C"/>
    <w:rsid w:val="0072737A"/>
    <w:rsid w:val="007275A5"/>
    <w:rsid w:val="00727B25"/>
    <w:rsid w:val="00727C51"/>
    <w:rsid w:val="00727DDC"/>
    <w:rsid w:val="00727FDC"/>
    <w:rsid w:val="00730367"/>
    <w:rsid w:val="007306E0"/>
    <w:rsid w:val="00730FE8"/>
    <w:rsid w:val="00731605"/>
    <w:rsid w:val="00731F2B"/>
    <w:rsid w:val="007323A6"/>
    <w:rsid w:val="00732EF4"/>
    <w:rsid w:val="0073335C"/>
    <w:rsid w:val="00733506"/>
    <w:rsid w:val="00734684"/>
    <w:rsid w:val="00734861"/>
    <w:rsid w:val="0073489A"/>
    <w:rsid w:val="007349A7"/>
    <w:rsid w:val="00734D4B"/>
    <w:rsid w:val="00734F0A"/>
    <w:rsid w:val="00736465"/>
    <w:rsid w:val="00736962"/>
    <w:rsid w:val="00737963"/>
    <w:rsid w:val="0074015B"/>
    <w:rsid w:val="007401A8"/>
    <w:rsid w:val="007405FE"/>
    <w:rsid w:val="007410E6"/>
    <w:rsid w:val="0074149E"/>
    <w:rsid w:val="00741CB5"/>
    <w:rsid w:val="00741F50"/>
    <w:rsid w:val="0074240F"/>
    <w:rsid w:val="00742F18"/>
    <w:rsid w:val="00743974"/>
    <w:rsid w:val="00743B62"/>
    <w:rsid w:val="007448F5"/>
    <w:rsid w:val="00744EE1"/>
    <w:rsid w:val="00745AA3"/>
    <w:rsid w:val="00746179"/>
    <w:rsid w:val="00746243"/>
    <w:rsid w:val="00747341"/>
    <w:rsid w:val="00747F68"/>
    <w:rsid w:val="00750677"/>
    <w:rsid w:val="00751C3D"/>
    <w:rsid w:val="007520EF"/>
    <w:rsid w:val="00752188"/>
    <w:rsid w:val="00752488"/>
    <w:rsid w:val="007532C2"/>
    <w:rsid w:val="007539A5"/>
    <w:rsid w:val="007542F9"/>
    <w:rsid w:val="007557A7"/>
    <w:rsid w:val="0075747B"/>
    <w:rsid w:val="00757B2D"/>
    <w:rsid w:val="00760251"/>
    <w:rsid w:val="007604F7"/>
    <w:rsid w:val="00761C54"/>
    <w:rsid w:val="00762B46"/>
    <w:rsid w:val="00762E49"/>
    <w:rsid w:val="00763129"/>
    <w:rsid w:val="0076315B"/>
    <w:rsid w:val="007631EA"/>
    <w:rsid w:val="00763574"/>
    <w:rsid w:val="0076376A"/>
    <w:rsid w:val="00764369"/>
    <w:rsid w:val="00764921"/>
    <w:rsid w:val="00765050"/>
    <w:rsid w:val="00765309"/>
    <w:rsid w:val="00765C7F"/>
    <w:rsid w:val="00765C93"/>
    <w:rsid w:val="00765F88"/>
    <w:rsid w:val="00766408"/>
    <w:rsid w:val="00766A52"/>
    <w:rsid w:val="0076741F"/>
    <w:rsid w:val="00771557"/>
    <w:rsid w:val="00772334"/>
    <w:rsid w:val="007729F7"/>
    <w:rsid w:val="007737BD"/>
    <w:rsid w:val="00774648"/>
    <w:rsid w:val="00774F3C"/>
    <w:rsid w:val="0077548D"/>
    <w:rsid w:val="0078053E"/>
    <w:rsid w:val="00781083"/>
    <w:rsid w:val="00781490"/>
    <w:rsid w:val="00781B90"/>
    <w:rsid w:val="00781C9D"/>
    <w:rsid w:val="0078308C"/>
    <w:rsid w:val="007849FD"/>
    <w:rsid w:val="007859D0"/>
    <w:rsid w:val="00785A77"/>
    <w:rsid w:val="007862D2"/>
    <w:rsid w:val="0078684D"/>
    <w:rsid w:val="0078696C"/>
    <w:rsid w:val="00786A6C"/>
    <w:rsid w:val="00786C92"/>
    <w:rsid w:val="007876F3"/>
    <w:rsid w:val="007878B3"/>
    <w:rsid w:val="00790244"/>
    <w:rsid w:val="0079069B"/>
    <w:rsid w:val="0079110D"/>
    <w:rsid w:val="00792FC6"/>
    <w:rsid w:val="00793D98"/>
    <w:rsid w:val="00793DEC"/>
    <w:rsid w:val="00794941"/>
    <w:rsid w:val="00794A39"/>
    <w:rsid w:val="00795379"/>
    <w:rsid w:val="0079578E"/>
    <w:rsid w:val="0079581C"/>
    <w:rsid w:val="00795D7D"/>
    <w:rsid w:val="007966FA"/>
    <w:rsid w:val="00796CD6"/>
    <w:rsid w:val="00796EE1"/>
    <w:rsid w:val="00797850"/>
    <w:rsid w:val="007A0057"/>
    <w:rsid w:val="007A0C97"/>
    <w:rsid w:val="007A116F"/>
    <w:rsid w:val="007A170A"/>
    <w:rsid w:val="007A17B4"/>
    <w:rsid w:val="007A219F"/>
    <w:rsid w:val="007A22DF"/>
    <w:rsid w:val="007A2CAB"/>
    <w:rsid w:val="007A3106"/>
    <w:rsid w:val="007A3222"/>
    <w:rsid w:val="007A434C"/>
    <w:rsid w:val="007A4BD8"/>
    <w:rsid w:val="007A50C0"/>
    <w:rsid w:val="007A5F8C"/>
    <w:rsid w:val="007A6BB1"/>
    <w:rsid w:val="007A6DC0"/>
    <w:rsid w:val="007A73AD"/>
    <w:rsid w:val="007A77D0"/>
    <w:rsid w:val="007A7912"/>
    <w:rsid w:val="007B0B60"/>
    <w:rsid w:val="007B0C22"/>
    <w:rsid w:val="007B2F7C"/>
    <w:rsid w:val="007B364A"/>
    <w:rsid w:val="007B3E84"/>
    <w:rsid w:val="007B445A"/>
    <w:rsid w:val="007B4819"/>
    <w:rsid w:val="007B6030"/>
    <w:rsid w:val="007B7014"/>
    <w:rsid w:val="007B7313"/>
    <w:rsid w:val="007B77BC"/>
    <w:rsid w:val="007B7BC0"/>
    <w:rsid w:val="007C0FC1"/>
    <w:rsid w:val="007C1AF1"/>
    <w:rsid w:val="007C3069"/>
    <w:rsid w:val="007C3FCC"/>
    <w:rsid w:val="007C4FE8"/>
    <w:rsid w:val="007D24FE"/>
    <w:rsid w:val="007D2CA7"/>
    <w:rsid w:val="007D3888"/>
    <w:rsid w:val="007D3B85"/>
    <w:rsid w:val="007D60B0"/>
    <w:rsid w:val="007D6730"/>
    <w:rsid w:val="007D674D"/>
    <w:rsid w:val="007D6D0E"/>
    <w:rsid w:val="007D7186"/>
    <w:rsid w:val="007D7574"/>
    <w:rsid w:val="007D7959"/>
    <w:rsid w:val="007E0826"/>
    <w:rsid w:val="007E2182"/>
    <w:rsid w:val="007E238E"/>
    <w:rsid w:val="007E26A1"/>
    <w:rsid w:val="007E2A09"/>
    <w:rsid w:val="007E2D14"/>
    <w:rsid w:val="007E310F"/>
    <w:rsid w:val="007E3279"/>
    <w:rsid w:val="007E4B4B"/>
    <w:rsid w:val="007E4DB7"/>
    <w:rsid w:val="007E51BC"/>
    <w:rsid w:val="007E6A40"/>
    <w:rsid w:val="007E7842"/>
    <w:rsid w:val="007F0646"/>
    <w:rsid w:val="007F07EA"/>
    <w:rsid w:val="007F0E14"/>
    <w:rsid w:val="007F230E"/>
    <w:rsid w:val="007F2E51"/>
    <w:rsid w:val="007F3DD8"/>
    <w:rsid w:val="007F5442"/>
    <w:rsid w:val="007F5DAA"/>
    <w:rsid w:val="007F609C"/>
    <w:rsid w:val="007F6209"/>
    <w:rsid w:val="007F7EE4"/>
    <w:rsid w:val="00800104"/>
    <w:rsid w:val="0080074F"/>
    <w:rsid w:val="00800D3E"/>
    <w:rsid w:val="00800FB0"/>
    <w:rsid w:val="0080129A"/>
    <w:rsid w:val="00801616"/>
    <w:rsid w:val="00803120"/>
    <w:rsid w:val="0080352F"/>
    <w:rsid w:val="0080397A"/>
    <w:rsid w:val="0080573D"/>
    <w:rsid w:val="0080693D"/>
    <w:rsid w:val="0080726F"/>
    <w:rsid w:val="00807F34"/>
    <w:rsid w:val="0081069F"/>
    <w:rsid w:val="00811D8C"/>
    <w:rsid w:val="0081271A"/>
    <w:rsid w:val="0081339A"/>
    <w:rsid w:val="0081362D"/>
    <w:rsid w:val="00813F98"/>
    <w:rsid w:val="00814903"/>
    <w:rsid w:val="00814915"/>
    <w:rsid w:val="008150D4"/>
    <w:rsid w:val="00815323"/>
    <w:rsid w:val="00815B47"/>
    <w:rsid w:val="00816EB5"/>
    <w:rsid w:val="00817423"/>
    <w:rsid w:val="008174A6"/>
    <w:rsid w:val="00817AD0"/>
    <w:rsid w:val="00817F8A"/>
    <w:rsid w:val="00820EAC"/>
    <w:rsid w:val="008226A7"/>
    <w:rsid w:val="00823476"/>
    <w:rsid w:val="008235B1"/>
    <w:rsid w:val="008241B2"/>
    <w:rsid w:val="008246FA"/>
    <w:rsid w:val="008248A2"/>
    <w:rsid w:val="00824C88"/>
    <w:rsid w:val="008257AE"/>
    <w:rsid w:val="00826BFA"/>
    <w:rsid w:val="00827380"/>
    <w:rsid w:val="00827BAB"/>
    <w:rsid w:val="00827F61"/>
    <w:rsid w:val="00827FBB"/>
    <w:rsid w:val="00830206"/>
    <w:rsid w:val="0083031F"/>
    <w:rsid w:val="0083055A"/>
    <w:rsid w:val="0083236C"/>
    <w:rsid w:val="008328A1"/>
    <w:rsid w:val="00832C87"/>
    <w:rsid w:val="00833032"/>
    <w:rsid w:val="00833589"/>
    <w:rsid w:val="0083383E"/>
    <w:rsid w:val="00833BC7"/>
    <w:rsid w:val="00834291"/>
    <w:rsid w:val="0083447F"/>
    <w:rsid w:val="0083522E"/>
    <w:rsid w:val="008358EC"/>
    <w:rsid w:val="008368E0"/>
    <w:rsid w:val="00836BC8"/>
    <w:rsid w:val="00836FC3"/>
    <w:rsid w:val="00837F24"/>
    <w:rsid w:val="0084068E"/>
    <w:rsid w:val="008421E2"/>
    <w:rsid w:val="0084242A"/>
    <w:rsid w:val="008429BE"/>
    <w:rsid w:val="00844268"/>
    <w:rsid w:val="008445B3"/>
    <w:rsid w:val="0084535F"/>
    <w:rsid w:val="00845E43"/>
    <w:rsid w:val="00846A3A"/>
    <w:rsid w:val="00846D3C"/>
    <w:rsid w:val="00851069"/>
    <w:rsid w:val="0085107A"/>
    <w:rsid w:val="00851882"/>
    <w:rsid w:val="0085201E"/>
    <w:rsid w:val="008527A8"/>
    <w:rsid w:val="00852B80"/>
    <w:rsid w:val="008534E6"/>
    <w:rsid w:val="00853B3F"/>
    <w:rsid w:val="00853F28"/>
    <w:rsid w:val="00855C6C"/>
    <w:rsid w:val="00855F8C"/>
    <w:rsid w:val="008562DC"/>
    <w:rsid w:val="00856682"/>
    <w:rsid w:val="00856734"/>
    <w:rsid w:val="00856B5B"/>
    <w:rsid w:val="00857201"/>
    <w:rsid w:val="00857444"/>
    <w:rsid w:val="008601B5"/>
    <w:rsid w:val="008605E6"/>
    <w:rsid w:val="008612B3"/>
    <w:rsid w:val="0086282E"/>
    <w:rsid w:val="008633D0"/>
    <w:rsid w:val="00864307"/>
    <w:rsid w:val="00864A64"/>
    <w:rsid w:val="00864B21"/>
    <w:rsid w:val="00864DCD"/>
    <w:rsid w:val="00865658"/>
    <w:rsid w:val="008657D8"/>
    <w:rsid w:val="00865A1A"/>
    <w:rsid w:val="00866097"/>
    <w:rsid w:val="00866874"/>
    <w:rsid w:val="00867D2C"/>
    <w:rsid w:val="00870942"/>
    <w:rsid w:val="0087113F"/>
    <w:rsid w:val="00871150"/>
    <w:rsid w:val="0087377C"/>
    <w:rsid w:val="00874263"/>
    <w:rsid w:val="00874446"/>
    <w:rsid w:val="00877352"/>
    <w:rsid w:val="00880796"/>
    <w:rsid w:val="00880888"/>
    <w:rsid w:val="008816E0"/>
    <w:rsid w:val="00881996"/>
    <w:rsid w:val="00882121"/>
    <w:rsid w:val="0088212C"/>
    <w:rsid w:val="00883E56"/>
    <w:rsid w:val="008848A1"/>
    <w:rsid w:val="008852C0"/>
    <w:rsid w:val="00885B67"/>
    <w:rsid w:val="00885E5F"/>
    <w:rsid w:val="00886710"/>
    <w:rsid w:val="00887C0C"/>
    <w:rsid w:val="00887F54"/>
    <w:rsid w:val="00890153"/>
    <w:rsid w:val="008904DB"/>
    <w:rsid w:val="0089181E"/>
    <w:rsid w:val="00891C4A"/>
    <w:rsid w:val="00891CEC"/>
    <w:rsid w:val="008923AE"/>
    <w:rsid w:val="0089263B"/>
    <w:rsid w:val="00892A78"/>
    <w:rsid w:val="0089381E"/>
    <w:rsid w:val="00893F48"/>
    <w:rsid w:val="008942B9"/>
    <w:rsid w:val="00895453"/>
    <w:rsid w:val="00896B1D"/>
    <w:rsid w:val="0089724E"/>
    <w:rsid w:val="0089783D"/>
    <w:rsid w:val="00897F72"/>
    <w:rsid w:val="008A02B9"/>
    <w:rsid w:val="008A093F"/>
    <w:rsid w:val="008A0C99"/>
    <w:rsid w:val="008A0F04"/>
    <w:rsid w:val="008A113A"/>
    <w:rsid w:val="008A1384"/>
    <w:rsid w:val="008A141A"/>
    <w:rsid w:val="008A15C1"/>
    <w:rsid w:val="008A1E30"/>
    <w:rsid w:val="008A35EE"/>
    <w:rsid w:val="008A3A54"/>
    <w:rsid w:val="008A3B11"/>
    <w:rsid w:val="008A3B96"/>
    <w:rsid w:val="008A406E"/>
    <w:rsid w:val="008A451D"/>
    <w:rsid w:val="008A4F0A"/>
    <w:rsid w:val="008A5B46"/>
    <w:rsid w:val="008A73A3"/>
    <w:rsid w:val="008B0441"/>
    <w:rsid w:val="008B0600"/>
    <w:rsid w:val="008B0D77"/>
    <w:rsid w:val="008B14FF"/>
    <w:rsid w:val="008B2F27"/>
    <w:rsid w:val="008B389B"/>
    <w:rsid w:val="008B3C52"/>
    <w:rsid w:val="008B49E5"/>
    <w:rsid w:val="008B4C9E"/>
    <w:rsid w:val="008B5064"/>
    <w:rsid w:val="008B5698"/>
    <w:rsid w:val="008B6ED5"/>
    <w:rsid w:val="008B76CB"/>
    <w:rsid w:val="008B79D8"/>
    <w:rsid w:val="008C0A57"/>
    <w:rsid w:val="008C0C95"/>
    <w:rsid w:val="008C0D2D"/>
    <w:rsid w:val="008C1B3E"/>
    <w:rsid w:val="008C269A"/>
    <w:rsid w:val="008C27FC"/>
    <w:rsid w:val="008C3094"/>
    <w:rsid w:val="008C3461"/>
    <w:rsid w:val="008C3A02"/>
    <w:rsid w:val="008C3C3E"/>
    <w:rsid w:val="008C3DB0"/>
    <w:rsid w:val="008C43DF"/>
    <w:rsid w:val="008C4D93"/>
    <w:rsid w:val="008C5397"/>
    <w:rsid w:val="008C53F5"/>
    <w:rsid w:val="008C5C5B"/>
    <w:rsid w:val="008C7B58"/>
    <w:rsid w:val="008D0541"/>
    <w:rsid w:val="008D1881"/>
    <w:rsid w:val="008D188E"/>
    <w:rsid w:val="008D1CFB"/>
    <w:rsid w:val="008D1E20"/>
    <w:rsid w:val="008D2D25"/>
    <w:rsid w:val="008D3690"/>
    <w:rsid w:val="008D3726"/>
    <w:rsid w:val="008D3F58"/>
    <w:rsid w:val="008D4254"/>
    <w:rsid w:val="008D45D1"/>
    <w:rsid w:val="008D49D4"/>
    <w:rsid w:val="008D54E5"/>
    <w:rsid w:val="008D5782"/>
    <w:rsid w:val="008D5E74"/>
    <w:rsid w:val="008D60E5"/>
    <w:rsid w:val="008D6209"/>
    <w:rsid w:val="008D665E"/>
    <w:rsid w:val="008D743B"/>
    <w:rsid w:val="008D7D4B"/>
    <w:rsid w:val="008E11D1"/>
    <w:rsid w:val="008E1F3E"/>
    <w:rsid w:val="008E1F58"/>
    <w:rsid w:val="008E27D6"/>
    <w:rsid w:val="008E29AC"/>
    <w:rsid w:val="008E37DC"/>
    <w:rsid w:val="008E43CB"/>
    <w:rsid w:val="008E4E53"/>
    <w:rsid w:val="008E6239"/>
    <w:rsid w:val="008E66E6"/>
    <w:rsid w:val="008E6FAF"/>
    <w:rsid w:val="008E7B16"/>
    <w:rsid w:val="008F135F"/>
    <w:rsid w:val="008F1502"/>
    <w:rsid w:val="008F1B3B"/>
    <w:rsid w:val="008F1F28"/>
    <w:rsid w:val="008F20DB"/>
    <w:rsid w:val="008F2422"/>
    <w:rsid w:val="008F2554"/>
    <w:rsid w:val="008F29A6"/>
    <w:rsid w:val="008F4C44"/>
    <w:rsid w:val="008F5C70"/>
    <w:rsid w:val="008F69AC"/>
    <w:rsid w:val="008F6FDF"/>
    <w:rsid w:val="008F73C1"/>
    <w:rsid w:val="008F790D"/>
    <w:rsid w:val="008F7D32"/>
    <w:rsid w:val="008F7ED1"/>
    <w:rsid w:val="00900484"/>
    <w:rsid w:val="00900533"/>
    <w:rsid w:val="00901D19"/>
    <w:rsid w:val="00901F45"/>
    <w:rsid w:val="009024C7"/>
    <w:rsid w:val="00902BB7"/>
    <w:rsid w:val="009039C8"/>
    <w:rsid w:val="009040FA"/>
    <w:rsid w:val="0090496A"/>
    <w:rsid w:val="0090521A"/>
    <w:rsid w:val="00905253"/>
    <w:rsid w:val="009053B0"/>
    <w:rsid w:val="009058F6"/>
    <w:rsid w:val="00910F45"/>
    <w:rsid w:val="0091108D"/>
    <w:rsid w:val="00911164"/>
    <w:rsid w:val="00911CF4"/>
    <w:rsid w:val="009125A2"/>
    <w:rsid w:val="00913081"/>
    <w:rsid w:val="00914771"/>
    <w:rsid w:val="009151D7"/>
    <w:rsid w:val="00915B88"/>
    <w:rsid w:val="0091622F"/>
    <w:rsid w:val="00916AF6"/>
    <w:rsid w:val="00917274"/>
    <w:rsid w:val="009209DD"/>
    <w:rsid w:val="00921C83"/>
    <w:rsid w:val="00922162"/>
    <w:rsid w:val="00922ADB"/>
    <w:rsid w:val="00922C66"/>
    <w:rsid w:val="009237B5"/>
    <w:rsid w:val="00923D4E"/>
    <w:rsid w:val="00925A68"/>
    <w:rsid w:val="00925C48"/>
    <w:rsid w:val="00925E9C"/>
    <w:rsid w:val="00926240"/>
    <w:rsid w:val="009264E5"/>
    <w:rsid w:val="009270E9"/>
    <w:rsid w:val="009306C6"/>
    <w:rsid w:val="00930BF7"/>
    <w:rsid w:val="00930D02"/>
    <w:rsid w:val="009310F9"/>
    <w:rsid w:val="009318B4"/>
    <w:rsid w:val="00931AA5"/>
    <w:rsid w:val="00931CDA"/>
    <w:rsid w:val="00932293"/>
    <w:rsid w:val="00933FBB"/>
    <w:rsid w:val="0093407E"/>
    <w:rsid w:val="00934765"/>
    <w:rsid w:val="00934F52"/>
    <w:rsid w:val="00935EFA"/>
    <w:rsid w:val="00937829"/>
    <w:rsid w:val="00940473"/>
    <w:rsid w:val="00940FDF"/>
    <w:rsid w:val="00941674"/>
    <w:rsid w:val="009425AF"/>
    <w:rsid w:val="00942739"/>
    <w:rsid w:val="00942761"/>
    <w:rsid w:val="00945749"/>
    <w:rsid w:val="009465B4"/>
    <w:rsid w:val="00947AE7"/>
    <w:rsid w:val="00950934"/>
    <w:rsid w:val="00950E3C"/>
    <w:rsid w:val="00953304"/>
    <w:rsid w:val="0095407B"/>
    <w:rsid w:val="00954CFB"/>
    <w:rsid w:val="00955EE0"/>
    <w:rsid w:val="00956666"/>
    <w:rsid w:val="0095695F"/>
    <w:rsid w:val="00956FB4"/>
    <w:rsid w:val="00957091"/>
    <w:rsid w:val="009574A1"/>
    <w:rsid w:val="00957A6E"/>
    <w:rsid w:val="00960803"/>
    <w:rsid w:val="00960A82"/>
    <w:rsid w:val="009612B8"/>
    <w:rsid w:val="00961474"/>
    <w:rsid w:val="00961B71"/>
    <w:rsid w:val="00962521"/>
    <w:rsid w:val="009626EA"/>
    <w:rsid w:val="0096273D"/>
    <w:rsid w:val="00962AA3"/>
    <w:rsid w:val="00963497"/>
    <w:rsid w:val="009637FA"/>
    <w:rsid w:val="00963DC7"/>
    <w:rsid w:val="009654B4"/>
    <w:rsid w:val="009656BD"/>
    <w:rsid w:val="009658CA"/>
    <w:rsid w:val="0096596F"/>
    <w:rsid w:val="00966CA9"/>
    <w:rsid w:val="00967C5A"/>
    <w:rsid w:val="00967EC9"/>
    <w:rsid w:val="009700B5"/>
    <w:rsid w:val="00970A70"/>
    <w:rsid w:val="00970C58"/>
    <w:rsid w:val="0097150B"/>
    <w:rsid w:val="00971ABE"/>
    <w:rsid w:val="00972987"/>
    <w:rsid w:val="00973A21"/>
    <w:rsid w:val="00973CDA"/>
    <w:rsid w:val="00977471"/>
    <w:rsid w:val="009777A2"/>
    <w:rsid w:val="00977D3C"/>
    <w:rsid w:val="00977E0F"/>
    <w:rsid w:val="009807EA"/>
    <w:rsid w:val="009814CF"/>
    <w:rsid w:val="00981635"/>
    <w:rsid w:val="00981B46"/>
    <w:rsid w:val="00981D75"/>
    <w:rsid w:val="009820C4"/>
    <w:rsid w:val="0098249E"/>
    <w:rsid w:val="00983BBB"/>
    <w:rsid w:val="00983CD4"/>
    <w:rsid w:val="00983F8E"/>
    <w:rsid w:val="00984C21"/>
    <w:rsid w:val="0098528D"/>
    <w:rsid w:val="00985DBF"/>
    <w:rsid w:val="0098688D"/>
    <w:rsid w:val="00986EB8"/>
    <w:rsid w:val="00986FF7"/>
    <w:rsid w:val="00987B57"/>
    <w:rsid w:val="00990497"/>
    <w:rsid w:val="009914E7"/>
    <w:rsid w:val="009915F5"/>
    <w:rsid w:val="00991AB3"/>
    <w:rsid w:val="00991ACE"/>
    <w:rsid w:val="0099296C"/>
    <w:rsid w:val="00993387"/>
    <w:rsid w:val="009933F8"/>
    <w:rsid w:val="00993408"/>
    <w:rsid w:val="009935FB"/>
    <w:rsid w:val="00993922"/>
    <w:rsid w:val="00994608"/>
    <w:rsid w:val="00995809"/>
    <w:rsid w:val="00995C0C"/>
    <w:rsid w:val="00995CDF"/>
    <w:rsid w:val="00995E22"/>
    <w:rsid w:val="00996018"/>
    <w:rsid w:val="009962E1"/>
    <w:rsid w:val="00996311"/>
    <w:rsid w:val="009A041E"/>
    <w:rsid w:val="009A0707"/>
    <w:rsid w:val="009A0E1A"/>
    <w:rsid w:val="009A0EB6"/>
    <w:rsid w:val="009A1324"/>
    <w:rsid w:val="009A160F"/>
    <w:rsid w:val="009A1CF1"/>
    <w:rsid w:val="009A292D"/>
    <w:rsid w:val="009A46FB"/>
    <w:rsid w:val="009A4778"/>
    <w:rsid w:val="009A4DFE"/>
    <w:rsid w:val="009A7059"/>
    <w:rsid w:val="009A757C"/>
    <w:rsid w:val="009A7584"/>
    <w:rsid w:val="009A770A"/>
    <w:rsid w:val="009A7D97"/>
    <w:rsid w:val="009B01F8"/>
    <w:rsid w:val="009B042F"/>
    <w:rsid w:val="009B0AE5"/>
    <w:rsid w:val="009B0D22"/>
    <w:rsid w:val="009B1266"/>
    <w:rsid w:val="009B2800"/>
    <w:rsid w:val="009B362D"/>
    <w:rsid w:val="009B3A29"/>
    <w:rsid w:val="009B3C5E"/>
    <w:rsid w:val="009B3DBD"/>
    <w:rsid w:val="009B4046"/>
    <w:rsid w:val="009B4507"/>
    <w:rsid w:val="009B4A6A"/>
    <w:rsid w:val="009B4E4A"/>
    <w:rsid w:val="009B6738"/>
    <w:rsid w:val="009B70B6"/>
    <w:rsid w:val="009B76F1"/>
    <w:rsid w:val="009B7A06"/>
    <w:rsid w:val="009B7F5D"/>
    <w:rsid w:val="009C0C04"/>
    <w:rsid w:val="009C22D6"/>
    <w:rsid w:val="009C3420"/>
    <w:rsid w:val="009C3C31"/>
    <w:rsid w:val="009C3FD9"/>
    <w:rsid w:val="009C4AD5"/>
    <w:rsid w:val="009C4B38"/>
    <w:rsid w:val="009C5BDB"/>
    <w:rsid w:val="009C5D73"/>
    <w:rsid w:val="009C6BDE"/>
    <w:rsid w:val="009C6D98"/>
    <w:rsid w:val="009C6F28"/>
    <w:rsid w:val="009C7005"/>
    <w:rsid w:val="009C7213"/>
    <w:rsid w:val="009C797F"/>
    <w:rsid w:val="009C7E1F"/>
    <w:rsid w:val="009D0A05"/>
    <w:rsid w:val="009D0E96"/>
    <w:rsid w:val="009D11B2"/>
    <w:rsid w:val="009D15DF"/>
    <w:rsid w:val="009D1AC7"/>
    <w:rsid w:val="009D1F89"/>
    <w:rsid w:val="009D20EA"/>
    <w:rsid w:val="009D6EA4"/>
    <w:rsid w:val="009D7064"/>
    <w:rsid w:val="009D7160"/>
    <w:rsid w:val="009D7695"/>
    <w:rsid w:val="009E13B7"/>
    <w:rsid w:val="009E2467"/>
    <w:rsid w:val="009E25AF"/>
    <w:rsid w:val="009E3214"/>
    <w:rsid w:val="009E3793"/>
    <w:rsid w:val="009E3FBB"/>
    <w:rsid w:val="009E4467"/>
    <w:rsid w:val="009E4473"/>
    <w:rsid w:val="009E4E2B"/>
    <w:rsid w:val="009E4F36"/>
    <w:rsid w:val="009E50B2"/>
    <w:rsid w:val="009E7602"/>
    <w:rsid w:val="009F16A2"/>
    <w:rsid w:val="009F1E77"/>
    <w:rsid w:val="009F2247"/>
    <w:rsid w:val="009F4C5F"/>
    <w:rsid w:val="009F5137"/>
    <w:rsid w:val="009F709C"/>
    <w:rsid w:val="00A00518"/>
    <w:rsid w:val="00A00665"/>
    <w:rsid w:val="00A019C7"/>
    <w:rsid w:val="00A0274B"/>
    <w:rsid w:val="00A02833"/>
    <w:rsid w:val="00A03345"/>
    <w:rsid w:val="00A03410"/>
    <w:rsid w:val="00A039E2"/>
    <w:rsid w:val="00A03C9E"/>
    <w:rsid w:val="00A04AE0"/>
    <w:rsid w:val="00A05414"/>
    <w:rsid w:val="00A055CE"/>
    <w:rsid w:val="00A067A3"/>
    <w:rsid w:val="00A06DA6"/>
    <w:rsid w:val="00A0708D"/>
    <w:rsid w:val="00A079F8"/>
    <w:rsid w:val="00A10393"/>
    <w:rsid w:val="00A10437"/>
    <w:rsid w:val="00A1063C"/>
    <w:rsid w:val="00A11B99"/>
    <w:rsid w:val="00A12534"/>
    <w:rsid w:val="00A12784"/>
    <w:rsid w:val="00A13706"/>
    <w:rsid w:val="00A139C6"/>
    <w:rsid w:val="00A156EF"/>
    <w:rsid w:val="00A2099F"/>
    <w:rsid w:val="00A20E5A"/>
    <w:rsid w:val="00A21376"/>
    <w:rsid w:val="00A21A08"/>
    <w:rsid w:val="00A21AFF"/>
    <w:rsid w:val="00A21D54"/>
    <w:rsid w:val="00A2270D"/>
    <w:rsid w:val="00A23742"/>
    <w:rsid w:val="00A23BAF"/>
    <w:rsid w:val="00A24E3A"/>
    <w:rsid w:val="00A24F1F"/>
    <w:rsid w:val="00A25057"/>
    <w:rsid w:val="00A25065"/>
    <w:rsid w:val="00A25D03"/>
    <w:rsid w:val="00A26581"/>
    <w:rsid w:val="00A2664B"/>
    <w:rsid w:val="00A2717D"/>
    <w:rsid w:val="00A275CA"/>
    <w:rsid w:val="00A27DAB"/>
    <w:rsid w:val="00A30080"/>
    <w:rsid w:val="00A300FB"/>
    <w:rsid w:val="00A30BA1"/>
    <w:rsid w:val="00A31289"/>
    <w:rsid w:val="00A3267A"/>
    <w:rsid w:val="00A32B19"/>
    <w:rsid w:val="00A33A50"/>
    <w:rsid w:val="00A33BBE"/>
    <w:rsid w:val="00A3436B"/>
    <w:rsid w:val="00A348F5"/>
    <w:rsid w:val="00A34F08"/>
    <w:rsid w:val="00A36034"/>
    <w:rsid w:val="00A3618E"/>
    <w:rsid w:val="00A362E0"/>
    <w:rsid w:val="00A364B5"/>
    <w:rsid w:val="00A36CFD"/>
    <w:rsid w:val="00A37692"/>
    <w:rsid w:val="00A37D24"/>
    <w:rsid w:val="00A40470"/>
    <w:rsid w:val="00A405B7"/>
    <w:rsid w:val="00A42FF2"/>
    <w:rsid w:val="00A43B6D"/>
    <w:rsid w:val="00A44268"/>
    <w:rsid w:val="00A443EB"/>
    <w:rsid w:val="00A44421"/>
    <w:rsid w:val="00A4461E"/>
    <w:rsid w:val="00A46361"/>
    <w:rsid w:val="00A46FCA"/>
    <w:rsid w:val="00A4717D"/>
    <w:rsid w:val="00A47270"/>
    <w:rsid w:val="00A47B09"/>
    <w:rsid w:val="00A522F9"/>
    <w:rsid w:val="00A528F3"/>
    <w:rsid w:val="00A53459"/>
    <w:rsid w:val="00A57057"/>
    <w:rsid w:val="00A5798D"/>
    <w:rsid w:val="00A57C5A"/>
    <w:rsid w:val="00A608C1"/>
    <w:rsid w:val="00A6104D"/>
    <w:rsid w:val="00A6205C"/>
    <w:rsid w:val="00A6217E"/>
    <w:rsid w:val="00A62F7B"/>
    <w:rsid w:val="00A63525"/>
    <w:rsid w:val="00A63C37"/>
    <w:rsid w:val="00A63D70"/>
    <w:rsid w:val="00A642E0"/>
    <w:rsid w:val="00A6508D"/>
    <w:rsid w:val="00A65FEC"/>
    <w:rsid w:val="00A67405"/>
    <w:rsid w:val="00A67941"/>
    <w:rsid w:val="00A67ADA"/>
    <w:rsid w:val="00A71699"/>
    <w:rsid w:val="00A71EEB"/>
    <w:rsid w:val="00A7330E"/>
    <w:rsid w:val="00A73929"/>
    <w:rsid w:val="00A744F3"/>
    <w:rsid w:val="00A74BD5"/>
    <w:rsid w:val="00A7523B"/>
    <w:rsid w:val="00A75330"/>
    <w:rsid w:val="00A7611A"/>
    <w:rsid w:val="00A76A99"/>
    <w:rsid w:val="00A7783C"/>
    <w:rsid w:val="00A77BDF"/>
    <w:rsid w:val="00A77C30"/>
    <w:rsid w:val="00A81B03"/>
    <w:rsid w:val="00A823F9"/>
    <w:rsid w:val="00A82481"/>
    <w:rsid w:val="00A8257C"/>
    <w:rsid w:val="00A83A8E"/>
    <w:rsid w:val="00A83CBE"/>
    <w:rsid w:val="00A847BF"/>
    <w:rsid w:val="00A84B54"/>
    <w:rsid w:val="00A84EBA"/>
    <w:rsid w:val="00A86283"/>
    <w:rsid w:val="00A90B2E"/>
    <w:rsid w:val="00A90C42"/>
    <w:rsid w:val="00A90E6D"/>
    <w:rsid w:val="00A915E9"/>
    <w:rsid w:val="00A9240C"/>
    <w:rsid w:val="00A92909"/>
    <w:rsid w:val="00A93BB4"/>
    <w:rsid w:val="00A9423A"/>
    <w:rsid w:val="00A9485D"/>
    <w:rsid w:val="00A94EC5"/>
    <w:rsid w:val="00A95DC7"/>
    <w:rsid w:val="00A96AB3"/>
    <w:rsid w:val="00A973E9"/>
    <w:rsid w:val="00A97451"/>
    <w:rsid w:val="00AA0238"/>
    <w:rsid w:val="00AA064A"/>
    <w:rsid w:val="00AA2030"/>
    <w:rsid w:val="00AA2301"/>
    <w:rsid w:val="00AA37F7"/>
    <w:rsid w:val="00AA3910"/>
    <w:rsid w:val="00AA40CD"/>
    <w:rsid w:val="00AA44BA"/>
    <w:rsid w:val="00AA49D1"/>
    <w:rsid w:val="00AA4EDA"/>
    <w:rsid w:val="00AA65F8"/>
    <w:rsid w:val="00AA6E4E"/>
    <w:rsid w:val="00AA7780"/>
    <w:rsid w:val="00AA79F4"/>
    <w:rsid w:val="00AB049D"/>
    <w:rsid w:val="00AB0BE1"/>
    <w:rsid w:val="00AB1235"/>
    <w:rsid w:val="00AB1393"/>
    <w:rsid w:val="00AB1EC9"/>
    <w:rsid w:val="00AB2B71"/>
    <w:rsid w:val="00AB396C"/>
    <w:rsid w:val="00AB4320"/>
    <w:rsid w:val="00AB4A3F"/>
    <w:rsid w:val="00AB4F72"/>
    <w:rsid w:val="00AB5156"/>
    <w:rsid w:val="00AB5B28"/>
    <w:rsid w:val="00AB6A90"/>
    <w:rsid w:val="00AB6D18"/>
    <w:rsid w:val="00AC1533"/>
    <w:rsid w:val="00AC19B8"/>
    <w:rsid w:val="00AC2166"/>
    <w:rsid w:val="00AC28B3"/>
    <w:rsid w:val="00AC3350"/>
    <w:rsid w:val="00AC48ED"/>
    <w:rsid w:val="00AC5026"/>
    <w:rsid w:val="00AC6E27"/>
    <w:rsid w:val="00AC706B"/>
    <w:rsid w:val="00AC73DA"/>
    <w:rsid w:val="00AD0796"/>
    <w:rsid w:val="00AD0B76"/>
    <w:rsid w:val="00AD1CC1"/>
    <w:rsid w:val="00AD33E4"/>
    <w:rsid w:val="00AD4106"/>
    <w:rsid w:val="00AD52EE"/>
    <w:rsid w:val="00AD6069"/>
    <w:rsid w:val="00AD6926"/>
    <w:rsid w:val="00AD6D24"/>
    <w:rsid w:val="00AD7ACB"/>
    <w:rsid w:val="00AE032A"/>
    <w:rsid w:val="00AE034C"/>
    <w:rsid w:val="00AE1661"/>
    <w:rsid w:val="00AE1710"/>
    <w:rsid w:val="00AE1BDA"/>
    <w:rsid w:val="00AE2E42"/>
    <w:rsid w:val="00AE399B"/>
    <w:rsid w:val="00AE3F13"/>
    <w:rsid w:val="00AE43AB"/>
    <w:rsid w:val="00AE4BE1"/>
    <w:rsid w:val="00AE4F70"/>
    <w:rsid w:val="00AE54AF"/>
    <w:rsid w:val="00AE5B4D"/>
    <w:rsid w:val="00AE75D0"/>
    <w:rsid w:val="00AF020D"/>
    <w:rsid w:val="00AF06D1"/>
    <w:rsid w:val="00AF1825"/>
    <w:rsid w:val="00AF1A5C"/>
    <w:rsid w:val="00AF24D7"/>
    <w:rsid w:val="00AF3516"/>
    <w:rsid w:val="00AF37E4"/>
    <w:rsid w:val="00AF39E1"/>
    <w:rsid w:val="00AF42C4"/>
    <w:rsid w:val="00AF4C61"/>
    <w:rsid w:val="00AF5756"/>
    <w:rsid w:val="00AF625B"/>
    <w:rsid w:val="00B001AB"/>
    <w:rsid w:val="00B00DE2"/>
    <w:rsid w:val="00B01126"/>
    <w:rsid w:val="00B01233"/>
    <w:rsid w:val="00B0140C"/>
    <w:rsid w:val="00B01D94"/>
    <w:rsid w:val="00B01FF6"/>
    <w:rsid w:val="00B02148"/>
    <w:rsid w:val="00B02427"/>
    <w:rsid w:val="00B040B1"/>
    <w:rsid w:val="00B04590"/>
    <w:rsid w:val="00B04EE8"/>
    <w:rsid w:val="00B04FC5"/>
    <w:rsid w:val="00B05380"/>
    <w:rsid w:val="00B062DA"/>
    <w:rsid w:val="00B07094"/>
    <w:rsid w:val="00B07311"/>
    <w:rsid w:val="00B11DF9"/>
    <w:rsid w:val="00B1255E"/>
    <w:rsid w:val="00B12CEA"/>
    <w:rsid w:val="00B13203"/>
    <w:rsid w:val="00B13895"/>
    <w:rsid w:val="00B15A6F"/>
    <w:rsid w:val="00B163AA"/>
    <w:rsid w:val="00B16A16"/>
    <w:rsid w:val="00B171D0"/>
    <w:rsid w:val="00B2003C"/>
    <w:rsid w:val="00B200B0"/>
    <w:rsid w:val="00B21BC2"/>
    <w:rsid w:val="00B21D70"/>
    <w:rsid w:val="00B2247C"/>
    <w:rsid w:val="00B24632"/>
    <w:rsid w:val="00B24ABC"/>
    <w:rsid w:val="00B25C3A"/>
    <w:rsid w:val="00B26151"/>
    <w:rsid w:val="00B2628A"/>
    <w:rsid w:val="00B26C7C"/>
    <w:rsid w:val="00B27BE1"/>
    <w:rsid w:val="00B30BDD"/>
    <w:rsid w:val="00B31EEA"/>
    <w:rsid w:val="00B324AA"/>
    <w:rsid w:val="00B32E12"/>
    <w:rsid w:val="00B34584"/>
    <w:rsid w:val="00B34B54"/>
    <w:rsid w:val="00B35FBE"/>
    <w:rsid w:val="00B36A9F"/>
    <w:rsid w:val="00B3757F"/>
    <w:rsid w:val="00B41517"/>
    <w:rsid w:val="00B41FE3"/>
    <w:rsid w:val="00B4232A"/>
    <w:rsid w:val="00B44439"/>
    <w:rsid w:val="00B44BF4"/>
    <w:rsid w:val="00B451EA"/>
    <w:rsid w:val="00B4578B"/>
    <w:rsid w:val="00B459DD"/>
    <w:rsid w:val="00B46780"/>
    <w:rsid w:val="00B46B17"/>
    <w:rsid w:val="00B4779D"/>
    <w:rsid w:val="00B50C7C"/>
    <w:rsid w:val="00B51330"/>
    <w:rsid w:val="00B51E38"/>
    <w:rsid w:val="00B53630"/>
    <w:rsid w:val="00B54483"/>
    <w:rsid w:val="00B54CD1"/>
    <w:rsid w:val="00B54E97"/>
    <w:rsid w:val="00B5588B"/>
    <w:rsid w:val="00B5599F"/>
    <w:rsid w:val="00B55A38"/>
    <w:rsid w:val="00B55FC4"/>
    <w:rsid w:val="00B5613A"/>
    <w:rsid w:val="00B619C7"/>
    <w:rsid w:val="00B619F8"/>
    <w:rsid w:val="00B6216F"/>
    <w:rsid w:val="00B62B2E"/>
    <w:rsid w:val="00B63228"/>
    <w:rsid w:val="00B63FCC"/>
    <w:rsid w:val="00B642E0"/>
    <w:rsid w:val="00B644CF"/>
    <w:rsid w:val="00B6573B"/>
    <w:rsid w:val="00B65F54"/>
    <w:rsid w:val="00B71BBD"/>
    <w:rsid w:val="00B724AC"/>
    <w:rsid w:val="00B72792"/>
    <w:rsid w:val="00B72F5C"/>
    <w:rsid w:val="00B73C80"/>
    <w:rsid w:val="00B7538F"/>
    <w:rsid w:val="00B76696"/>
    <w:rsid w:val="00B77196"/>
    <w:rsid w:val="00B777AE"/>
    <w:rsid w:val="00B77FCF"/>
    <w:rsid w:val="00B80083"/>
    <w:rsid w:val="00B818BF"/>
    <w:rsid w:val="00B81A16"/>
    <w:rsid w:val="00B81F26"/>
    <w:rsid w:val="00B824CA"/>
    <w:rsid w:val="00B828FC"/>
    <w:rsid w:val="00B83772"/>
    <w:rsid w:val="00B83CF8"/>
    <w:rsid w:val="00B84F41"/>
    <w:rsid w:val="00B8507F"/>
    <w:rsid w:val="00B85669"/>
    <w:rsid w:val="00B86A95"/>
    <w:rsid w:val="00B86B9D"/>
    <w:rsid w:val="00B8705F"/>
    <w:rsid w:val="00B8791F"/>
    <w:rsid w:val="00B90631"/>
    <w:rsid w:val="00B90D2F"/>
    <w:rsid w:val="00B90EFD"/>
    <w:rsid w:val="00B91AD6"/>
    <w:rsid w:val="00B91EA1"/>
    <w:rsid w:val="00B9228C"/>
    <w:rsid w:val="00B923EB"/>
    <w:rsid w:val="00B92DBB"/>
    <w:rsid w:val="00B92F9C"/>
    <w:rsid w:val="00B943B7"/>
    <w:rsid w:val="00B95C01"/>
    <w:rsid w:val="00B95D29"/>
    <w:rsid w:val="00B96361"/>
    <w:rsid w:val="00B9683C"/>
    <w:rsid w:val="00B96DCB"/>
    <w:rsid w:val="00BA030A"/>
    <w:rsid w:val="00BA1316"/>
    <w:rsid w:val="00BA14DA"/>
    <w:rsid w:val="00BA1A39"/>
    <w:rsid w:val="00BA310E"/>
    <w:rsid w:val="00BA3B90"/>
    <w:rsid w:val="00BA3D8E"/>
    <w:rsid w:val="00BA4239"/>
    <w:rsid w:val="00BA4249"/>
    <w:rsid w:val="00BA6AC8"/>
    <w:rsid w:val="00BA6BC5"/>
    <w:rsid w:val="00BA7B0A"/>
    <w:rsid w:val="00BB1143"/>
    <w:rsid w:val="00BB122F"/>
    <w:rsid w:val="00BB21C7"/>
    <w:rsid w:val="00BB2990"/>
    <w:rsid w:val="00BB2BAE"/>
    <w:rsid w:val="00BB3056"/>
    <w:rsid w:val="00BB3F4A"/>
    <w:rsid w:val="00BB3FF0"/>
    <w:rsid w:val="00BB4C86"/>
    <w:rsid w:val="00BB5191"/>
    <w:rsid w:val="00BB5B17"/>
    <w:rsid w:val="00BB5B52"/>
    <w:rsid w:val="00BB6E62"/>
    <w:rsid w:val="00BB7335"/>
    <w:rsid w:val="00BC0429"/>
    <w:rsid w:val="00BC0607"/>
    <w:rsid w:val="00BC0AD4"/>
    <w:rsid w:val="00BC0D33"/>
    <w:rsid w:val="00BC162A"/>
    <w:rsid w:val="00BC1949"/>
    <w:rsid w:val="00BC2E0A"/>
    <w:rsid w:val="00BC3F31"/>
    <w:rsid w:val="00BC4365"/>
    <w:rsid w:val="00BC4BBF"/>
    <w:rsid w:val="00BC4F2D"/>
    <w:rsid w:val="00BC5BAF"/>
    <w:rsid w:val="00BC5E2B"/>
    <w:rsid w:val="00BC64BE"/>
    <w:rsid w:val="00BC66F7"/>
    <w:rsid w:val="00BC6A1E"/>
    <w:rsid w:val="00BC7535"/>
    <w:rsid w:val="00BC7665"/>
    <w:rsid w:val="00BD173D"/>
    <w:rsid w:val="00BD1CCF"/>
    <w:rsid w:val="00BD2126"/>
    <w:rsid w:val="00BD220A"/>
    <w:rsid w:val="00BD2460"/>
    <w:rsid w:val="00BD263D"/>
    <w:rsid w:val="00BD3031"/>
    <w:rsid w:val="00BD3CE2"/>
    <w:rsid w:val="00BD50C3"/>
    <w:rsid w:val="00BD50CF"/>
    <w:rsid w:val="00BD567C"/>
    <w:rsid w:val="00BD6885"/>
    <w:rsid w:val="00BD6DA2"/>
    <w:rsid w:val="00BD742D"/>
    <w:rsid w:val="00BE0F73"/>
    <w:rsid w:val="00BE1A33"/>
    <w:rsid w:val="00BE319E"/>
    <w:rsid w:val="00BE367B"/>
    <w:rsid w:val="00BE3D1A"/>
    <w:rsid w:val="00BE3D42"/>
    <w:rsid w:val="00BE4481"/>
    <w:rsid w:val="00BE5ECF"/>
    <w:rsid w:val="00BE7C0C"/>
    <w:rsid w:val="00BF0600"/>
    <w:rsid w:val="00BF1B0D"/>
    <w:rsid w:val="00BF2436"/>
    <w:rsid w:val="00BF2540"/>
    <w:rsid w:val="00BF2726"/>
    <w:rsid w:val="00BF4DFD"/>
    <w:rsid w:val="00BF4E74"/>
    <w:rsid w:val="00BF516A"/>
    <w:rsid w:val="00BF5242"/>
    <w:rsid w:val="00BF5425"/>
    <w:rsid w:val="00BF559B"/>
    <w:rsid w:val="00BF6C50"/>
    <w:rsid w:val="00C00A35"/>
    <w:rsid w:val="00C020AF"/>
    <w:rsid w:val="00C022FB"/>
    <w:rsid w:val="00C02956"/>
    <w:rsid w:val="00C03455"/>
    <w:rsid w:val="00C040F3"/>
    <w:rsid w:val="00C06D80"/>
    <w:rsid w:val="00C06F99"/>
    <w:rsid w:val="00C07709"/>
    <w:rsid w:val="00C1000B"/>
    <w:rsid w:val="00C10A6A"/>
    <w:rsid w:val="00C10D8A"/>
    <w:rsid w:val="00C11015"/>
    <w:rsid w:val="00C1359B"/>
    <w:rsid w:val="00C14A07"/>
    <w:rsid w:val="00C15619"/>
    <w:rsid w:val="00C1588C"/>
    <w:rsid w:val="00C16F72"/>
    <w:rsid w:val="00C17382"/>
    <w:rsid w:val="00C2048B"/>
    <w:rsid w:val="00C212F0"/>
    <w:rsid w:val="00C21BB5"/>
    <w:rsid w:val="00C224BA"/>
    <w:rsid w:val="00C23670"/>
    <w:rsid w:val="00C23C4B"/>
    <w:rsid w:val="00C2486C"/>
    <w:rsid w:val="00C2524E"/>
    <w:rsid w:val="00C257FE"/>
    <w:rsid w:val="00C259FF"/>
    <w:rsid w:val="00C26E30"/>
    <w:rsid w:val="00C3021F"/>
    <w:rsid w:val="00C30A29"/>
    <w:rsid w:val="00C313CF"/>
    <w:rsid w:val="00C3176D"/>
    <w:rsid w:val="00C31C48"/>
    <w:rsid w:val="00C326F4"/>
    <w:rsid w:val="00C32C6C"/>
    <w:rsid w:val="00C33820"/>
    <w:rsid w:val="00C33AA5"/>
    <w:rsid w:val="00C33CC2"/>
    <w:rsid w:val="00C33E98"/>
    <w:rsid w:val="00C340F8"/>
    <w:rsid w:val="00C34322"/>
    <w:rsid w:val="00C3478A"/>
    <w:rsid w:val="00C348BD"/>
    <w:rsid w:val="00C34924"/>
    <w:rsid w:val="00C34954"/>
    <w:rsid w:val="00C34D07"/>
    <w:rsid w:val="00C35808"/>
    <w:rsid w:val="00C359CB"/>
    <w:rsid w:val="00C363ED"/>
    <w:rsid w:val="00C3728C"/>
    <w:rsid w:val="00C379AC"/>
    <w:rsid w:val="00C400E4"/>
    <w:rsid w:val="00C4061D"/>
    <w:rsid w:val="00C40687"/>
    <w:rsid w:val="00C40C50"/>
    <w:rsid w:val="00C41246"/>
    <w:rsid w:val="00C41FF6"/>
    <w:rsid w:val="00C42425"/>
    <w:rsid w:val="00C42CD0"/>
    <w:rsid w:val="00C434E2"/>
    <w:rsid w:val="00C43572"/>
    <w:rsid w:val="00C4437D"/>
    <w:rsid w:val="00C444D4"/>
    <w:rsid w:val="00C4462A"/>
    <w:rsid w:val="00C453CC"/>
    <w:rsid w:val="00C46953"/>
    <w:rsid w:val="00C47E6D"/>
    <w:rsid w:val="00C53953"/>
    <w:rsid w:val="00C5458B"/>
    <w:rsid w:val="00C550C6"/>
    <w:rsid w:val="00C554AC"/>
    <w:rsid w:val="00C562AE"/>
    <w:rsid w:val="00C56736"/>
    <w:rsid w:val="00C56822"/>
    <w:rsid w:val="00C57765"/>
    <w:rsid w:val="00C57FC7"/>
    <w:rsid w:val="00C60FBE"/>
    <w:rsid w:val="00C61FE2"/>
    <w:rsid w:val="00C62746"/>
    <w:rsid w:val="00C63D5C"/>
    <w:rsid w:val="00C642D3"/>
    <w:rsid w:val="00C64C1E"/>
    <w:rsid w:val="00C64C30"/>
    <w:rsid w:val="00C65977"/>
    <w:rsid w:val="00C659E4"/>
    <w:rsid w:val="00C665BA"/>
    <w:rsid w:val="00C665EA"/>
    <w:rsid w:val="00C6691D"/>
    <w:rsid w:val="00C66935"/>
    <w:rsid w:val="00C67260"/>
    <w:rsid w:val="00C67305"/>
    <w:rsid w:val="00C67456"/>
    <w:rsid w:val="00C679B5"/>
    <w:rsid w:val="00C704F6"/>
    <w:rsid w:val="00C71718"/>
    <w:rsid w:val="00C71826"/>
    <w:rsid w:val="00C71E28"/>
    <w:rsid w:val="00C722F1"/>
    <w:rsid w:val="00C73401"/>
    <w:rsid w:val="00C73801"/>
    <w:rsid w:val="00C75078"/>
    <w:rsid w:val="00C750C6"/>
    <w:rsid w:val="00C758A7"/>
    <w:rsid w:val="00C77048"/>
    <w:rsid w:val="00C77B17"/>
    <w:rsid w:val="00C77C65"/>
    <w:rsid w:val="00C803BC"/>
    <w:rsid w:val="00C804A3"/>
    <w:rsid w:val="00C80521"/>
    <w:rsid w:val="00C81116"/>
    <w:rsid w:val="00C814F0"/>
    <w:rsid w:val="00C82D9F"/>
    <w:rsid w:val="00C8313B"/>
    <w:rsid w:val="00C83432"/>
    <w:rsid w:val="00C83825"/>
    <w:rsid w:val="00C843C9"/>
    <w:rsid w:val="00C84546"/>
    <w:rsid w:val="00C84EE9"/>
    <w:rsid w:val="00C85777"/>
    <w:rsid w:val="00C85A38"/>
    <w:rsid w:val="00C85E39"/>
    <w:rsid w:val="00C86433"/>
    <w:rsid w:val="00C866F1"/>
    <w:rsid w:val="00C868B6"/>
    <w:rsid w:val="00C876B9"/>
    <w:rsid w:val="00C90A15"/>
    <w:rsid w:val="00C90A8C"/>
    <w:rsid w:val="00C90BA8"/>
    <w:rsid w:val="00C91D60"/>
    <w:rsid w:val="00C91E56"/>
    <w:rsid w:val="00C93665"/>
    <w:rsid w:val="00C939D0"/>
    <w:rsid w:val="00C93C92"/>
    <w:rsid w:val="00C95F8E"/>
    <w:rsid w:val="00C9710E"/>
    <w:rsid w:val="00C97377"/>
    <w:rsid w:val="00CA0DE4"/>
    <w:rsid w:val="00CA27FB"/>
    <w:rsid w:val="00CA2BEA"/>
    <w:rsid w:val="00CA32EF"/>
    <w:rsid w:val="00CA3C90"/>
    <w:rsid w:val="00CA40F1"/>
    <w:rsid w:val="00CA4206"/>
    <w:rsid w:val="00CA47D9"/>
    <w:rsid w:val="00CA53D4"/>
    <w:rsid w:val="00CA5CA3"/>
    <w:rsid w:val="00CA6AB8"/>
    <w:rsid w:val="00CA7906"/>
    <w:rsid w:val="00CA7D61"/>
    <w:rsid w:val="00CB05AB"/>
    <w:rsid w:val="00CB2E70"/>
    <w:rsid w:val="00CB2EDC"/>
    <w:rsid w:val="00CB3193"/>
    <w:rsid w:val="00CB37E0"/>
    <w:rsid w:val="00CB38A5"/>
    <w:rsid w:val="00CB4777"/>
    <w:rsid w:val="00CB544C"/>
    <w:rsid w:val="00CB54E5"/>
    <w:rsid w:val="00CB5AB8"/>
    <w:rsid w:val="00CB6ADF"/>
    <w:rsid w:val="00CB6EE3"/>
    <w:rsid w:val="00CB6F8B"/>
    <w:rsid w:val="00CB7BEE"/>
    <w:rsid w:val="00CB7F9A"/>
    <w:rsid w:val="00CC09A6"/>
    <w:rsid w:val="00CC0A8F"/>
    <w:rsid w:val="00CC260B"/>
    <w:rsid w:val="00CC38CC"/>
    <w:rsid w:val="00CC39C0"/>
    <w:rsid w:val="00CC4241"/>
    <w:rsid w:val="00CC63CD"/>
    <w:rsid w:val="00CC7940"/>
    <w:rsid w:val="00CC7CDC"/>
    <w:rsid w:val="00CD1239"/>
    <w:rsid w:val="00CD15BB"/>
    <w:rsid w:val="00CD20CB"/>
    <w:rsid w:val="00CD3EFF"/>
    <w:rsid w:val="00CD43CD"/>
    <w:rsid w:val="00CD4942"/>
    <w:rsid w:val="00CD501E"/>
    <w:rsid w:val="00CD5228"/>
    <w:rsid w:val="00CD5D89"/>
    <w:rsid w:val="00CD7203"/>
    <w:rsid w:val="00CD7D9D"/>
    <w:rsid w:val="00CE0141"/>
    <w:rsid w:val="00CE2E28"/>
    <w:rsid w:val="00CE3087"/>
    <w:rsid w:val="00CE35FF"/>
    <w:rsid w:val="00CE434B"/>
    <w:rsid w:val="00CE44FC"/>
    <w:rsid w:val="00CE45A5"/>
    <w:rsid w:val="00CE4FF6"/>
    <w:rsid w:val="00CE5B12"/>
    <w:rsid w:val="00CE633F"/>
    <w:rsid w:val="00CE6D1C"/>
    <w:rsid w:val="00CE70E3"/>
    <w:rsid w:val="00CE72F3"/>
    <w:rsid w:val="00CF0261"/>
    <w:rsid w:val="00CF06A4"/>
    <w:rsid w:val="00CF1747"/>
    <w:rsid w:val="00CF1E7C"/>
    <w:rsid w:val="00CF23FD"/>
    <w:rsid w:val="00CF317D"/>
    <w:rsid w:val="00CF5BE0"/>
    <w:rsid w:val="00CF62B4"/>
    <w:rsid w:val="00CF6442"/>
    <w:rsid w:val="00CF64BA"/>
    <w:rsid w:val="00D00869"/>
    <w:rsid w:val="00D009A5"/>
    <w:rsid w:val="00D00FF8"/>
    <w:rsid w:val="00D013EA"/>
    <w:rsid w:val="00D014DD"/>
    <w:rsid w:val="00D01576"/>
    <w:rsid w:val="00D02920"/>
    <w:rsid w:val="00D02C4B"/>
    <w:rsid w:val="00D03439"/>
    <w:rsid w:val="00D03EA8"/>
    <w:rsid w:val="00D044BA"/>
    <w:rsid w:val="00D04C06"/>
    <w:rsid w:val="00D04C36"/>
    <w:rsid w:val="00D0560A"/>
    <w:rsid w:val="00D05B4F"/>
    <w:rsid w:val="00D0683F"/>
    <w:rsid w:val="00D06F32"/>
    <w:rsid w:val="00D07CE6"/>
    <w:rsid w:val="00D10ED3"/>
    <w:rsid w:val="00D11285"/>
    <w:rsid w:val="00D117CD"/>
    <w:rsid w:val="00D11ACB"/>
    <w:rsid w:val="00D12CB1"/>
    <w:rsid w:val="00D14C29"/>
    <w:rsid w:val="00D14CB8"/>
    <w:rsid w:val="00D152FD"/>
    <w:rsid w:val="00D15F5F"/>
    <w:rsid w:val="00D160BA"/>
    <w:rsid w:val="00D16F9F"/>
    <w:rsid w:val="00D173A9"/>
    <w:rsid w:val="00D17D6F"/>
    <w:rsid w:val="00D2019B"/>
    <w:rsid w:val="00D20BB6"/>
    <w:rsid w:val="00D22519"/>
    <w:rsid w:val="00D22A50"/>
    <w:rsid w:val="00D22D62"/>
    <w:rsid w:val="00D24342"/>
    <w:rsid w:val="00D24538"/>
    <w:rsid w:val="00D24709"/>
    <w:rsid w:val="00D249F9"/>
    <w:rsid w:val="00D2543B"/>
    <w:rsid w:val="00D25959"/>
    <w:rsid w:val="00D2608F"/>
    <w:rsid w:val="00D26773"/>
    <w:rsid w:val="00D31D03"/>
    <w:rsid w:val="00D32A4D"/>
    <w:rsid w:val="00D331B9"/>
    <w:rsid w:val="00D346B5"/>
    <w:rsid w:val="00D3552E"/>
    <w:rsid w:val="00D355C2"/>
    <w:rsid w:val="00D36EC7"/>
    <w:rsid w:val="00D37855"/>
    <w:rsid w:val="00D4049A"/>
    <w:rsid w:val="00D423DA"/>
    <w:rsid w:val="00D42D1B"/>
    <w:rsid w:val="00D43A01"/>
    <w:rsid w:val="00D44106"/>
    <w:rsid w:val="00D44424"/>
    <w:rsid w:val="00D45A44"/>
    <w:rsid w:val="00D45D27"/>
    <w:rsid w:val="00D465E4"/>
    <w:rsid w:val="00D4686F"/>
    <w:rsid w:val="00D46DC7"/>
    <w:rsid w:val="00D471DC"/>
    <w:rsid w:val="00D473C0"/>
    <w:rsid w:val="00D47679"/>
    <w:rsid w:val="00D5219C"/>
    <w:rsid w:val="00D52725"/>
    <w:rsid w:val="00D528D6"/>
    <w:rsid w:val="00D52A89"/>
    <w:rsid w:val="00D52B26"/>
    <w:rsid w:val="00D53616"/>
    <w:rsid w:val="00D539EA"/>
    <w:rsid w:val="00D53E85"/>
    <w:rsid w:val="00D53FBF"/>
    <w:rsid w:val="00D54CB9"/>
    <w:rsid w:val="00D55515"/>
    <w:rsid w:val="00D55860"/>
    <w:rsid w:val="00D560D7"/>
    <w:rsid w:val="00D56795"/>
    <w:rsid w:val="00D57C18"/>
    <w:rsid w:val="00D60A08"/>
    <w:rsid w:val="00D61273"/>
    <w:rsid w:val="00D61F4C"/>
    <w:rsid w:val="00D62080"/>
    <w:rsid w:val="00D6302A"/>
    <w:rsid w:val="00D638EA"/>
    <w:rsid w:val="00D64CD4"/>
    <w:rsid w:val="00D65763"/>
    <w:rsid w:val="00D66D68"/>
    <w:rsid w:val="00D674ED"/>
    <w:rsid w:val="00D67FAD"/>
    <w:rsid w:val="00D70772"/>
    <w:rsid w:val="00D70E2B"/>
    <w:rsid w:val="00D71202"/>
    <w:rsid w:val="00D7139A"/>
    <w:rsid w:val="00D72017"/>
    <w:rsid w:val="00D7300C"/>
    <w:rsid w:val="00D7374C"/>
    <w:rsid w:val="00D73A52"/>
    <w:rsid w:val="00D74AB2"/>
    <w:rsid w:val="00D757F6"/>
    <w:rsid w:val="00D7732A"/>
    <w:rsid w:val="00D77373"/>
    <w:rsid w:val="00D803B0"/>
    <w:rsid w:val="00D8090D"/>
    <w:rsid w:val="00D81062"/>
    <w:rsid w:val="00D824F6"/>
    <w:rsid w:val="00D825FD"/>
    <w:rsid w:val="00D82B94"/>
    <w:rsid w:val="00D83127"/>
    <w:rsid w:val="00D8349B"/>
    <w:rsid w:val="00D83606"/>
    <w:rsid w:val="00D837F8"/>
    <w:rsid w:val="00D84417"/>
    <w:rsid w:val="00D84A13"/>
    <w:rsid w:val="00D85430"/>
    <w:rsid w:val="00D85444"/>
    <w:rsid w:val="00D85B44"/>
    <w:rsid w:val="00D85DEF"/>
    <w:rsid w:val="00D85DFD"/>
    <w:rsid w:val="00D87570"/>
    <w:rsid w:val="00D87C05"/>
    <w:rsid w:val="00D91300"/>
    <w:rsid w:val="00D9228F"/>
    <w:rsid w:val="00D922CF"/>
    <w:rsid w:val="00D94243"/>
    <w:rsid w:val="00D94CF5"/>
    <w:rsid w:val="00D953D5"/>
    <w:rsid w:val="00D96ED2"/>
    <w:rsid w:val="00D97796"/>
    <w:rsid w:val="00DA0BF9"/>
    <w:rsid w:val="00DA1105"/>
    <w:rsid w:val="00DA15B6"/>
    <w:rsid w:val="00DA1AE2"/>
    <w:rsid w:val="00DA24E2"/>
    <w:rsid w:val="00DA25C4"/>
    <w:rsid w:val="00DA3019"/>
    <w:rsid w:val="00DA31D6"/>
    <w:rsid w:val="00DA4059"/>
    <w:rsid w:val="00DA501C"/>
    <w:rsid w:val="00DA57DE"/>
    <w:rsid w:val="00DA6167"/>
    <w:rsid w:val="00DA6450"/>
    <w:rsid w:val="00DA6FDD"/>
    <w:rsid w:val="00DA74D8"/>
    <w:rsid w:val="00DA774C"/>
    <w:rsid w:val="00DA7CF3"/>
    <w:rsid w:val="00DB0947"/>
    <w:rsid w:val="00DB09BB"/>
    <w:rsid w:val="00DB0BFD"/>
    <w:rsid w:val="00DB136E"/>
    <w:rsid w:val="00DB1D68"/>
    <w:rsid w:val="00DB2478"/>
    <w:rsid w:val="00DB3FA3"/>
    <w:rsid w:val="00DB44B4"/>
    <w:rsid w:val="00DB568D"/>
    <w:rsid w:val="00DB59E7"/>
    <w:rsid w:val="00DB5A00"/>
    <w:rsid w:val="00DB64AA"/>
    <w:rsid w:val="00DB64C2"/>
    <w:rsid w:val="00DB7112"/>
    <w:rsid w:val="00DB7CA6"/>
    <w:rsid w:val="00DC0918"/>
    <w:rsid w:val="00DC2176"/>
    <w:rsid w:val="00DC2831"/>
    <w:rsid w:val="00DC31AB"/>
    <w:rsid w:val="00DC3613"/>
    <w:rsid w:val="00DC3955"/>
    <w:rsid w:val="00DC3EFA"/>
    <w:rsid w:val="00DC4902"/>
    <w:rsid w:val="00DC4AED"/>
    <w:rsid w:val="00DC4D20"/>
    <w:rsid w:val="00DC644E"/>
    <w:rsid w:val="00DC70FB"/>
    <w:rsid w:val="00DC7B17"/>
    <w:rsid w:val="00DD003A"/>
    <w:rsid w:val="00DD1755"/>
    <w:rsid w:val="00DD2988"/>
    <w:rsid w:val="00DD2D2F"/>
    <w:rsid w:val="00DD3034"/>
    <w:rsid w:val="00DD348C"/>
    <w:rsid w:val="00DD3AA3"/>
    <w:rsid w:val="00DD4058"/>
    <w:rsid w:val="00DD5C79"/>
    <w:rsid w:val="00DD6A5A"/>
    <w:rsid w:val="00DD7063"/>
    <w:rsid w:val="00DD770D"/>
    <w:rsid w:val="00DD7953"/>
    <w:rsid w:val="00DD7AEF"/>
    <w:rsid w:val="00DD7AFD"/>
    <w:rsid w:val="00DD7F0B"/>
    <w:rsid w:val="00DE03D1"/>
    <w:rsid w:val="00DE06E3"/>
    <w:rsid w:val="00DE1B94"/>
    <w:rsid w:val="00DE1D9A"/>
    <w:rsid w:val="00DE354D"/>
    <w:rsid w:val="00DE46AA"/>
    <w:rsid w:val="00DE4BDD"/>
    <w:rsid w:val="00DE5242"/>
    <w:rsid w:val="00DE587D"/>
    <w:rsid w:val="00DE7941"/>
    <w:rsid w:val="00DF156C"/>
    <w:rsid w:val="00DF1C4A"/>
    <w:rsid w:val="00DF1F4D"/>
    <w:rsid w:val="00DF231A"/>
    <w:rsid w:val="00DF324A"/>
    <w:rsid w:val="00DF374B"/>
    <w:rsid w:val="00DF567D"/>
    <w:rsid w:val="00DF57E7"/>
    <w:rsid w:val="00DF5B0F"/>
    <w:rsid w:val="00DF6A49"/>
    <w:rsid w:val="00DF76A1"/>
    <w:rsid w:val="00E00BB7"/>
    <w:rsid w:val="00E01345"/>
    <w:rsid w:val="00E02675"/>
    <w:rsid w:val="00E02976"/>
    <w:rsid w:val="00E02E36"/>
    <w:rsid w:val="00E03088"/>
    <w:rsid w:val="00E035D3"/>
    <w:rsid w:val="00E0423C"/>
    <w:rsid w:val="00E05A58"/>
    <w:rsid w:val="00E06212"/>
    <w:rsid w:val="00E063EB"/>
    <w:rsid w:val="00E06D9D"/>
    <w:rsid w:val="00E0703E"/>
    <w:rsid w:val="00E10160"/>
    <w:rsid w:val="00E101A6"/>
    <w:rsid w:val="00E10D4B"/>
    <w:rsid w:val="00E110EA"/>
    <w:rsid w:val="00E11439"/>
    <w:rsid w:val="00E11D36"/>
    <w:rsid w:val="00E121BC"/>
    <w:rsid w:val="00E13835"/>
    <w:rsid w:val="00E13D66"/>
    <w:rsid w:val="00E146D8"/>
    <w:rsid w:val="00E148AA"/>
    <w:rsid w:val="00E15237"/>
    <w:rsid w:val="00E16671"/>
    <w:rsid w:val="00E16D4B"/>
    <w:rsid w:val="00E172BD"/>
    <w:rsid w:val="00E17412"/>
    <w:rsid w:val="00E175DF"/>
    <w:rsid w:val="00E17623"/>
    <w:rsid w:val="00E17B30"/>
    <w:rsid w:val="00E17D9A"/>
    <w:rsid w:val="00E20CE8"/>
    <w:rsid w:val="00E21320"/>
    <w:rsid w:val="00E21B52"/>
    <w:rsid w:val="00E21F11"/>
    <w:rsid w:val="00E224C4"/>
    <w:rsid w:val="00E226D3"/>
    <w:rsid w:val="00E22E4F"/>
    <w:rsid w:val="00E22EFB"/>
    <w:rsid w:val="00E23F74"/>
    <w:rsid w:val="00E26167"/>
    <w:rsid w:val="00E263AE"/>
    <w:rsid w:val="00E27C07"/>
    <w:rsid w:val="00E30C61"/>
    <w:rsid w:val="00E312BF"/>
    <w:rsid w:val="00E328F8"/>
    <w:rsid w:val="00E3521F"/>
    <w:rsid w:val="00E36A1F"/>
    <w:rsid w:val="00E36B5A"/>
    <w:rsid w:val="00E376F9"/>
    <w:rsid w:val="00E37FA0"/>
    <w:rsid w:val="00E41079"/>
    <w:rsid w:val="00E413C2"/>
    <w:rsid w:val="00E417B5"/>
    <w:rsid w:val="00E41F2B"/>
    <w:rsid w:val="00E4236F"/>
    <w:rsid w:val="00E42484"/>
    <w:rsid w:val="00E433A5"/>
    <w:rsid w:val="00E43448"/>
    <w:rsid w:val="00E434FF"/>
    <w:rsid w:val="00E447AB"/>
    <w:rsid w:val="00E45167"/>
    <w:rsid w:val="00E4567E"/>
    <w:rsid w:val="00E46A33"/>
    <w:rsid w:val="00E513AC"/>
    <w:rsid w:val="00E516D7"/>
    <w:rsid w:val="00E518DC"/>
    <w:rsid w:val="00E51C09"/>
    <w:rsid w:val="00E534FE"/>
    <w:rsid w:val="00E54408"/>
    <w:rsid w:val="00E54851"/>
    <w:rsid w:val="00E54BDF"/>
    <w:rsid w:val="00E54CA4"/>
    <w:rsid w:val="00E552D8"/>
    <w:rsid w:val="00E55419"/>
    <w:rsid w:val="00E55508"/>
    <w:rsid w:val="00E56307"/>
    <w:rsid w:val="00E5641F"/>
    <w:rsid w:val="00E5642B"/>
    <w:rsid w:val="00E56556"/>
    <w:rsid w:val="00E568C7"/>
    <w:rsid w:val="00E604BE"/>
    <w:rsid w:val="00E60EE2"/>
    <w:rsid w:val="00E6157B"/>
    <w:rsid w:val="00E61966"/>
    <w:rsid w:val="00E61FF4"/>
    <w:rsid w:val="00E62212"/>
    <w:rsid w:val="00E63402"/>
    <w:rsid w:val="00E63E98"/>
    <w:rsid w:val="00E6424A"/>
    <w:rsid w:val="00E64A5A"/>
    <w:rsid w:val="00E64F16"/>
    <w:rsid w:val="00E655F1"/>
    <w:rsid w:val="00E66757"/>
    <w:rsid w:val="00E66F75"/>
    <w:rsid w:val="00E6723E"/>
    <w:rsid w:val="00E700AE"/>
    <w:rsid w:val="00E70E0A"/>
    <w:rsid w:val="00E71E02"/>
    <w:rsid w:val="00E730C3"/>
    <w:rsid w:val="00E73C14"/>
    <w:rsid w:val="00E73D22"/>
    <w:rsid w:val="00E74491"/>
    <w:rsid w:val="00E74956"/>
    <w:rsid w:val="00E74FF6"/>
    <w:rsid w:val="00E760B1"/>
    <w:rsid w:val="00E8013D"/>
    <w:rsid w:val="00E803C1"/>
    <w:rsid w:val="00E80756"/>
    <w:rsid w:val="00E80C01"/>
    <w:rsid w:val="00E81423"/>
    <w:rsid w:val="00E8249A"/>
    <w:rsid w:val="00E82696"/>
    <w:rsid w:val="00E82CDD"/>
    <w:rsid w:val="00E83528"/>
    <w:rsid w:val="00E83537"/>
    <w:rsid w:val="00E84FF6"/>
    <w:rsid w:val="00E851AF"/>
    <w:rsid w:val="00E864CE"/>
    <w:rsid w:val="00E864D6"/>
    <w:rsid w:val="00E86CC3"/>
    <w:rsid w:val="00E877F5"/>
    <w:rsid w:val="00E87CD9"/>
    <w:rsid w:val="00E909C4"/>
    <w:rsid w:val="00E90DFF"/>
    <w:rsid w:val="00E90ED2"/>
    <w:rsid w:val="00E940A8"/>
    <w:rsid w:val="00E94153"/>
    <w:rsid w:val="00E945E6"/>
    <w:rsid w:val="00E9475D"/>
    <w:rsid w:val="00E9572F"/>
    <w:rsid w:val="00E957E1"/>
    <w:rsid w:val="00E95F81"/>
    <w:rsid w:val="00E96015"/>
    <w:rsid w:val="00E9609E"/>
    <w:rsid w:val="00E97B33"/>
    <w:rsid w:val="00EA1526"/>
    <w:rsid w:val="00EA1EFE"/>
    <w:rsid w:val="00EA3997"/>
    <w:rsid w:val="00EA3CA5"/>
    <w:rsid w:val="00EA4E01"/>
    <w:rsid w:val="00EA547C"/>
    <w:rsid w:val="00EA5A97"/>
    <w:rsid w:val="00EA60CE"/>
    <w:rsid w:val="00EA6AD1"/>
    <w:rsid w:val="00EA7BB8"/>
    <w:rsid w:val="00EA7BCE"/>
    <w:rsid w:val="00EA7EE0"/>
    <w:rsid w:val="00EB14D5"/>
    <w:rsid w:val="00EB1DBE"/>
    <w:rsid w:val="00EB1F50"/>
    <w:rsid w:val="00EB275B"/>
    <w:rsid w:val="00EB342D"/>
    <w:rsid w:val="00EB4E45"/>
    <w:rsid w:val="00EB4E6D"/>
    <w:rsid w:val="00EB55B2"/>
    <w:rsid w:val="00EB5CED"/>
    <w:rsid w:val="00EB6263"/>
    <w:rsid w:val="00EC0F9D"/>
    <w:rsid w:val="00EC1666"/>
    <w:rsid w:val="00EC19E5"/>
    <w:rsid w:val="00EC2B7A"/>
    <w:rsid w:val="00EC2D0B"/>
    <w:rsid w:val="00EC2FAD"/>
    <w:rsid w:val="00EC32C0"/>
    <w:rsid w:val="00EC434C"/>
    <w:rsid w:val="00EC517C"/>
    <w:rsid w:val="00EC64D0"/>
    <w:rsid w:val="00EC64ED"/>
    <w:rsid w:val="00EC6D2B"/>
    <w:rsid w:val="00EC7B00"/>
    <w:rsid w:val="00EC7BD7"/>
    <w:rsid w:val="00ED12A8"/>
    <w:rsid w:val="00ED182B"/>
    <w:rsid w:val="00ED305C"/>
    <w:rsid w:val="00ED3C5D"/>
    <w:rsid w:val="00ED4771"/>
    <w:rsid w:val="00ED5777"/>
    <w:rsid w:val="00ED670E"/>
    <w:rsid w:val="00ED751C"/>
    <w:rsid w:val="00EE0279"/>
    <w:rsid w:val="00EE0CFA"/>
    <w:rsid w:val="00EE0EBF"/>
    <w:rsid w:val="00EE0FDE"/>
    <w:rsid w:val="00EE3208"/>
    <w:rsid w:val="00EE38C9"/>
    <w:rsid w:val="00EE3CAF"/>
    <w:rsid w:val="00EE43FE"/>
    <w:rsid w:val="00EE497A"/>
    <w:rsid w:val="00EE4F1A"/>
    <w:rsid w:val="00EE5593"/>
    <w:rsid w:val="00EE65BD"/>
    <w:rsid w:val="00EE6CA2"/>
    <w:rsid w:val="00EE7CC7"/>
    <w:rsid w:val="00EF008E"/>
    <w:rsid w:val="00EF0BA5"/>
    <w:rsid w:val="00EF170B"/>
    <w:rsid w:val="00EF1BB0"/>
    <w:rsid w:val="00EF238F"/>
    <w:rsid w:val="00EF2C10"/>
    <w:rsid w:val="00EF2EA5"/>
    <w:rsid w:val="00EF3D74"/>
    <w:rsid w:val="00EF408D"/>
    <w:rsid w:val="00EF4E84"/>
    <w:rsid w:val="00EF4F99"/>
    <w:rsid w:val="00EF5C9F"/>
    <w:rsid w:val="00EF7D93"/>
    <w:rsid w:val="00F005FB"/>
    <w:rsid w:val="00F00A55"/>
    <w:rsid w:val="00F01AB3"/>
    <w:rsid w:val="00F0228B"/>
    <w:rsid w:val="00F02B56"/>
    <w:rsid w:val="00F03800"/>
    <w:rsid w:val="00F03C3A"/>
    <w:rsid w:val="00F044ED"/>
    <w:rsid w:val="00F04766"/>
    <w:rsid w:val="00F048C0"/>
    <w:rsid w:val="00F04AAB"/>
    <w:rsid w:val="00F05A32"/>
    <w:rsid w:val="00F05EA2"/>
    <w:rsid w:val="00F05F43"/>
    <w:rsid w:val="00F0615B"/>
    <w:rsid w:val="00F07294"/>
    <w:rsid w:val="00F1147B"/>
    <w:rsid w:val="00F116FD"/>
    <w:rsid w:val="00F11983"/>
    <w:rsid w:val="00F12C72"/>
    <w:rsid w:val="00F14164"/>
    <w:rsid w:val="00F141DD"/>
    <w:rsid w:val="00F14ABD"/>
    <w:rsid w:val="00F159F6"/>
    <w:rsid w:val="00F15ADB"/>
    <w:rsid w:val="00F1677E"/>
    <w:rsid w:val="00F16F2E"/>
    <w:rsid w:val="00F173D7"/>
    <w:rsid w:val="00F17407"/>
    <w:rsid w:val="00F2009C"/>
    <w:rsid w:val="00F201B6"/>
    <w:rsid w:val="00F2049C"/>
    <w:rsid w:val="00F208EE"/>
    <w:rsid w:val="00F20F88"/>
    <w:rsid w:val="00F2102D"/>
    <w:rsid w:val="00F213B4"/>
    <w:rsid w:val="00F22EB6"/>
    <w:rsid w:val="00F2308A"/>
    <w:rsid w:val="00F23107"/>
    <w:rsid w:val="00F2324D"/>
    <w:rsid w:val="00F23D6F"/>
    <w:rsid w:val="00F24979"/>
    <w:rsid w:val="00F259F2"/>
    <w:rsid w:val="00F25A64"/>
    <w:rsid w:val="00F2719A"/>
    <w:rsid w:val="00F274C2"/>
    <w:rsid w:val="00F27F98"/>
    <w:rsid w:val="00F302B1"/>
    <w:rsid w:val="00F327A2"/>
    <w:rsid w:val="00F3293F"/>
    <w:rsid w:val="00F3300F"/>
    <w:rsid w:val="00F33998"/>
    <w:rsid w:val="00F34715"/>
    <w:rsid w:val="00F36077"/>
    <w:rsid w:val="00F37130"/>
    <w:rsid w:val="00F3785D"/>
    <w:rsid w:val="00F37FC5"/>
    <w:rsid w:val="00F40A98"/>
    <w:rsid w:val="00F40DF6"/>
    <w:rsid w:val="00F42285"/>
    <w:rsid w:val="00F43F70"/>
    <w:rsid w:val="00F4493E"/>
    <w:rsid w:val="00F4496F"/>
    <w:rsid w:val="00F44FC4"/>
    <w:rsid w:val="00F4605E"/>
    <w:rsid w:val="00F465A7"/>
    <w:rsid w:val="00F46A6D"/>
    <w:rsid w:val="00F47323"/>
    <w:rsid w:val="00F4794B"/>
    <w:rsid w:val="00F513FB"/>
    <w:rsid w:val="00F5195C"/>
    <w:rsid w:val="00F51FC4"/>
    <w:rsid w:val="00F52056"/>
    <w:rsid w:val="00F549D9"/>
    <w:rsid w:val="00F54BFE"/>
    <w:rsid w:val="00F553E4"/>
    <w:rsid w:val="00F55A43"/>
    <w:rsid w:val="00F57504"/>
    <w:rsid w:val="00F578CE"/>
    <w:rsid w:val="00F62F91"/>
    <w:rsid w:val="00F63074"/>
    <w:rsid w:val="00F63AF6"/>
    <w:rsid w:val="00F64793"/>
    <w:rsid w:val="00F657C3"/>
    <w:rsid w:val="00F66794"/>
    <w:rsid w:val="00F66EB4"/>
    <w:rsid w:val="00F6752B"/>
    <w:rsid w:val="00F67F30"/>
    <w:rsid w:val="00F70523"/>
    <w:rsid w:val="00F719E7"/>
    <w:rsid w:val="00F71EF0"/>
    <w:rsid w:val="00F7239D"/>
    <w:rsid w:val="00F7336A"/>
    <w:rsid w:val="00F743B9"/>
    <w:rsid w:val="00F74917"/>
    <w:rsid w:val="00F75D45"/>
    <w:rsid w:val="00F76C80"/>
    <w:rsid w:val="00F77875"/>
    <w:rsid w:val="00F77F15"/>
    <w:rsid w:val="00F801F4"/>
    <w:rsid w:val="00F8023C"/>
    <w:rsid w:val="00F80477"/>
    <w:rsid w:val="00F8143E"/>
    <w:rsid w:val="00F8152D"/>
    <w:rsid w:val="00F817D2"/>
    <w:rsid w:val="00F825B9"/>
    <w:rsid w:val="00F832F2"/>
    <w:rsid w:val="00F83727"/>
    <w:rsid w:val="00F83D50"/>
    <w:rsid w:val="00F84646"/>
    <w:rsid w:val="00F86610"/>
    <w:rsid w:val="00F876D9"/>
    <w:rsid w:val="00F90558"/>
    <w:rsid w:val="00F90A6E"/>
    <w:rsid w:val="00F91680"/>
    <w:rsid w:val="00F92388"/>
    <w:rsid w:val="00F92E2A"/>
    <w:rsid w:val="00F93B31"/>
    <w:rsid w:val="00F945D3"/>
    <w:rsid w:val="00F94819"/>
    <w:rsid w:val="00F95A02"/>
    <w:rsid w:val="00F95A50"/>
    <w:rsid w:val="00F96C62"/>
    <w:rsid w:val="00F97177"/>
    <w:rsid w:val="00F972C9"/>
    <w:rsid w:val="00F97B36"/>
    <w:rsid w:val="00F97C9D"/>
    <w:rsid w:val="00F97F65"/>
    <w:rsid w:val="00FA0E82"/>
    <w:rsid w:val="00FA212D"/>
    <w:rsid w:val="00FA2A9D"/>
    <w:rsid w:val="00FA2DAD"/>
    <w:rsid w:val="00FA31E5"/>
    <w:rsid w:val="00FA39EC"/>
    <w:rsid w:val="00FA722E"/>
    <w:rsid w:val="00FA729D"/>
    <w:rsid w:val="00FB1474"/>
    <w:rsid w:val="00FB26C6"/>
    <w:rsid w:val="00FB2972"/>
    <w:rsid w:val="00FB2CAE"/>
    <w:rsid w:val="00FB2F69"/>
    <w:rsid w:val="00FB314E"/>
    <w:rsid w:val="00FB3305"/>
    <w:rsid w:val="00FB4228"/>
    <w:rsid w:val="00FB44AD"/>
    <w:rsid w:val="00FB4E51"/>
    <w:rsid w:val="00FB5A90"/>
    <w:rsid w:val="00FB5B82"/>
    <w:rsid w:val="00FB77AA"/>
    <w:rsid w:val="00FB799E"/>
    <w:rsid w:val="00FB7A08"/>
    <w:rsid w:val="00FC07EE"/>
    <w:rsid w:val="00FC216C"/>
    <w:rsid w:val="00FC297A"/>
    <w:rsid w:val="00FC2C3B"/>
    <w:rsid w:val="00FC331F"/>
    <w:rsid w:val="00FC4969"/>
    <w:rsid w:val="00FC4D6D"/>
    <w:rsid w:val="00FC5233"/>
    <w:rsid w:val="00FC598A"/>
    <w:rsid w:val="00FC5B0C"/>
    <w:rsid w:val="00FC6253"/>
    <w:rsid w:val="00FC64DC"/>
    <w:rsid w:val="00FC691F"/>
    <w:rsid w:val="00FC7002"/>
    <w:rsid w:val="00FC7E66"/>
    <w:rsid w:val="00FD0201"/>
    <w:rsid w:val="00FD1058"/>
    <w:rsid w:val="00FD11BE"/>
    <w:rsid w:val="00FD1EEC"/>
    <w:rsid w:val="00FD2884"/>
    <w:rsid w:val="00FD2A56"/>
    <w:rsid w:val="00FD2E16"/>
    <w:rsid w:val="00FD2FC0"/>
    <w:rsid w:val="00FD52E0"/>
    <w:rsid w:val="00FD57FE"/>
    <w:rsid w:val="00FD5B75"/>
    <w:rsid w:val="00FD5DBF"/>
    <w:rsid w:val="00FD627E"/>
    <w:rsid w:val="00FD6F62"/>
    <w:rsid w:val="00FD7295"/>
    <w:rsid w:val="00FD74B7"/>
    <w:rsid w:val="00FD7C51"/>
    <w:rsid w:val="00FE0CBB"/>
    <w:rsid w:val="00FE0E31"/>
    <w:rsid w:val="00FE14D3"/>
    <w:rsid w:val="00FE2108"/>
    <w:rsid w:val="00FE3A69"/>
    <w:rsid w:val="00FE4538"/>
    <w:rsid w:val="00FE55E9"/>
    <w:rsid w:val="00FE6A83"/>
    <w:rsid w:val="00FE6B7F"/>
    <w:rsid w:val="00FE6EB6"/>
    <w:rsid w:val="00FE70F0"/>
    <w:rsid w:val="00FF07DE"/>
    <w:rsid w:val="00FF0B75"/>
    <w:rsid w:val="00FF11E1"/>
    <w:rsid w:val="00FF1256"/>
    <w:rsid w:val="00FF1588"/>
    <w:rsid w:val="00FF1CC7"/>
    <w:rsid w:val="00FF1ECC"/>
    <w:rsid w:val="00FF288B"/>
    <w:rsid w:val="00FF31C4"/>
    <w:rsid w:val="00FF3363"/>
    <w:rsid w:val="00FF43E0"/>
    <w:rsid w:val="00FF495C"/>
    <w:rsid w:val="00FF4E02"/>
    <w:rsid w:val="00FF528E"/>
    <w:rsid w:val="00FF52EC"/>
    <w:rsid w:val="00FF600B"/>
    <w:rsid w:val="00FF6CD8"/>
    <w:rsid w:val="00FF6D11"/>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5:docId w15:val="{380889CE-C6B7-46D9-ADF3-D738FAF75F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qFormat="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rsid w:val="00E110EA"/>
    <w:pPr>
      <w:spacing w:before="120" w:after="120"/>
      <w:jc w:val="both"/>
    </w:pPr>
    <w:rPr>
      <w:szCs w:val="19"/>
      <w:lang w:val="cs-CZ"/>
    </w:rPr>
  </w:style>
  <w:style w:type="paragraph" w:styleId="Nadpis1">
    <w:name w:val="heading 1"/>
    <w:basedOn w:val="Normln"/>
    <w:next w:val="Normln"/>
    <w:link w:val="Nadpis1Char"/>
    <w:uiPriority w:val="9"/>
    <w:qFormat/>
    <w:rsid w:val="00E110EA"/>
    <w:pPr>
      <w:keepNext/>
      <w:keepLines/>
      <w:pageBreakBefore/>
      <w:numPr>
        <w:numId w:val="4"/>
      </w:numPr>
      <w:spacing w:after="360"/>
      <w:ind w:left="431" w:hanging="431"/>
      <w:outlineLvl w:val="0"/>
    </w:pPr>
    <w:rPr>
      <w:rFonts w:eastAsiaTheme="majorEastAsia" w:cstheme="majorBidi"/>
      <w:b/>
      <w:bCs/>
      <w:color w:val="2E3192"/>
      <w:sz w:val="28"/>
      <w:szCs w:val="28"/>
    </w:rPr>
  </w:style>
  <w:style w:type="paragraph" w:styleId="Nadpis2">
    <w:name w:val="heading 2"/>
    <w:basedOn w:val="Normln"/>
    <w:next w:val="Normln"/>
    <w:link w:val="Nadpis2Char"/>
    <w:uiPriority w:val="99"/>
    <w:unhideWhenUsed/>
    <w:qFormat/>
    <w:rsid w:val="00E110EA"/>
    <w:pPr>
      <w:keepNext/>
      <w:keepLines/>
      <w:numPr>
        <w:ilvl w:val="1"/>
        <w:numId w:val="4"/>
      </w:numPr>
      <w:spacing w:before="240"/>
      <w:outlineLvl w:val="1"/>
    </w:pPr>
    <w:rPr>
      <w:rFonts w:eastAsiaTheme="majorEastAsia" w:cstheme="majorBidi"/>
      <w:b/>
      <w:bCs/>
      <w:caps/>
      <w:sz w:val="24"/>
      <w:szCs w:val="26"/>
    </w:rPr>
  </w:style>
  <w:style w:type="paragraph" w:styleId="Nadpis3">
    <w:name w:val="heading 3"/>
    <w:basedOn w:val="Normln"/>
    <w:next w:val="Normln"/>
    <w:link w:val="Nadpis3Char"/>
    <w:uiPriority w:val="99"/>
    <w:unhideWhenUsed/>
    <w:qFormat/>
    <w:rsid w:val="004D0FAA"/>
    <w:pPr>
      <w:keepNext/>
      <w:keepLines/>
      <w:numPr>
        <w:ilvl w:val="2"/>
        <w:numId w:val="4"/>
      </w:numPr>
      <w:ind w:left="720"/>
      <w:outlineLvl w:val="2"/>
    </w:pPr>
    <w:rPr>
      <w:rFonts w:ascii="Calibri" w:eastAsiaTheme="majorEastAsia" w:hAnsi="Calibri" w:cstheme="majorBidi"/>
      <w:b/>
      <w:bCs/>
      <w:noProof/>
      <w:lang w:eastAsia="cs-CZ"/>
    </w:rPr>
  </w:style>
  <w:style w:type="paragraph" w:styleId="Nadpis4">
    <w:name w:val="heading 4"/>
    <w:basedOn w:val="Normln"/>
    <w:next w:val="Normln"/>
    <w:link w:val="Nadpis4Char"/>
    <w:uiPriority w:val="99"/>
    <w:unhideWhenUsed/>
    <w:qFormat/>
    <w:rsid w:val="00285353"/>
    <w:pPr>
      <w:keepNext/>
      <w:keepLines/>
      <w:numPr>
        <w:ilvl w:val="3"/>
        <w:numId w:val="4"/>
      </w:numPr>
      <w:spacing w:before="200" w:after="0"/>
      <w:outlineLvl w:val="3"/>
    </w:pPr>
    <w:rPr>
      <w:rFonts w:asciiTheme="majorHAnsi" w:eastAsiaTheme="majorEastAsia" w:hAnsiTheme="majorHAnsi" w:cstheme="majorBidi"/>
      <w:b/>
      <w:bCs/>
      <w:i/>
      <w:iCs/>
      <w:color w:val="4F81BD" w:themeColor="accent1"/>
    </w:rPr>
  </w:style>
  <w:style w:type="paragraph" w:styleId="Nadpis5">
    <w:name w:val="heading 5"/>
    <w:basedOn w:val="Normln"/>
    <w:next w:val="Normln"/>
    <w:link w:val="Nadpis5Char"/>
    <w:unhideWhenUsed/>
    <w:qFormat/>
    <w:rsid w:val="00285353"/>
    <w:pPr>
      <w:keepNext/>
      <w:keepLines/>
      <w:numPr>
        <w:ilvl w:val="4"/>
        <w:numId w:val="4"/>
      </w:numPr>
      <w:spacing w:before="200" w:after="0"/>
      <w:outlineLvl w:val="4"/>
    </w:pPr>
    <w:rPr>
      <w:rFonts w:asciiTheme="majorHAnsi" w:eastAsiaTheme="majorEastAsia" w:hAnsiTheme="majorHAnsi" w:cstheme="majorBidi"/>
      <w:color w:val="243F60" w:themeColor="accent1" w:themeShade="7F"/>
    </w:rPr>
  </w:style>
  <w:style w:type="paragraph" w:styleId="Nadpis6">
    <w:name w:val="heading 6"/>
    <w:basedOn w:val="Normln"/>
    <w:next w:val="Normln"/>
    <w:link w:val="Nadpis6Char"/>
    <w:semiHidden/>
    <w:unhideWhenUsed/>
    <w:qFormat/>
    <w:rsid w:val="00285353"/>
    <w:pPr>
      <w:keepNext/>
      <w:keepLines/>
      <w:numPr>
        <w:ilvl w:val="5"/>
        <w:numId w:val="4"/>
      </w:numPr>
      <w:spacing w:before="200" w:after="0"/>
      <w:outlineLvl w:val="5"/>
    </w:pPr>
    <w:rPr>
      <w:rFonts w:asciiTheme="majorHAnsi" w:eastAsiaTheme="majorEastAsia" w:hAnsiTheme="majorHAnsi" w:cstheme="majorBidi"/>
      <w:i/>
      <w:iCs/>
      <w:color w:val="243F60" w:themeColor="accent1" w:themeShade="7F"/>
    </w:rPr>
  </w:style>
  <w:style w:type="paragraph" w:styleId="Nadpis7">
    <w:name w:val="heading 7"/>
    <w:basedOn w:val="Normln"/>
    <w:next w:val="Normln"/>
    <w:link w:val="Nadpis7Char"/>
    <w:unhideWhenUsed/>
    <w:qFormat/>
    <w:rsid w:val="00285353"/>
    <w:pPr>
      <w:keepNext/>
      <w:keepLines/>
      <w:numPr>
        <w:ilvl w:val="6"/>
        <w:numId w:val="4"/>
      </w:numPr>
      <w:spacing w:before="200" w:after="0"/>
      <w:outlineLvl w:val="6"/>
    </w:pPr>
    <w:rPr>
      <w:rFonts w:asciiTheme="majorHAnsi" w:eastAsiaTheme="majorEastAsia" w:hAnsiTheme="majorHAnsi" w:cstheme="majorBidi"/>
      <w:i/>
      <w:iCs/>
      <w:color w:val="404040" w:themeColor="text1" w:themeTint="BF"/>
    </w:rPr>
  </w:style>
  <w:style w:type="paragraph" w:styleId="Nadpis8">
    <w:name w:val="heading 8"/>
    <w:basedOn w:val="Normln"/>
    <w:next w:val="Normln"/>
    <w:link w:val="Nadpis8Char"/>
    <w:unhideWhenUsed/>
    <w:qFormat/>
    <w:rsid w:val="00285353"/>
    <w:pPr>
      <w:keepNext/>
      <w:keepLines/>
      <w:numPr>
        <w:ilvl w:val="7"/>
        <w:numId w:val="4"/>
      </w:numPr>
      <w:spacing w:before="200" w:after="0"/>
      <w:outlineLvl w:val="7"/>
    </w:pPr>
    <w:rPr>
      <w:rFonts w:asciiTheme="majorHAnsi" w:eastAsiaTheme="majorEastAsia" w:hAnsiTheme="majorHAnsi" w:cstheme="majorBidi"/>
      <w:color w:val="4F81BD" w:themeColor="accent1"/>
      <w:sz w:val="20"/>
      <w:szCs w:val="20"/>
    </w:rPr>
  </w:style>
  <w:style w:type="paragraph" w:styleId="Nadpis9">
    <w:name w:val="heading 9"/>
    <w:basedOn w:val="Graf0"/>
    <w:next w:val="Normln"/>
    <w:link w:val="Nadpis9Char"/>
    <w:unhideWhenUsed/>
    <w:qFormat/>
    <w:rsid w:val="00551164"/>
    <w:pPr>
      <w:outlineLvl w:val="8"/>
    </w:p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486ED9"/>
    <w:pPr>
      <w:tabs>
        <w:tab w:val="center" w:pos="4536"/>
        <w:tab w:val="right" w:pos="9072"/>
      </w:tabs>
      <w:spacing w:line="240" w:lineRule="auto"/>
    </w:pPr>
  </w:style>
  <w:style w:type="character" w:customStyle="1" w:styleId="ZhlavChar">
    <w:name w:val="Záhlaví Char"/>
    <w:basedOn w:val="Standardnpsmoodstavce"/>
    <w:link w:val="Zhlav"/>
    <w:uiPriority w:val="99"/>
    <w:rsid w:val="00486ED9"/>
  </w:style>
  <w:style w:type="paragraph" w:styleId="Zpat">
    <w:name w:val="footer"/>
    <w:basedOn w:val="Normln"/>
    <w:link w:val="ZpatChar"/>
    <w:uiPriority w:val="99"/>
    <w:unhideWhenUsed/>
    <w:rsid w:val="00AE43AB"/>
    <w:pPr>
      <w:tabs>
        <w:tab w:val="center" w:pos="4536"/>
        <w:tab w:val="right" w:pos="9072"/>
      </w:tabs>
      <w:spacing w:line="240" w:lineRule="auto"/>
    </w:pPr>
  </w:style>
  <w:style w:type="character" w:customStyle="1" w:styleId="ZpatChar">
    <w:name w:val="Zápatí Char"/>
    <w:basedOn w:val="Standardnpsmoodstavce"/>
    <w:link w:val="Zpat"/>
    <w:uiPriority w:val="99"/>
    <w:rsid w:val="00AE43AB"/>
    <w:rPr>
      <w:rFonts w:asciiTheme="majorHAnsi" w:hAnsiTheme="majorHAnsi"/>
      <w:sz w:val="20"/>
    </w:rPr>
  </w:style>
  <w:style w:type="table" w:styleId="Mkatabulky">
    <w:name w:val="Table Grid"/>
    <w:basedOn w:val="Normlntabulka"/>
    <w:uiPriority w:val="59"/>
    <w:rsid w:val="00486E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textovodkaz">
    <w:name w:val="Hyperlink"/>
    <w:basedOn w:val="Standardnpsmoodstavce"/>
    <w:uiPriority w:val="99"/>
    <w:unhideWhenUsed/>
    <w:rsid w:val="009B042F"/>
    <w:rPr>
      <w:b w:val="0"/>
      <w:color w:val="auto"/>
      <w:u w:val="single"/>
    </w:rPr>
  </w:style>
  <w:style w:type="character" w:customStyle="1" w:styleId="Nadpis1Char">
    <w:name w:val="Nadpis 1 Char"/>
    <w:basedOn w:val="Standardnpsmoodstavce"/>
    <w:link w:val="Nadpis1"/>
    <w:uiPriority w:val="9"/>
    <w:rsid w:val="00E110EA"/>
    <w:rPr>
      <w:rFonts w:eastAsiaTheme="majorEastAsia" w:cstheme="majorBidi"/>
      <w:b/>
      <w:bCs/>
      <w:color w:val="2E3192"/>
      <w:sz w:val="28"/>
      <w:szCs w:val="28"/>
      <w:lang w:val="cs-CZ"/>
    </w:rPr>
  </w:style>
  <w:style w:type="character" w:customStyle="1" w:styleId="Nadpis2Char">
    <w:name w:val="Nadpis 2 Char"/>
    <w:basedOn w:val="Standardnpsmoodstavce"/>
    <w:link w:val="Nadpis2"/>
    <w:uiPriority w:val="99"/>
    <w:rsid w:val="00E110EA"/>
    <w:rPr>
      <w:rFonts w:eastAsiaTheme="majorEastAsia" w:cstheme="majorBidi"/>
      <w:b/>
      <w:bCs/>
      <w:caps/>
      <w:sz w:val="24"/>
      <w:szCs w:val="26"/>
      <w:lang w:val="cs-CZ"/>
    </w:rPr>
  </w:style>
  <w:style w:type="character" w:customStyle="1" w:styleId="Nadpis3Char">
    <w:name w:val="Nadpis 3 Char"/>
    <w:basedOn w:val="Standardnpsmoodstavce"/>
    <w:link w:val="Nadpis3"/>
    <w:uiPriority w:val="99"/>
    <w:rsid w:val="004D0FAA"/>
    <w:rPr>
      <w:rFonts w:ascii="Calibri" w:eastAsiaTheme="majorEastAsia" w:hAnsi="Calibri" w:cstheme="majorBidi"/>
      <w:b/>
      <w:bCs/>
      <w:noProof/>
      <w:szCs w:val="19"/>
      <w:lang w:val="cs-CZ" w:eastAsia="cs-CZ"/>
    </w:rPr>
  </w:style>
  <w:style w:type="character" w:styleId="Siln">
    <w:name w:val="Strong"/>
    <w:basedOn w:val="Standardnpsmoodstavce"/>
    <w:uiPriority w:val="22"/>
    <w:rsid w:val="00285353"/>
    <w:rPr>
      <w:b/>
      <w:bCs/>
    </w:rPr>
  </w:style>
  <w:style w:type="paragraph" w:customStyle="1" w:styleId="Kaskda0">
    <w:name w:val="Kaskáda ●"/>
    <w:basedOn w:val="Normln"/>
    <w:link w:val="KaskdaChar"/>
    <w:qFormat/>
    <w:rsid w:val="00747F68"/>
    <w:pPr>
      <w:numPr>
        <w:numId w:val="24"/>
      </w:numPr>
      <w:spacing w:before="0" w:after="0"/>
      <w:ind w:left="641" w:hanging="357"/>
    </w:pPr>
  </w:style>
  <w:style w:type="character" w:styleId="Zdraznn">
    <w:name w:val="Emphasis"/>
    <w:basedOn w:val="Standardnpsmoodstavce"/>
    <w:uiPriority w:val="20"/>
    <w:rsid w:val="00285353"/>
    <w:rPr>
      <w:i/>
      <w:iCs/>
    </w:rPr>
  </w:style>
  <w:style w:type="character" w:styleId="Zdraznnintenzivn">
    <w:name w:val="Intense Emphasis"/>
    <w:basedOn w:val="Standardnpsmoodstavce"/>
    <w:uiPriority w:val="21"/>
    <w:rsid w:val="00285353"/>
    <w:rPr>
      <w:b/>
      <w:bCs/>
      <w:i/>
      <w:iCs/>
      <w:color w:val="4F81BD" w:themeColor="accent1"/>
    </w:rPr>
  </w:style>
  <w:style w:type="character" w:customStyle="1" w:styleId="Nadpis4Char">
    <w:name w:val="Nadpis 4 Char"/>
    <w:basedOn w:val="Standardnpsmoodstavce"/>
    <w:link w:val="Nadpis4"/>
    <w:uiPriority w:val="99"/>
    <w:rsid w:val="00285353"/>
    <w:rPr>
      <w:rFonts w:asciiTheme="majorHAnsi" w:eastAsiaTheme="majorEastAsia" w:hAnsiTheme="majorHAnsi" w:cstheme="majorBidi"/>
      <w:b/>
      <w:bCs/>
      <w:i/>
      <w:iCs/>
      <w:color w:val="4F81BD" w:themeColor="accent1"/>
      <w:sz w:val="19"/>
      <w:lang w:val="cs-CZ"/>
    </w:rPr>
  </w:style>
  <w:style w:type="paragraph" w:styleId="Textpoznpodarou">
    <w:name w:val="footnote text"/>
    <w:aliases w:val="Footnote,Text poznámky pod čiarou 007,Text pozn. pod čarou Char2,Text pozn. pod čarou Char Char,Text pozn. pod čarou Char1 Char,Schriftart: 8 pt Char,Text pozn. pod čarou Char1,Schriftart: 8 pt,Geneva 9,f,Schriftart: 9 pt,Boston 10"/>
    <w:basedOn w:val="Normln"/>
    <w:link w:val="TextpoznpodarouChar"/>
    <w:uiPriority w:val="99"/>
    <w:unhideWhenUsed/>
    <w:rsid w:val="00880888"/>
    <w:pPr>
      <w:spacing w:line="240" w:lineRule="auto"/>
    </w:pPr>
    <w:rPr>
      <w:sz w:val="18"/>
      <w:szCs w:val="20"/>
    </w:rPr>
  </w:style>
  <w:style w:type="character" w:customStyle="1" w:styleId="TextpoznpodarouChar">
    <w:name w:val="Text pozn. pod čarou Char"/>
    <w:aliases w:val="Footnote Char,Text poznámky pod čiarou 007 Char,Text pozn. pod čarou Char2 Char,Text pozn. pod čarou Char Char Char,Text pozn. pod čarou Char1 Char Char,Schriftart: 8 pt Char Char,Text pozn. pod čarou Char1 Char1,Geneva 9 Char"/>
    <w:basedOn w:val="Standardnpsmoodstavce"/>
    <w:link w:val="Textpoznpodarou"/>
    <w:uiPriority w:val="99"/>
    <w:rsid w:val="00880888"/>
    <w:rPr>
      <w:rFonts w:asciiTheme="majorHAnsi" w:hAnsiTheme="majorHAnsi"/>
      <w:sz w:val="18"/>
      <w:szCs w:val="20"/>
    </w:rPr>
  </w:style>
  <w:style w:type="character" w:styleId="Znakapoznpodarou">
    <w:name w:val="footnote reference"/>
    <w:aliases w:val="PGI Fußnote Ziffer + Times New Roman,12 b.,Zúžené o ...,PGI Fußnote Ziffer"/>
    <w:basedOn w:val="Standardnpsmoodstavce"/>
    <w:uiPriority w:val="99"/>
    <w:unhideWhenUsed/>
    <w:rsid w:val="00880888"/>
    <w:rPr>
      <w:vertAlign w:val="superscript"/>
    </w:rPr>
  </w:style>
  <w:style w:type="paragraph" w:customStyle="1" w:styleId="Tabulkovtext">
    <w:name w:val="Tabulkový text"/>
    <w:basedOn w:val="Normln"/>
    <w:rsid w:val="00491A42"/>
    <w:pPr>
      <w:suppressAutoHyphens/>
      <w:spacing w:line="240" w:lineRule="auto"/>
    </w:pPr>
  </w:style>
  <w:style w:type="character" w:customStyle="1" w:styleId="Nadpis5Char">
    <w:name w:val="Nadpis 5 Char"/>
    <w:basedOn w:val="Standardnpsmoodstavce"/>
    <w:link w:val="Nadpis5"/>
    <w:rsid w:val="00285353"/>
    <w:rPr>
      <w:rFonts w:asciiTheme="majorHAnsi" w:eastAsiaTheme="majorEastAsia" w:hAnsiTheme="majorHAnsi" w:cstheme="majorBidi"/>
      <w:color w:val="243F60" w:themeColor="accent1" w:themeShade="7F"/>
      <w:sz w:val="19"/>
      <w:lang w:val="cs-CZ"/>
    </w:rPr>
  </w:style>
  <w:style w:type="paragraph" w:styleId="Obsah2">
    <w:name w:val="toc 2"/>
    <w:basedOn w:val="Normln"/>
    <w:next w:val="Normln"/>
    <w:autoRedefine/>
    <w:uiPriority w:val="39"/>
    <w:unhideWhenUsed/>
    <w:rsid w:val="00DA3019"/>
    <w:pPr>
      <w:tabs>
        <w:tab w:val="left" w:pos="454"/>
        <w:tab w:val="right" w:leader="dot" w:pos="10206"/>
      </w:tabs>
      <w:spacing w:after="100"/>
      <w:ind w:left="284"/>
    </w:pPr>
    <w:rPr>
      <w:color w:val="2E3192"/>
    </w:rPr>
  </w:style>
  <w:style w:type="paragraph" w:styleId="Obsah1">
    <w:name w:val="toc 1"/>
    <w:basedOn w:val="Normln"/>
    <w:next w:val="Normln"/>
    <w:autoRedefine/>
    <w:uiPriority w:val="39"/>
    <w:unhideWhenUsed/>
    <w:rsid w:val="00572F00"/>
    <w:pPr>
      <w:tabs>
        <w:tab w:val="left" w:pos="312"/>
        <w:tab w:val="right" w:leader="dot" w:pos="10206"/>
      </w:tabs>
      <w:spacing w:after="100"/>
    </w:pPr>
    <w:rPr>
      <w:noProof/>
      <w:color w:val="2E3192"/>
      <w:szCs w:val="28"/>
    </w:rPr>
  </w:style>
  <w:style w:type="paragraph" w:styleId="Obsah3">
    <w:name w:val="toc 3"/>
    <w:basedOn w:val="Normln"/>
    <w:next w:val="Normln"/>
    <w:autoRedefine/>
    <w:uiPriority w:val="39"/>
    <w:unhideWhenUsed/>
    <w:rsid w:val="00BF516A"/>
    <w:pPr>
      <w:spacing w:after="100"/>
      <w:ind w:left="400"/>
    </w:pPr>
  </w:style>
  <w:style w:type="paragraph" w:customStyle="1" w:styleId="Kaskda">
    <w:name w:val="Kaskáda #"/>
    <w:basedOn w:val="Normln"/>
    <w:link w:val="KaskdaChar0"/>
    <w:qFormat/>
    <w:rsid w:val="000C0BF4"/>
    <w:pPr>
      <w:numPr>
        <w:numId w:val="2"/>
      </w:numPr>
    </w:pPr>
    <w:rPr>
      <w:noProof/>
    </w:rPr>
  </w:style>
  <w:style w:type="numbering" w:customStyle="1" w:styleId="Grafy">
    <w:name w:val="Grafy"/>
    <w:uiPriority w:val="99"/>
    <w:rsid w:val="005644CE"/>
    <w:pPr>
      <w:numPr>
        <w:numId w:val="7"/>
      </w:numPr>
    </w:pPr>
  </w:style>
  <w:style w:type="paragraph" w:styleId="Seznamobrzk">
    <w:name w:val="table of figures"/>
    <w:basedOn w:val="Normln"/>
    <w:next w:val="Normln"/>
    <w:link w:val="SeznamobrzkChar"/>
    <w:uiPriority w:val="99"/>
    <w:unhideWhenUsed/>
    <w:rsid w:val="00572F00"/>
    <w:pPr>
      <w:tabs>
        <w:tab w:val="left" w:pos="1418"/>
        <w:tab w:val="right" w:leader="dot" w:pos="10206"/>
      </w:tabs>
      <w:spacing w:before="0" w:after="0"/>
    </w:pPr>
  </w:style>
  <w:style w:type="paragraph" w:styleId="Textbubliny">
    <w:name w:val="Balloon Text"/>
    <w:basedOn w:val="Normln"/>
    <w:link w:val="TextbublinyChar"/>
    <w:uiPriority w:val="99"/>
    <w:semiHidden/>
    <w:unhideWhenUsed/>
    <w:rsid w:val="00D03439"/>
    <w:pPr>
      <w:spacing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D03439"/>
    <w:rPr>
      <w:rFonts w:ascii="Tahoma" w:hAnsi="Tahoma" w:cs="Tahoma"/>
      <w:sz w:val="16"/>
      <w:szCs w:val="16"/>
    </w:rPr>
  </w:style>
  <w:style w:type="character" w:customStyle="1" w:styleId="Poznmkapodarou">
    <w:name w:val="Poznámka pod čarou_"/>
    <w:basedOn w:val="Standardnpsmoodstavce"/>
    <w:link w:val="Poznmkapodarou0"/>
    <w:rsid w:val="00D03439"/>
    <w:rPr>
      <w:rFonts w:ascii="Arial" w:eastAsia="Arial" w:hAnsi="Arial" w:cs="Arial"/>
      <w:sz w:val="20"/>
      <w:szCs w:val="20"/>
      <w:shd w:val="clear" w:color="auto" w:fill="FFFFFF"/>
    </w:rPr>
  </w:style>
  <w:style w:type="character" w:customStyle="1" w:styleId="ZkladntextVerdana95ptTun">
    <w:name w:val="Základní text + Verdana;9;5 pt;Tučné"/>
    <w:basedOn w:val="Standardnpsmoodstavce"/>
    <w:rsid w:val="00D03439"/>
    <w:rPr>
      <w:rFonts w:ascii="Verdana" w:eastAsia="Verdana" w:hAnsi="Verdana" w:cs="Verdana"/>
      <w:b/>
      <w:bCs/>
      <w:i w:val="0"/>
      <w:iCs w:val="0"/>
      <w:smallCaps w:val="0"/>
      <w:strike w:val="0"/>
      <w:spacing w:val="0"/>
      <w:sz w:val="19"/>
      <w:szCs w:val="19"/>
    </w:rPr>
  </w:style>
  <w:style w:type="paragraph" w:customStyle="1" w:styleId="Poznmkapodarou0">
    <w:name w:val="Poznámka pod čarou"/>
    <w:basedOn w:val="Normln"/>
    <w:link w:val="Poznmkapodarou"/>
    <w:rsid w:val="00D03439"/>
    <w:pPr>
      <w:shd w:val="clear" w:color="auto" w:fill="FFFFFF"/>
      <w:spacing w:line="0" w:lineRule="atLeast"/>
      <w:ind w:hanging="360"/>
    </w:pPr>
    <w:rPr>
      <w:rFonts w:ascii="Arial" w:eastAsia="Arial" w:hAnsi="Arial" w:cs="Arial"/>
      <w:szCs w:val="20"/>
    </w:rPr>
  </w:style>
  <w:style w:type="character" w:customStyle="1" w:styleId="Nadpis7Char">
    <w:name w:val="Nadpis 7 Char"/>
    <w:basedOn w:val="Standardnpsmoodstavce"/>
    <w:link w:val="Nadpis7"/>
    <w:uiPriority w:val="99"/>
    <w:rsid w:val="00285353"/>
    <w:rPr>
      <w:rFonts w:asciiTheme="majorHAnsi" w:eastAsiaTheme="majorEastAsia" w:hAnsiTheme="majorHAnsi" w:cstheme="majorBidi"/>
      <w:i/>
      <w:iCs/>
      <w:color w:val="404040" w:themeColor="text1" w:themeTint="BF"/>
      <w:sz w:val="19"/>
      <w:lang w:val="cs-CZ"/>
    </w:rPr>
  </w:style>
  <w:style w:type="character" w:customStyle="1" w:styleId="Nadpis8Char">
    <w:name w:val="Nadpis 8 Char"/>
    <w:basedOn w:val="Standardnpsmoodstavce"/>
    <w:link w:val="Nadpis8"/>
    <w:uiPriority w:val="99"/>
    <w:rsid w:val="00285353"/>
    <w:rPr>
      <w:rFonts w:asciiTheme="majorHAnsi" w:eastAsiaTheme="majorEastAsia" w:hAnsiTheme="majorHAnsi" w:cstheme="majorBidi"/>
      <w:color w:val="4F81BD" w:themeColor="accent1"/>
      <w:sz w:val="20"/>
      <w:szCs w:val="20"/>
      <w:lang w:val="cs-CZ"/>
    </w:rPr>
  </w:style>
  <w:style w:type="character" w:customStyle="1" w:styleId="Nadpis9Char">
    <w:name w:val="Nadpis 9 Char"/>
    <w:basedOn w:val="Standardnpsmoodstavce"/>
    <w:link w:val="Nadpis9"/>
    <w:rsid w:val="00551164"/>
    <w:rPr>
      <w:rFonts w:eastAsiaTheme="minorHAnsi"/>
      <w:b/>
      <w:szCs w:val="19"/>
      <w:lang w:val="cs-CZ"/>
    </w:rPr>
  </w:style>
  <w:style w:type="paragraph" w:styleId="Nzev">
    <w:name w:val="Title"/>
    <w:basedOn w:val="Normln"/>
    <w:next w:val="Normln"/>
    <w:link w:val="NzevChar"/>
    <w:uiPriority w:val="10"/>
    <w:qFormat/>
    <w:rsid w:val="0028535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NzevChar">
    <w:name w:val="Název Char"/>
    <w:basedOn w:val="Standardnpsmoodstavce"/>
    <w:link w:val="Nzev"/>
    <w:uiPriority w:val="10"/>
    <w:rsid w:val="00285353"/>
    <w:rPr>
      <w:rFonts w:asciiTheme="majorHAnsi" w:eastAsiaTheme="majorEastAsia" w:hAnsiTheme="majorHAnsi" w:cstheme="majorBidi"/>
      <w:color w:val="17365D" w:themeColor="text2" w:themeShade="BF"/>
      <w:spacing w:val="5"/>
      <w:kern w:val="28"/>
      <w:sz w:val="52"/>
      <w:szCs w:val="52"/>
    </w:rPr>
  </w:style>
  <w:style w:type="paragraph" w:styleId="Nadpisobsahu">
    <w:name w:val="TOC Heading"/>
    <w:basedOn w:val="Nadpis1"/>
    <w:next w:val="Normln"/>
    <w:uiPriority w:val="39"/>
    <w:semiHidden/>
    <w:unhideWhenUsed/>
    <w:qFormat/>
    <w:rsid w:val="00285353"/>
    <w:pPr>
      <w:outlineLvl w:val="9"/>
    </w:pPr>
  </w:style>
  <w:style w:type="paragraph" w:customStyle="1" w:styleId="AQE1">
    <w:name w:val="AQE 1"/>
    <w:basedOn w:val="Nadpis1"/>
    <w:link w:val="AQE1Char"/>
    <w:rsid w:val="008E29AC"/>
    <w:pPr>
      <w:numPr>
        <w:numId w:val="0"/>
      </w:numPr>
    </w:pPr>
    <w:rPr>
      <w:rFonts w:eastAsia="Times New Roman"/>
    </w:rPr>
  </w:style>
  <w:style w:type="character" w:customStyle="1" w:styleId="AQE1Char">
    <w:name w:val="AQE 1 Char"/>
    <w:link w:val="AQE1"/>
    <w:rsid w:val="008E29AC"/>
    <w:rPr>
      <w:rFonts w:ascii="Cambria" w:eastAsia="Times New Roman" w:hAnsi="Cambria" w:cs="Arial"/>
      <w:b/>
      <w:bCs/>
      <w:kern w:val="32"/>
      <w:sz w:val="36"/>
      <w:szCs w:val="32"/>
      <w:lang w:eastAsia="cs-CZ"/>
    </w:rPr>
  </w:style>
  <w:style w:type="paragraph" w:customStyle="1" w:styleId="AQE11">
    <w:name w:val="AQE 1.1"/>
    <w:basedOn w:val="Nadpis2"/>
    <w:link w:val="AQE11Char"/>
    <w:rsid w:val="00CB2EDC"/>
    <w:pPr>
      <w:numPr>
        <w:ilvl w:val="0"/>
        <w:numId w:val="0"/>
      </w:numPr>
    </w:pPr>
    <w:rPr>
      <w:rFonts w:ascii="Verdana Pro" w:eastAsia="Times New Roman" w:hAnsi="Verdana Pro"/>
      <w:b w:val="0"/>
    </w:rPr>
  </w:style>
  <w:style w:type="character" w:customStyle="1" w:styleId="AQE11Char">
    <w:name w:val="AQE 1.1 Char"/>
    <w:link w:val="AQE11"/>
    <w:rsid w:val="00CB2EDC"/>
    <w:rPr>
      <w:rFonts w:ascii="Verdana Pro" w:eastAsia="Times New Roman" w:hAnsi="Verdana Pro" w:cs="Arial"/>
      <w:b/>
      <w:bCs/>
      <w:iCs/>
      <w:caps/>
      <w:sz w:val="24"/>
      <w:szCs w:val="28"/>
      <w:lang w:eastAsia="cs-CZ"/>
    </w:rPr>
  </w:style>
  <w:style w:type="paragraph" w:customStyle="1" w:styleId="AQE111">
    <w:name w:val="AQE 1.1.1"/>
    <w:basedOn w:val="Nadpis3"/>
    <w:link w:val="AQE111Char"/>
    <w:rsid w:val="00043514"/>
    <w:pPr>
      <w:numPr>
        <w:ilvl w:val="0"/>
        <w:numId w:val="0"/>
      </w:numPr>
    </w:pPr>
    <w:rPr>
      <w:rFonts w:eastAsia="Times New Roman"/>
    </w:rPr>
  </w:style>
  <w:style w:type="character" w:customStyle="1" w:styleId="AQE111Char">
    <w:name w:val="AQE 1.1.1 Char"/>
    <w:link w:val="AQE111"/>
    <w:rsid w:val="00043514"/>
    <w:rPr>
      <w:rFonts w:ascii="Verdana" w:eastAsia="Times New Roman" w:hAnsi="Verdana" w:cs="Arial"/>
      <w:b/>
      <w:bCs/>
      <w:sz w:val="19"/>
      <w:szCs w:val="26"/>
      <w:lang w:val="cs-CZ" w:eastAsia="cs-CZ"/>
    </w:rPr>
  </w:style>
  <w:style w:type="paragraph" w:customStyle="1" w:styleId="AQE1111">
    <w:name w:val="AQE 1.1.1.1"/>
    <w:basedOn w:val="Nadpis4"/>
    <w:link w:val="AQE1111Char"/>
    <w:rsid w:val="008E29AC"/>
    <w:pPr>
      <w:numPr>
        <w:ilvl w:val="0"/>
        <w:numId w:val="0"/>
      </w:numPr>
    </w:pPr>
    <w:rPr>
      <w:rFonts w:eastAsia="Times New Roman"/>
    </w:rPr>
  </w:style>
  <w:style w:type="character" w:customStyle="1" w:styleId="AQE1111Char">
    <w:name w:val="AQE 1.1.1.1 Char"/>
    <w:link w:val="AQE1111"/>
    <w:rsid w:val="008E29AC"/>
    <w:rPr>
      <w:rFonts w:ascii="Cambria" w:eastAsia="Times New Roman" w:hAnsi="Cambria" w:cs="Arial"/>
      <w:b/>
      <w:sz w:val="21"/>
      <w:szCs w:val="28"/>
      <w:lang w:eastAsia="cs-CZ"/>
    </w:rPr>
  </w:style>
  <w:style w:type="paragraph" w:customStyle="1" w:styleId="AQEA">
    <w:name w:val="AQE A"/>
    <w:basedOn w:val="Normln"/>
    <w:autoRedefine/>
    <w:rsid w:val="008E29AC"/>
    <w:pPr>
      <w:shd w:val="clear" w:color="auto" w:fill="A43D3A"/>
    </w:pPr>
    <w:rPr>
      <w:rFonts w:ascii="Calibri" w:eastAsia="Times New Roman" w:hAnsi="Calibri"/>
      <w:b/>
      <w:color w:val="FFFFFF"/>
      <w:sz w:val="28"/>
      <w:szCs w:val="28"/>
    </w:rPr>
  </w:style>
  <w:style w:type="paragraph" w:customStyle="1" w:styleId="AQE3">
    <w:name w:val="AQE3"/>
    <w:basedOn w:val="Normln"/>
    <w:link w:val="AQE3Char"/>
    <w:rsid w:val="008E29AC"/>
    <w:pPr>
      <w:autoSpaceDE w:val="0"/>
      <w:autoSpaceDN w:val="0"/>
      <w:adjustRightInd w:val="0"/>
    </w:pPr>
    <w:rPr>
      <w:b/>
    </w:rPr>
  </w:style>
  <w:style w:type="character" w:customStyle="1" w:styleId="AQE3Char">
    <w:name w:val="AQE3 Char"/>
    <w:basedOn w:val="Standardnpsmoodstavce"/>
    <w:link w:val="AQE3"/>
    <w:rsid w:val="008E29AC"/>
    <w:rPr>
      <w:rFonts w:ascii="Cambria" w:hAnsi="Cambria"/>
      <w:b/>
      <w:sz w:val="21"/>
      <w:szCs w:val="24"/>
      <w:lang w:val="cs-CZ" w:eastAsia="cs-CZ"/>
    </w:rPr>
  </w:style>
  <w:style w:type="paragraph" w:styleId="Titulek">
    <w:name w:val="caption"/>
    <w:basedOn w:val="Normln"/>
    <w:next w:val="Normln"/>
    <w:uiPriority w:val="35"/>
    <w:unhideWhenUsed/>
    <w:qFormat/>
    <w:rsid w:val="00285353"/>
    <w:pPr>
      <w:spacing w:line="240" w:lineRule="auto"/>
    </w:pPr>
    <w:rPr>
      <w:b/>
      <w:bCs/>
      <w:color w:val="4F81BD" w:themeColor="accent1"/>
      <w:sz w:val="18"/>
      <w:szCs w:val="18"/>
    </w:rPr>
  </w:style>
  <w:style w:type="character" w:customStyle="1" w:styleId="apple-style-span">
    <w:name w:val="apple-style-span"/>
    <w:basedOn w:val="Standardnpsmoodstavce"/>
    <w:rsid w:val="00283373"/>
  </w:style>
  <w:style w:type="paragraph" w:styleId="Revize">
    <w:name w:val="Revision"/>
    <w:hidden/>
    <w:uiPriority w:val="99"/>
    <w:semiHidden/>
    <w:rsid w:val="006B7DB8"/>
    <w:rPr>
      <w:rFonts w:ascii="Cambria" w:hAnsi="Cambria"/>
      <w:sz w:val="21"/>
      <w:szCs w:val="24"/>
      <w:lang w:val="cs-CZ" w:eastAsia="cs-CZ"/>
    </w:rPr>
  </w:style>
  <w:style w:type="numbering" w:customStyle="1" w:styleId="Seznamgraf">
    <w:name w:val="Seznam grafů"/>
    <w:uiPriority w:val="99"/>
    <w:rsid w:val="0031612D"/>
    <w:pPr>
      <w:numPr>
        <w:numId w:val="1"/>
      </w:numPr>
    </w:pPr>
  </w:style>
  <w:style w:type="paragraph" w:styleId="Rejstk1">
    <w:name w:val="index 1"/>
    <w:basedOn w:val="Normln"/>
    <w:next w:val="Normln"/>
    <w:autoRedefine/>
    <w:uiPriority w:val="99"/>
    <w:semiHidden/>
    <w:unhideWhenUsed/>
    <w:rsid w:val="006B7DB8"/>
    <w:pPr>
      <w:spacing w:line="240" w:lineRule="auto"/>
      <w:ind w:left="210" w:hanging="210"/>
    </w:pPr>
  </w:style>
  <w:style w:type="paragraph" w:customStyle="1" w:styleId="Seznamtabulek">
    <w:name w:val="Seznam tabulek"/>
    <w:basedOn w:val="Seznamobrzk"/>
    <w:link w:val="SeznamtabulekChar"/>
    <w:rsid w:val="00B36A9F"/>
  </w:style>
  <w:style w:type="character" w:customStyle="1" w:styleId="SeznamobrzkChar">
    <w:name w:val="Seznam obrázků Char"/>
    <w:basedOn w:val="Standardnpsmoodstavce"/>
    <w:link w:val="Seznamobrzk"/>
    <w:uiPriority w:val="99"/>
    <w:rsid w:val="00572F00"/>
    <w:rPr>
      <w:szCs w:val="19"/>
      <w:lang w:val="cs-CZ"/>
    </w:rPr>
  </w:style>
  <w:style w:type="character" w:customStyle="1" w:styleId="SeznamtabulekChar">
    <w:name w:val="Seznam tabulek Char"/>
    <w:basedOn w:val="SeznamobrzkChar"/>
    <w:link w:val="Seznamtabulek"/>
    <w:rsid w:val="00B36A9F"/>
    <w:rPr>
      <w:rFonts w:ascii="Cambria" w:hAnsi="Cambria"/>
      <w:sz w:val="21"/>
      <w:szCs w:val="24"/>
      <w:lang w:val="cs-CZ" w:eastAsia="cs-CZ"/>
    </w:rPr>
  </w:style>
  <w:style w:type="character" w:styleId="Odkaznakoment">
    <w:name w:val="annotation reference"/>
    <w:basedOn w:val="Standardnpsmoodstavce"/>
    <w:uiPriority w:val="99"/>
    <w:semiHidden/>
    <w:unhideWhenUsed/>
    <w:rsid w:val="00620F16"/>
    <w:rPr>
      <w:sz w:val="16"/>
      <w:szCs w:val="16"/>
    </w:rPr>
  </w:style>
  <w:style w:type="paragraph" w:styleId="Textkomente">
    <w:name w:val="annotation text"/>
    <w:basedOn w:val="Normln"/>
    <w:link w:val="TextkomenteChar"/>
    <w:uiPriority w:val="99"/>
    <w:unhideWhenUsed/>
    <w:rsid w:val="00620F16"/>
    <w:pPr>
      <w:spacing w:line="240" w:lineRule="auto"/>
    </w:pPr>
    <w:rPr>
      <w:sz w:val="20"/>
      <w:szCs w:val="20"/>
    </w:rPr>
  </w:style>
  <w:style w:type="character" w:customStyle="1" w:styleId="TextkomenteChar">
    <w:name w:val="Text komentáře Char"/>
    <w:basedOn w:val="Standardnpsmoodstavce"/>
    <w:link w:val="Textkomente"/>
    <w:uiPriority w:val="99"/>
    <w:rsid w:val="00620F16"/>
    <w:rPr>
      <w:rFonts w:ascii="Cambria" w:hAnsi="Cambria"/>
      <w:lang w:val="cs-CZ" w:eastAsia="cs-CZ"/>
    </w:rPr>
  </w:style>
  <w:style w:type="paragraph" w:styleId="Pedmtkomente">
    <w:name w:val="annotation subject"/>
    <w:basedOn w:val="Textkomente"/>
    <w:next w:val="Textkomente"/>
    <w:link w:val="PedmtkomenteChar"/>
    <w:uiPriority w:val="99"/>
    <w:semiHidden/>
    <w:unhideWhenUsed/>
    <w:rsid w:val="00620F16"/>
    <w:rPr>
      <w:b/>
      <w:bCs/>
    </w:rPr>
  </w:style>
  <w:style w:type="character" w:customStyle="1" w:styleId="PedmtkomenteChar">
    <w:name w:val="Předmět komentáře Char"/>
    <w:basedOn w:val="TextkomenteChar"/>
    <w:link w:val="Pedmtkomente"/>
    <w:uiPriority w:val="99"/>
    <w:semiHidden/>
    <w:rsid w:val="00620F16"/>
    <w:rPr>
      <w:rFonts w:ascii="Cambria" w:hAnsi="Cambria"/>
      <w:b/>
      <w:bCs/>
      <w:lang w:val="cs-CZ" w:eastAsia="cs-CZ"/>
    </w:rPr>
  </w:style>
  <w:style w:type="paragraph" w:styleId="Normlnweb">
    <w:name w:val="Normal (Web)"/>
    <w:basedOn w:val="Normln"/>
    <w:uiPriority w:val="99"/>
    <w:semiHidden/>
    <w:unhideWhenUsed/>
    <w:rsid w:val="001013E2"/>
    <w:pPr>
      <w:spacing w:before="100" w:beforeAutospacing="1" w:after="100" w:afterAutospacing="1" w:line="240" w:lineRule="auto"/>
    </w:pPr>
    <w:rPr>
      <w:rFonts w:ascii="Times New Roman" w:hAnsi="Times New Roman"/>
      <w:sz w:val="24"/>
    </w:rPr>
  </w:style>
  <w:style w:type="paragraph" w:customStyle="1" w:styleId="Odrky">
    <w:name w:val="Odrážky"/>
    <w:basedOn w:val="Normln"/>
    <w:rsid w:val="000C0BF4"/>
  </w:style>
  <w:style w:type="paragraph" w:styleId="Obsah4">
    <w:name w:val="toc 4"/>
    <w:basedOn w:val="Normln"/>
    <w:next w:val="Normln"/>
    <w:autoRedefine/>
    <w:uiPriority w:val="39"/>
    <w:unhideWhenUsed/>
    <w:rsid w:val="001B0B02"/>
    <w:pPr>
      <w:spacing w:after="100" w:line="259" w:lineRule="auto"/>
      <w:ind w:left="660"/>
    </w:pPr>
  </w:style>
  <w:style w:type="paragraph" w:styleId="Obsah5">
    <w:name w:val="toc 5"/>
    <w:basedOn w:val="Normln"/>
    <w:next w:val="Normln"/>
    <w:autoRedefine/>
    <w:uiPriority w:val="39"/>
    <w:unhideWhenUsed/>
    <w:rsid w:val="001B0B02"/>
    <w:pPr>
      <w:spacing w:after="100" w:line="259" w:lineRule="auto"/>
      <w:ind w:left="880"/>
    </w:pPr>
  </w:style>
  <w:style w:type="paragraph" w:styleId="Obsah6">
    <w:name w:val="toc 6"/>
    <w:basedOn w:val="Normln"/>
    <w:next w:val="Normln"/>
    <w:autoRedefine/>
    <w:uiPriority w:val="39"/>
    <w:unhideWhenUsed/>
    <w:rsid w:val="001B0B02"/>
    <w:pPr>
      <w:spacing w:after="100" w:line="259" w:lineRule="auto"/>
      <w:ind w:left="1100"/>
    </w:pPr>
  </w:style>
  <w:style w:type="paragraph" w:styleId="Obsah7">
    <w:name w:val="toc 7"/>
    <w:basedOn w:val="Normln"/>
    <w:next w:val="Normln"/>
    <w:autoRedefine/>
    <w:uiPriority w:val="39"/>
    <w:unhideWhenUsed/>
    <w:rsid w:val="001B0B02"/>
    <w:pPr>
      <w:spacing w:after="100" w:line="259" w:lineRule="auto"/>
      <w:ind w:left="1320"/>
    </w:pPr>
  </w:style>
  <w:style w:type="paragraph" w:styleId="Obsah8">
    <w:name w:val="toc 8"/>
    <w:basedOn w:val="Normln"/>
    <w:next w:val="Normln"/>
    <w:autoRedefine/>
    <w:uiPriority w:val="39"/>
    <w:unhideWhenUsed/>
    <w:rsid w:val="001B0B02"/>
    <w:pPr>
      <w:spacing w:after="100" w:line="259" w:lineRule="auto"/>
      <w:ind w:left="1540"/>
    </w:pPr>
  </w:style>
  <w:style w:type="paragraph" w:styleId="Obsah9">
    <w:name w:val="toc 9"/>
    <w:basedOn w:val="Normln"/>
    <w:next w:val="Normln"/>
    <w:autoRedefine/>
    <w:uiPriority w:val="39"/>
    <w:unhideWhenUsed/>
    <w:rsid w:val="001B0B02"/>
    <w:pPr>
      <w:spacing w:after="100" w:line="259" w:lineRule="auto"/>
      <w:ind w:left="1760"/>
    </w:pPr>
  </w:style>
  <w:style w:type="character" w:customStyle="1" w:styleId="ZkladntextKurzva">
    <w:name w:val="Základní text + Kurzíva"/>
    <w:basedOn w:val="Standardnpsmoodstavce"/>
    <w:rsid w:val="000C06A2"/>
    <w:rPr>
      <w:rFonts w:ascii="Times New Roman" w:eastAsia="Times New Roman" w:hAnsi="Times New Roman"/>
      <w:i/>
      <w:iCs/>
      <w:sz w:val="21"/>
      <w:szCs w:val="21"/>
      <w:shd w:val="clear" w:color="auto" w:fill="FFFFFF"/>
    </w:rPr>
  </w:style>
  <w:style w:type="character" w:customStyle="1" w:styleId="Zkladntext3Nekurzva">
    <w:name w:val="Základní text (3) + Ne kurzíva"/>
    <w:basedOn w:val="Standardnpsmoodstavce"/>
    <w:rsid w:val="000C06A2"/>
    <w:rPr>
      <w:rFonts w:ascii="Times New Roman" w:eastAsia="Times New Roman" w:hAnsi="Times New Roman"/>
      <w:i/>
      <w:iCs/>
      <w:sz w:val="21"/>
      <w:szCs w:val="21"/>
      <w:shd w:val="clear" w:color="auto" w:fill="FFFFFF"/>
    </w:rPr>
  </w:style>
  <w:style w:type="character" w:customStyle="1" w:styleId="apple-converted-space">
    <w:name w:val="apple-converted-space"/>
    <w:basedOn w:val="Standardnpsmoodstavce"/>
    <w:rsid w:val="00AB1EC9"/>
  </w:style>
  <w:style w:type="character" w:customStyle="1" w:styleId="Nadpis6Char">
    <w:name w:val="Nadpis 6 Char"/>
    <w:basedOn w:val="Standardnpsmoodstavce"/>
    <w:link w:val="Nadpis6"/>
    <w:semiHidden/>
    <w:rsid w:val="00285353"/>
    <w:rPr>
      <w:rFonts w:asciiTheme="majorHAnsi" w:eastAsiaTheme="majorEastAsia" w:hAnsiTheme="majorHAnsi" w:cstheme="majorBidi"/>
      <w:i/>
      <w:iCs/>
      <w:color w:val="243F60" w:themeColor="accent1" w:themeShade="7F"/>
      <w:sz w:val="19"/>
      <w:lang w:val="cs-CZ"/>
    </w:rPr>
  </w:style>
  <w:style w:type="paragraph" w:styleId="Podnadpis">
    <w:name w:val="Subtitle"/>
    <w:basedOn w:val="Normln"/>
    <w:next w:val="Normln"/>
    <w:link w:val="PodnadpisChar"/>
    <w:uiPriority w:val="11"/>
    <w:qFormat/>
    <w:rsid w:val="00285353"/>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PodnadpisChar">
    <w:name w:val="Podnadpis Char"/>
    <w:basedOn w:val="Standardnpsmoodstavce"/>
    <w:link w:val="Podnadpis"/>
    <w:uiPriority w:val="11"/>
    <w:rsid w:val="00285353"/>
    <w:rPr>
      <w:rFonts w:asciiTheme="majorHAnsi" w:eastAsiaTheme="majorEastAsia" w:hAnsiTheme="majorHAnsi" w:cstheme="majorBidi"/>
      <w:i/>
      <w:iCs/>
      <w:color w:val="4F81BD" w:themeColor="accent1"/>
      <w:spacing w:val="15"/>
      <w:sz w:val="24"/>
      <w:szCs w:val="24"/>
    </w:rPr>
  </w:style>
  <w:style w:type="paragraph" w:styleId="Bezmezer">
    <w:name w:val="No Spacing"/>
    <w:uiPriority w:val="1"/>
    <w:rsid w:val="00285353"/>
    <w:pPr>
      <w:spacing w:after="0" w:line="240" w:lineRule="auto"/>
    </w:pPr>
  </w:style>
  <w:style w:type="paragraph" w:styleId="Citt">
    <w:name w:val="Quote"/>
    <w:basedOn w:val="Normln"/>
    <w:next w:val="Normln"/>
    <w:link w:val="CittChar"/>
    <w:uiPriority w:val="29"/>
    <w:qFormat/>
    <w:rsid w:val="00285353"/>
    <w:rPr>
      <w:i/>
      <w:iCs/>
      <w:color w:val="000000" w:themeColor="text1"/>
    </w:rPr>
  </w:style>
  <w:style w:type="character" w:customStyle="1" w:styleId="CittChar">
    <w:name w:val="Citát Char"/>
    <w:basedOn w:val="Standardnpsmoodstavce"/>
    <w:link w:val="Citt"/>
    <w:uiPriority w:val="29"/>
    <w:rsid w:val="00285353"/>
    <w:rPr>
      <w:i/>
      <w:iCs/>
      <w:color w:val="000000" w:themeColor="text1"/>
    </w:rPr>
  </w:style>
  <w:style w:type="paragraph" w:styleId="Vrazncitt">
    <w:name w:val="Intense Quote"/>
    <w:basedOn w:val="Normln"/>
    <w:next w:val="Normln"/>
    <w:link w:val="VrazncittChar"/>
    <w:uiPriority w:val="30"/>
    <w:rsid w:val="00285353"/>
    <w:pPr>
      <w:pBdr>
        <w:bottom w:val="single" w:sz="4" w:space="4" w:color="4F81BD" w:themeColor="accent1"/>
      </w:pBdr>
      <w:spacing w:before="200" w:after="280"/>
      <w:ind w:left="936" w:right="936"/>
    </w:pPr>
    <w:rPr>
      <w:b/>
      <w:bCs/>
      <w:i/>
      <w:iCs/>
      <w:color w:val="4F81BD" w:themeColor="accent1"/>
    </w:rPr>
  </w:style>
  <w:style w:type="character" w:customStyle="1" w:styleId="VrazncittChar">
    <w:name w:val="Výrazný citát Char"/>
    <w:basedOn w:val="Standardnpsmoodstavce"/>
    <w:link w:val="Vrazncitt"/>
    <w:uiPriority w:val="30"/>
    <w:rsid w:val="00285353"/>
    <w:rPr>
      <w:b/>
      <w:bCs/>
      <w:i/>
      <w:iCs/>
      <w:color w:val="4F81BD" w:themeColor="accent1"/>
    </w:rPr>
  </w:style>
  <w:style w:type="character" w:styleId="Zdraznnjemn">
    <w:name w:val="Subtle Emphasis"/>
    <w:basedOn w:val="Standardnpsmoodstavce"/>
    <w:uiPriority w:val="19"/>
    <w:rsid w:val="00285353"/>
    <w:rPr>
      <w:i/>
      <w:iCs/>
      <w:color w:val="808080" w:themeColor="text1" w:themeTint="7F"/>
    </w:rPr>
  </w:style>
  <w:style w:type="character" w:styleId="Odkazjemn">
    <w:name w:val="Subtle Reference"/>
    <w:basedOn w:val="Standardnpsmoodstavce"/>
    <w:uiPriority w:val="31"/>
    <w:qFormat/>
    <w:rsid w:val="00285353"/>
    <w:rPr>
      <w:smallCaps/>
      <w:color w:val="C0504D" w:themeColor="accent2"/>
      <w:u w:val="single"/>
    </w:rPr>
  </w:style>
  <w:style w:type="character" w:styleId="Odkazintenzivn">
    <w:name w:val="Intense Reference"/>
    <w:basedOn w:val="Standardnpsmoodstavce"/>
    <w:uiPriority w:val="32"/>
    <w:rsid w:val="00285353"/>
    <w:rPr>
      <w:b/>
      <w:bCs/>
      <w:smallCaps/>
      <w:color w:val="C0504D" w:themeColor="accent2"/>
      <w:spacing w:val="5"/>
      <w:u w:val="single"/>
    </w:rPr>
  </w:style>
  <w:style w:type="character" w:styleId="Nzevknihy">
    <w:name w:val="Book Title"/>
    <w:basedOn w:val="Standardnpsmoodstavce"/>
    <w:uiPriority w:val="33"/>
    <w:rsid w:val="00285353"/>
    <w:rPr>
      <w:b/>
      <w:bCs/>
      <w:smallCaps/>
      <w:spacing w:val="5"/>
    </w:rPr>
  </w:style>
  <w:style w:type="paragraph" w:customStyle="1" w:styleId="Tabulka">
    <w:name w:val="Tabulka"/>
    <w:basedOn w:val="Normln"/>
    <w:link w:val="TabulkaChar"/>
    <w:qFormat/>
    <w:rsid w:val="009A770A"/>
    <w:pPr>
      <w:keepNext/>
      <w:numPr>
        <w:numId w:val="9"/>
      </w:numPr>
      <w:tabs>
        <w:tab w:val="clear" w:pos="2552"/>
      </w:tabs>
      <w:ind w:left="0"/>
    </w:pPr>
    <w:rPr>
      <w:b/>
      <w:bCs/>
    </w:rPr>
  </w:style>
  <w:style w:type="paragraph" w:customStyle="1" w:styleId="Graf0">
    <w:name w:val="Graf"/>
    <w:basedOn w:val="Normln"/>
    <w:link w:val="GrafChar"/>
    <w:qFormat/>
    <w:rsid w:val="00243A70"/>
    <w:pPr>
      <w:keepNext/>
      <w:numPr>
        <w:numId w:val="6"/>
      </w:numPr>
      <w:tabs>
        <w:tab w:val="clear" w:pos="1276"/>
        <w:tab w:val="left" w:pos="1134"/>
      </w:tabs>
    </w:pPr>
    <w:rPr>
      <w:rFonts w:eastAsiaTheme="minorHAnsi"/>
      <w:b/>
    </w:rPr>
  </w:style>
  <w:style w:type="paragraph" w:customStyle="1" w:styleId="altNadpis3">
    <w:name w:val="altNadpis3"/>
    <w:basedOn w:val="Normln"/>
    <w:link w:val="altNadpis3Char"/>
    <w:qFormat/>
    <w:rsid w:val="006974E7"/>
    <w:rPr>
      <w:b/>
    </w:rPr>
  </w:style>
  <w:style w:type="character" w:customStyle="1" w:styleId="TabulkaChar">
    <w:name w:val="Tabulka Char"/>
    <w:basedOn w:val="Standardnpsmoodstavce"/>
    <w:link w:val="Tabulka"/>
    <w:rsid w:val="009A770A"/>
    <w:rPr>
      <w:b/>
      <w:bCs/>
      <w:szCs w:val="19"/>
      <w:lang w:val="cs-CZ"/>
    </w:rPr>
  </w:style>
  <w:style w:type="paragraph" w:customStyle="1" w:styleId="altNadpis1">
    <w:name w:val="altNadpis1"/>
    <w:basedOn w:val="Normln"/>
    <w:link w:val="altNadpis1Char"/>
    <w:qFormat/>
    <w:rsid w:val="00264654"/>
    <w:rPr>
      <w:b/>
      <w:color w:val="2E3192"/>
      <w:sz w:val="28"/>
      <w:szCs w:val="28"/>
    </w:rPr>
  </w:style>
  <w:style w:type="numbering" w:customStyle="1" w:styleId="Tabulky">
    <w:name w:val="Tabulky"/>
    <w:uiPriority w:val="99"/>
    <w:rsid w:val="005644CE"/>
    <w:pPr>
      <w:numPr>
        <w:numId w:val="8"/>
      </w:numPr>
    </w:pPr>
  </w:style>
  <w:style w:type="character" w:customStyle="1" w:styleId="GrafChar">
    <w:name w:val="Graf Char"/>
    <w:basedOn w:val="Standardnpsmoodstavce"/>
    <w:link w:val="Graf0"/>
    <w:rsid w:val="00243A70"/>
    <w:rPr>
      <w:rFonts w:eastAsiaTheme="minorHAnsi"/>
      <w:b/>
      <w:szCs w:val="19"/>
      <w:lang w:val="cs-CZ"/>
    </w:rPr>
  </w:style>
  <w:style w:type="paragraph" w:customStyle="1" w:styleId="Odstavecsslem">
    <w:name w:val="Odstavec s číslem"/>
    <w:basedOn w:val="Normln"/>
    <w:link w:val="OdstavecsslemChar"/>
    <w:qFormat/>
    <w:rsid w:val="000C0BF4"/>
    <w:pPr>
      <w:numPr>
        <w:numId w:val="3"/>
      </w:numPr>
      <w:ind w:left="284" w:hanging="284"/>
    </w:pPr>
    <w:rPr>
      <w:bCs/>
    </w:rPr>
  </w:style>
  <w:style w:type="character" w:customStyle="1" w:styleId="altNadpis1Char">
    <w:name w:val="altNadpis1 Char"/>
    <w:basedOn w:val="Standardnpsmoodstavce"/>
    <w:link w:val="altNadpis1"/>
    <w:rsid w:val="00264654"/>
    <w:rPr>
      <w:rFonts w:ascii="Verdana" w:hAnsi="Verdana"/>
      <w:b/>
      <w:color w:val="2E3192"/>
      <w:sz w:val="28"/>
      <w:szCs w:val="28"/>
      <w:lang w:val="cs-CZ"/>
    </w:rPr>
  </w:style>
  <w:style w:type="paragraph" w:customStyle="1" w:styleId="Titul">
    <w:name w:val="Titul"/>
    <w:basedOn w:val="Normln"/>
    <w:link w:val="TitulChar"/>
    <w:qFormat/>
    <w:rsid w:val="00BD50C3"/>
    <w:pPr>
      <w:spacing w:after="23"/>
      <w:jc w:val="left"/>
    </w:pPr>
    <w:rPr>
      <w:b/>
      <w:sz w:val="44"/>
      <w:szCs w:val="44"/>
    </w:rPr>
  </w:style>
  <w:style w:type="character" w:customStyle="1" w:styleId="OdstavecsslemChar">
    <w:name w:val="Odstavec s číslem Char"/>
    <w:basedOn w:val="Standardnpsmoodstavce"/>
    <w:link w:val="Odstavecsslem"/>
    <w:rsid w:val="000C0BF4"/>
    <w:rPr>
      <w:rFonts w:ascii="Verdana" w:hAnsi="Verdana"/>
      <w:bCs/>
      <w:sz w:val="19"/>
      <w:szCs w:val="19"/>
      <w:lang w:val="cs-CZ"/>
    </w:rPr>
  </w:style>
  <w:style w:type="character" w:customStyle="1" w:styleId="KaskdaChar0">
    <w:name w:val="Kaskáda # Char"/>
    <w:basedOn w:val="Standardnpsmoodstavce"/>
    <w:link w:val="Kaskda"/>
    <w:rsid w:val="000C0BF4"/>
    <w:rPr>
      <w:rFonts w:ascii="Verdana" w:hAnsi="Verdana"/>
      <w:noProof/>
      <w:sz w:val="19"/>
      <w:szCs w:val="19"/>
      <w:lang w:val="cs-CZ"/>
    </w:rPr>
  </w:style>
  <w:style w:type="character" w:customStyle="1" w:styleId="TitulChar">
    <w:name w:val="Titul Char"/>
    <w:basedOn w:val="Standardnpsmoodstavce"/>
    <w:link w:val="Titul"/>
    <w:rsid w:val="00BD50C3"/>
    <w:rPr>
      <w:rFonts w:ascii="Verdana" w:hAnsi="Verdana"/>
      <w:b/>
      <w:sz w:val="44"/>
      <w:szCs w:val="44"/>
      <w:lang w:val="cs-CZ"/>
    </w:rPr>
  </w:style>
  <w:style w:type="paragraph" w:customStyle="1" w:styleId="Ploha">
    <w:name w:val="Příloha"/>
    <w:basedOn w:val="Normln"/>
    <w:link w:val="PlohaChar"/>
    <w:qFormat/>
    <w:rsid w:val="00531349"/>
    <w:pPr>
      <w:pageBreakBefore/>
      <w:numPr>
        <w:numId w:val="11"/>
      </w:numPr>
      <w:tabs>
        <w:tab w:val="left" w:pos="1276"/>
      </w:tabs>
    </w:pPr>
    <w:rPr>
      <w:rFonts w:ascii="Calibri" w:hAnsi="Calibri"/>
      <w:b/>
    </w:rPr>
  </w:style>
  <w:style w:type="paragraph" w:customStyle="1" w:styleId="Obrzek">
    <w:name w:val="Obrázek"/>
    <w:basedOn w:val="Graf0"/>
    <w:link w:val="ObrzekChar"/>
    <w:qFormat/>
    <w:rsid w:val="006C49F0"/>
    <w:pPr>
      <w:numPr>
        <w:numId w:val="5"/>
      </w:numPr>
    </w:pPr>
  </w:style>
  <w:style w:type="character" w:customStyle="1" w:styleId="altNadpis3Char">
    <w:name w:val="altNadpis3 Char"/>
    <w:basedOn w:val="Standardnpsmoodstavce"/>
    <w:link w:val="altNadpis3"/>
    <w:rsid w:val="006974E7"/>
    <w:rPr>
      <w:rFonts w:ascii="Verdana" w:hAnsi="Verdana"/>
      <w:b/>
      <w:sz w:val="19"/>
      <w:szCs w:val="19"/>
      <w:lang w:val="cs-CZ"/>
    </w:rPr>
  </w:style>
  <w:style w:type="numbering" w:customStyle="1" w:styleId="Plohy">
    <w:name w:val="Přílohy"/>
    <w:uiPriority w:val="99"/>
    <w:rsid w:val="00E00BB7"/>
    <w:pPr>
      <w:numPr>
        <w:numId w:val="10"/>
      </w:numPr>
    </w:pPr>
  </w:style>
  <w:style w:type="character" w:customStyle="1" w:styleId="ObrzekChar">
    <w:name w:val="Obrázek Char"/>
    <w:basedOn w:val="GrafChar"/>
    <w:link w:val="Obrzek"/>
    <w:rsid w:val="006C49F0"/>
    <w:rPr>
      <w:rFonts w:ascii="Verdana" w:eastAsiaTheme="minorHAnsi" w:hAnsi="Verdana"/>
      <w:b/>
      <w:sz w:val="19"/>
      <w:szCs w:val="19"/>
      <w:lang w:val="cs-CZ"/>
    </w:rPr>
  </w:style>
  <w:style w:type="character" w:customStyle="1" w:styleId="KaskdaChar">
    <w:name w:val="Kaskáda ● Char"/>
    <w:basedOn w:val="Standardnpsmoodstavce"/>
    <w:link w:val="Kaskda0"/>
    <w:rsid w:val="00747F68"/>
    <w:rPr>
      <w:szCs w:val="19"/>
      <w:lang w:val="cs-CZ"/>
    </w:rPr>
  </w:style>
  <w:style w:type="character" w:customStyle="1" w:styleId="PlohaChar">
    <w:name w:val="Příloha Char"/>
    <w:basedOn w:val="Standardnpsmoodstavce"/>
    <w:link w:val="Ploha"/>
    <w:rsid w:val="00531349"/>
    <w:rPr>
      <w:rFonts w:ascii="Calibri" w:hAnsi="Calibri"/>
      <w:b/>
      <w:szCs w:val="19"/>
      <w:lang w:val="cs-CZ"/>
    </w:rPr>
  </w:style>
  <w:style w:type="paragraph" w:customStyle="1" w:styleId="Poznmka">
    <w:name w:val="Poznámka"/>
    <w:basedOn w:val="Normln"/>
    <w:link w:val="PoznmkaChar"/>
    <w:qFormat/>
    <w:rsid w:val="00522B81"/>
    <w:pPr>
      <w:spacing w:before="0" w:after="0"/>
    </w:pPr>
    <w:rPr>
      <w:rFonts w:ascii="Verdana Pro" w:hAnsi="Verdana Pro"/>
      <w:i/>
      <w:sz w:val="16"/>
      <w:szCs w:val="16"/>
    </w:rPr>
  </w:style>
  <w:style w:type="paragraph" w:customStyle="1" w:styleId="KaskdaA">
    <w:name w:val="Kaskáda A"/>
    <w:basedOn w:val="Kaskda"/>
    <w:link w:val="KaskdaAChar"/>
    <w:qFormat/>
    <w:rsid w:val="004F30E4"/>
    <w:pPr>
      <w:numPr>
        <w:numId w:val="14"/>
      </w:numPr>
    </w:pPr>
  </w:style>
  <w:style w:type="character" w:customStyle="1" w:styleId="PoznmkaChar">
    <w:name w:val="Poznámka Char"/>
    <w:basedOn w:val="Standardnpsmoodstavce"/>
    <w:link w:val="Poznmka"/>
    <w:rsid w:val="00522B81"/>
    <w:rPr>
      <w:rFonts w:ascii="Verdana Pro" w:hAnsi="Verdana Pro"/>
      <w:i/>
      <w:sz w:val="16"/>
      <w:szCs w:val="16"/>
      <w:lang w:val="cs-CZ"/>
    </w:rPr>
  </w:style>
  <w:style w:type="numbering" w:customStyle="1" w:styleId="KaskdyA">
    <w:name w:val="Kaskády A"/>
    <w:uiPriority w:val="99"/>
    <w:rsid w:val="004F30E4"/>
    <w:pPr>
      <w:numPr>
        <w:numId w:val="13"/>
      </w:numPr>
    </w:pPr>
  </w:style>
  <w:style w:type="character" w:customStyle="1" w:styleId="KaskdaAChar">
    <w:name w:val="Kaskáda A Char"/>
    <w:basedOn w:val="KaskdaChar0"/>
    <w:link w:val="KaskdaA"/>
    <w:rsid w:val="004F30E4"/>
    <w:rPr>
      <w:rFonts w:ascii="Verdana" w:hAnsi="Verdana"/>
      <w:noProof/>
      <w:sz w:val="19"/>
      <w:szCs w:val="19"/>
      <w:lang w:val="cs-CZ"/>
    </w:rPr>
  </w:style>
  <w:style w:type="paragraph" w:customStyle="1" w:styleId="Zdroj">
    <w:name w:val="Zdroj"/>
    <w:basedOn w:val="Normln"/>
    <w:link w:val="ZdrojChar"/>
    <w:qFormat/>
    <w:rsid w:val="004E434D"/>
    <w:rPr>
      <w:i/>
      <w:sz w:val="16"/>
      <w:szCs w:val="16"/>
    </w:rPr>
  </w:style>
  <w:style w:type="table" w:customStyle="1" w:styleId="AQE">
    <w:name w:val="AQE"/>
    <w:basedOn w:val="Normlntabulka"/>
    <w:uiPriority w:val="99"/>
    <w:rsid w:val="009914E7"/>
    <w:pPr>
      <w:spacing w:after="0" w:line="240" w:lineRule="auto"/>
    </w:pPr>
    <w:rPr>
      <w:rFonts w:ascii="Verdana" w:hAnsi="Verdana"/>
      <w:sz w:val="19"/>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tblStylePr w:type="firstRow">
      <w:rPr>
        <w:rFonts w:ascii="Verdana Pro" w:hAnsi="Verdana Pro"/>
        <w:b/>
        <w:color w:val="FFFFFF" w:themeColor="background1"/>
        <w:sz w:val="19"/>
      </w:rPr>
      <w:tblPr/>
      <w:tcPr>
        <w:shd w:val="clear" w:color="auto" w:fill="2E3192"/>
      </w:tcPr>
    </w:tblStylePr>
  </w:style>
  <w:style w:type="character" w:customStyle="1" w:styleId="ZdrojChar">
    <w:name w:val="Zdroj Char"/>
    <w:basedOn w:val="Standardnpsmoodstavce"/>
    <w:link w:val="Zdroj"/>
    <w:rsid w:val="004E434D"/>
    <w:rPr>
      <w:rFonts w:ascii="Verdana" w:hAnsi="Verdana"/>
      <w:i/>
      <w:sz w:val="16"/>
      <w:szCs w:val="16"/>
      <w:lang w:val="cs-CZ"/>
    </w:rPr>
  </w:style>
  <w:style w:type="paragraph" w:customStyle="1" w:styleId="Poznmka2">
    <w:name w:val="Poznámka 2"/>
    <w:basedOn w:val="Normln"/>
    <w:link w:val="Poznmka2Char"/>
    <w:qFormat/>
    <w:rsid w:val="002850FB"/>
    <w:pPr>
      <w:spacing w:after="0" w:line="360" w:lineRule="auto"/>
    </w:pPr>
    <w:rPr>
      <w:b/>
      <w:sz w:val="20"/>
      <w:szCs w:val="20"/>
    </w:rPr>
  </w:style>
  <w:style w:type="character" w:customStyle="1" w:styleId="Poznmka2Char">
    <w:name w:val="Poznámka 2 Char"/>
    <w:basedOn w:val="Standardnpsmoodstavce"/>
    <w:link w:val="Poznmka2"/>
    <w:rsid w:val="002850FB"/>
    <w:rPr>
      <w:rFonts w:ascii="Verdana" w:hAnsi="Verdana"/>
      <w:b/>
      <w:sz w:val="20"/>
      <w:szCs w:val="20"/>
      <w:lang w:val="cs-CZ"/>
    </w:rPr>
  </w:style>
  <w:style w:type="paragraph" w:styleId="Odstavecseseznamem">
    <w:name w:val="List Paragraph"/>
    <w:basedOn w:val="Normln"/>
    <w:uiPriority w:val="34"/>
    <w:qFormat/>
    <w:rsid w:val="00B01126"/>
    <w:pPr>
      <w:numPr>
        <w:numId w:val="22"/>
      </w:numPr>
      <w:spacing w:after="0" w:line="264" w:lineRule="auto"/>
      <w:contextualSpacing/>
    </w:pPr>
    <w:rPr>
      <w:rFonts w:ascii="Cambria" w:eastAsia="Calibri" w:hAnsi="Cambria" w:cs="Times New Roman"/>
      <w:sz w:val="21"/>
      <w:szCs w:val="24"/>
      <w:lang w:eastAsia="cs-CZ"/>
    </w:rPr>
  </w:style>
  <w:style w:type="paragraph" w:customStyle="1" w:styleId="tabulka0">
    <w:name w:val="tabulka"/>
    <w:basedOn w:val="Normln"/>
    <w:rsid w:val="00B01126"/>
    <w:pPr>
      <w:numPr>
        <w:numId w:val="18"/>
      </w:numPr>
      <w:tabs>
        <w:tab w:val="left" w:pos="1418"/>
      </w:tabs>
      <w:spacing w:before="240" w:after="200" w:line="240" w:lineRule="auto"/>
      <w:ind w:left="357" w:hanging="357"/>
    </w:pPr>
    <w:rPr>
      <w:rFonts w:ascii="Cambria" w:eastAsia="Calibri" w:hAnsi="Cambria" w:cs="Times New Roman"/>
      <w:b/>
      <w:sz w:val="21"/>
      <w:szCs w:val="24"/>
      <w:lang w:eastAsia="cs-CZ"/>
    </w:rPr>
  </w:style>
  <w:style w:type="paragraph" w:customStyle="1" w:styleId="graf">
    <w:name w:val="graf"/>
    <w:basedOn w:val="Normln"/>
    <w:rsid w:val="00B01126"/>
    <w:pPr>
      <w:numPr>
        <w:numId w:val="17"/>
      </w:numPr>
      <w:tabs>
        <w:tab w:val="left" w:pos="1134"/>
      </w:tabs>
      <w:spacing w:before="240" w:after="200" w:line="240" w:lineRule="auto"/>
      <w:ind w:left="0" w:firstLine="0"/>
    </w:pPr>
    <w:rPr>
      <w:rFonts w:ascii="Cambria" w:eastAsiaTheme="minorHAnsi" w:hAnsi="Cambria"/>
      <w:b/>
      <w:sz w:val="21"/>
    </w:rPr>
  </w:style>
  <w:style w:type="character" w:customStyle="1" w:styleId="Bodytext2Bold">
    <w:name w:val="Body text (2) + Bold"/>
    <w:basedOn w:val="Standardnpsmoodstavce"/>
    <w:rsid w:val="00B01126"/>
    <w:rPr>
      <w:b/>
      <w:bCs/>
      <w:sz w:val="13"/>
      <w:szCs w:val="13"/>
      <w:shd w:val="clear" w:color="auto" w:fill="FFFFFF"/>
    </w:rPr>
  </w:style>
  <w:style w:type="paragraph" w:customStyle="1" w:styleId="Text1">
    <w:name w:val="Text1"/>
    <w:basedOn w:val="Normln"/>
    <w:rsid w:val="00B01126"/>
    <w:pPr>
      <w:tabs>
        <w:tab w:val="left" w:pos="993"/>
      </w:tabs>
      <w:spacing w:before="60" w:after="0" w:line="240" w:lineRule="auto"/>
      <w:ind w:left="284" w:firstLine="567"/>
    </w:pPr>
    <w:rPr>
      <w:rFonts w:ascii="Times New Roman" w:eastAsia="Times New Roman" w:hAnsi="Times New Roman" w:cs="Times New Roman"/>
      <w:sz w:val="24"/>
      <w:szCs w:val="20"/>
      <w:lang w:eastAsia="cs-CZ"/>
    </w:rPr>
  </w:style>
  <w:style w:type="paragraph" w:styleId="Zkladntext">
    <w:name w:val="Body Text"/>
    <w:basedOn w:val="Normln"/>
    <w:link w:val="ZkladntextChar"/>
    <w:uiPriority w:val="99"/>
    <w:unhideWhenUsed/>
    <w:rsid w:val="00B01126"/>
    <w:rPr>
      <w:rFonts w:eastAsiaTheme="minorHAnsi"/>
      <w:lang w:val="en-US"/>
    </w:rPr>
  </w:style>
  <w:style w:type="character" w:customStyle="1" w:styleId="ZkladntextChar">
    <w:name w:val="Základní text Char"/>
    <w:basedOn w:val="Standardnpsmoodstavce"/>
    <w:link w:val="Zkladntext"/>
    <w:uiPriority w:val="99"/>
    <w:rsid w:val="00B01126"/>
    <w:rPr>
      <w:rFonts w:eastAsiaTheme="minorHAnsi"/>
    </w:rPr>
  </w:style>
  <w:style w:type="paragraph" w:customStyle="1" w:styleId="Objekt">
    <w:name w:val="Objekt"/>
    <w:basedOn w:val="Normln"/>
    <w:link w:val="ObjektChar"/>
    <w:qFormat/>
    <w:rsid w:val="00747F68"/>
    <w:pPr>
      <w:spacing w:before="0" w:after="0"/>
      <w:jc w:val="left"/>
    </w:pPr>
  </w:style>
  <w:style w:type="character" w:customStyle="1" w:styleId="ObjektChar">
    <w:name w:val="Objekt Char"/>
    <w:basedOn w:val="Standardnpsmoodstavce"/>
    <w:link w:val="Objekt"/>
    <w:rsid w:val="00747F68"/>
    <w:rPr>
      <w:szCs w:val="19"/>
      <w:lang w:val="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492987">
      <w:bodyDiv w:val="1"/>
      <w:marLeft w:val="0"/>
      <w:marRight w:val="0"/>
      <w:marTop w:val="0"/>
      <w:marBottom w:val="0"/>
      <w:divBdr>
        <w:top w:val="none" w:sz="0" w:space="0" w:color="auto"/>
        <w:left w:val="none" w:sz="0" w:space="0" w:color="auto"/>
        <w:bottom w:val="none" w:sz="0" w:space="0" w:color="auto"/>
        <w:right w:val="none" w:sz="0" w:space="0" w:color="auto"/>
      </w:divBdr>
    </w:div>
    <w:div w:id="15887191">
      <w:bodyDiv w:val="1"/>
      <w:marLeft w:val="0"/>
      <w:marRight w:val="0"/>
      <w:marTop w:val="0"/>
      <w:marBottom w:val="0"/>
      <w:divBdr>
        <w:top w:val="none" w:sz="0" w:space="0" w:color="auto"/>
        <w:left w:val="none" w:sz="0" w:space="0" w:color="auto"/>
        <w:bottom w:val="none" w:sz="0" w:space="0" w:color="auto"/>
        <w:right w:val="none" w:sz="0" w:space="0" w:color="auto"/>
      </w:divBdr>
    </w:div>
    <w:div w:id="33359918">
      <w:bodyDiv w:val="1"/>
      <w:marLeft w:val="0"/>
      <w:marRight w:val="0"/>
      <w:marTop w:val="0"/>
      <w:marBottom w:val="0"/>
      <w:divBdr>
        <w:top w:val="none" w:sz="0" w:space="0" w:color="auto"/>
        <w:left w:val="none" w:sz="0" w:space="0" w:color="auto"/>
        <w:bottom w:val="none" w:sz="0" w:space="0" w:color="auto"/>
        <w:right w:val="none" w:sz="0" w:space="0" w:color="auto"/>
      </w:divBdr>
    </w:div>
    <w:div w:id="36664563">
      <w:bodyDiv w:val="1"/>
      <w:marLeft w:val="0"/>
      <w:marRight w:val="0"/>
      <w:marTop w:val="0"/>
      <w:marBottom w:val="0"/>
      <w:divBdr>
        <w:top w:val="none" w:sz="0" w:space="0" w:color="auto"/>
        <w:left w:val="none" w:sz="0" w:space="0" w:color="auto"/>
        <w:bottom w:val="none" w:sz="0" w:space="0" w:color="auto"/>
        <w:right w:val="none" w:sz="0" w:space="0" w:color="auto"/>
      </w:divBdr>
    </w:div>
    <w:div w:id="53506939">
      <w:bodyDiv w:val="1"/>
      <w:marLeft w:val="0"/>
      <w:marRight w:val="0"/>
      <w:marTop w:val="0"/>
      <w:marBottom w:val="0"/>
      <w:divBdr>
        <w:top w:val="none" w:sz="0" w:space="0" w:color="auto"/>
        <w:left w:val="none" w:sz="0" w:space="0" w:color="auto"/>
        <w:bottom w:val="none" w:sz="0" w:space="0" w:color="auto"/>
        <w:right w:val="none" w:sz="0" w:space="0" w:color="auto"/>
      </w:divBdr>
    </w:div>
    <w:div w:id="58794110">
      <w:bodyDiv w:val="1"/>
      <w:marLeft w:val="0"/>
      <w:marRight w:val="0"/>
      <w:marTop w:val="0"/>
      <w:marBottom w:val="0"/>
      <w:divBdr>
        <w:top w:val="none" w:sz="0" w:space="0" w:color="auto"/>
        <w:left w:val="none" w:sz="0" w:space="0" w:color="auto"/>
        <w:bottom w:val="none" w:sz="0" w:space="0" w:color="auto"/>
        <w:right w:val="none" w:sz="0" w:space="0" w:color="auto"/>
      </w:divBdr>
    </w:div>
    <w:div w:id="76560014">
      <w:bodyDiv w:val="1"/>
      <w:marLeft w:val="0"/>
      <w:marRight w:val="0"/>
      <w:marTop w:val="0"/>
      <w:marBottom w:val="0"/>
      <w:divBdr>
        <w:top w:val="none" w:sz="0" w:space="0" w:color="auto"/>
        <w:left w:val="none" w:sz="0" w:space="0" w:color="auto"/>
        <w:bottom w:val="none" w:sz="0" w:space="0" w:color="auto"/>
        <w:right w:val="none" w:sz="0" w:space="0" w:color="auto"/>
      </w:divBdr>
    </w:div>
    <w:div w:id="81533879">
      <w:bodyDiv w:val="1"/>
      <w:marLeft w:val="0"/>
      <w:marRight w:val="0"/>
      <w:marTop w:val="0"/>
      <w:marBottom w:val="0"/>
      <w:divBdr>
        <w:top w:val="none" w:sz="0" w:space="0" w:color="auto"/>
        <w:left w:val="none" w:sz="0" w:space="0" w:color="auto"/>
        <w:bottom w:val="none" w:sz="0" w:space="0" w:color="auto"/>
        <w:right w:val="none" w:sz="0" w:space="0" w:color="auto"/>
      </w:divBdr>
    </w:div>
    <w:div w:id="89394932">
      <w:bodyDiv w:val="1"/>
      <w:marLeft w:val="0"/>
      <w:marRight w:val="0"/>
      <w:marTop w:val="0"/>
      <w:marBottom w:val="0"/>
      <w:divBdr>
        <w:top w:val="none" w:sz="0" w:space="0" w:color="auto"/>
        <w:left w:val="none" w:sz="0" w:space="0" w:color="auto"/>
        <w:bottom w:val="none" w:sz="0" w:space="0" w:color="auto"/>
        <w:right w:val="none" w:sz="0" w:space="0" w:color="auto"/>
      </w:divBdr>
      <w:divsChild>
        <w:div w:id="624190761">
          <w:marLeft w:val="0"/>
          <w:marRight w:val="0"/>
          <w:marTop w:val="0"/>
          <w:marBottom w:val="0"/>
          <w:divBdr>
            <w:top w:val="none" w:sz="0" w:space="0" w:color="auto"/>
            <w:left w:val="none" w:sz="0" w:space="0" w:color="auto"/>
            <w:bottom w:val="none" w:sz="0" w:space="0" w:color="auto"/>
            <w:right w:val="none" w:sz="0" w:space="0" w:color="auto"/>
          </w:divBdr>
          <w:divsChild>
            <w:div w:id="1126046746">
              <w:marLeft w:val="0"/>
              <w:marRight w:val="0"/>
              <w:marTop w:val="0"/>
              <w:marBottom w:val="0"/>
              <w:divBdr>
                <w:top w:val="none" w:sz="0" w:space="0" w:color="auto"/>
                <w:left w:val="none" w:sz="0" w:space="0" w:color="auto"/>
                <w:bottom w:val="none" w:sz="0" w:space="0" w:color="auto"/>
                <w:right w:val="none" w:sz="0" w:space="0" w:color="auto"/>
              </w:divBdr>
              <w:divsChild>
                <w:div w:id="119762710">
                  <w:marLeft w:val="0"/>
                  <w:marRight w:val="0"/>
                  <w:marTop w:val="0"/>
                  <w:marBottom w:val="0"/>
                  <w:divBdr>
                    <w:top w:val="none" w:sz="0" w:space="0" w:color="auto"/>
                    <w:left w:val="none" w:sz="0" w:space="0" w:color="auto"/>
                    <w:bottom w:val="none" w:sz="0" w:space="0" w:color="auto"/>
                    <w:right w:val="none" w:sz="0" w:space="0" w:color="auto"/>
                  </w:divBdr>
                  <w:divsChild>
                    <w:div w:id="338196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305284">
      <w:bodyDiv w:val="1"/>
      <w:marLeft w:val="0"/>
      <w:marRight w:val="0"/>
      <w:marTop w:val="0"/>
      <w:marBottom w:val="0"/>
      <w:divBdr>
        <w:top w:val="none" w:sz="0" w:space="0" w:color="auto"/>
        <w:left w:val="none" w:sz="0" w:space="0" w:color="auto"/>
        <w:bottom w:val="none" w:sz="0" w:space="0" w:color="auto"/>
        <w:right w:val="none" w:sz="0" w:space="0" w:color="auto"/>
      </w:divBdr>
    </w:div>
    <w:div w:id="168325963">
      <w:bodyDiv w:val="1"/>
      <w:marLeft w:val="0"/>
      <w:marRight w:val="0"/>
      <w:marTop w:val="0"/>
      <w:marBottom w:val="0"/>
      <w:divBdr>
        <w:top w:val="none" w:sz="0" w:space="0" w:color="auto"/>
        <w:left w:val="none" w:sz="0" w:space="0" w:color="auto"/>
        <w:bottom w:val="none" w:sz="0" w:space="0" w:color="auto"/>
        <w:right w:val="none" w:sz="0" w:space="0" w:color="auto"/>
      </w:divBdr>
    </w:div>
    <w:div w:id="177474112">
      <w:bodyDiv w:val="1"/>
      <w:marLeft w:val="0"/>
      <w:marRight w:val="0"/>
      <w:marTop w:val="0"/>
      <w:marBottom w:val="0"/>
      <w:divBdr>
        <w:top w:val="none" w:sz="0" w:space="0" w:color="auto"/>
        <w:left w:val="none" w:sz="0" w:space="0" w:color="auto"/>
        <w:bottom w:val="none" w:sz="0" w:space="0" w:color="auto"/>
        <w:right w:val="none" w:sz="0" w:space="0" w:color="auto"/>
      </w:divBdr>
    </w:div>
    <w:div w:id="178743828">
      <w:bodyDiv w:val="1"/>
      <w:marLeft w:val="0"/>
      <w:marRight w:val="0"/>
      <w:marTop w:val="0"/>
      <w:marBottom w:val="0"/>
      <w:divBdr>
        <w:top w:val="none" w:sz="0" w:space="0" w:color="auto"/>
        <w:left w:val="none" w:sz="0" w:space="0" w:color="auto"/>
        <w:bottom w:val="none" w:sz="0" w:space="0" w:color="auto"/>
        <w:right w:val="none" w:sz="0" w:space="0" w:color="auto"/>
      </w:divBdr>
    </w:div>
    <w:div w:id="218631761">
      <w:bodyDiv w:val="1"/>
      <w:marLeft w:val="0"/>
      <w:marRight w:val="0"/>
      <w:marTop w:val="0"/>
      <w:marBottom w:val="0"/>
      <w:divBdr>
        <w:top w:val="none" w:sz="0" w:space="0" w:color="auto"/>
        <w:left w:val="none" w:sz="0" w:space="0" w:color="auto"/>
        <w:bottom w:val="none" w:sz="0" w:space="0" w:color="auto"/>
        <w:right w:val="none" w:sz="0" w:space="0" w:color="auto"/>
      </w:divBdr>
    </w:div>
    <w:div w:id="257952869">
      <w:bodyDiv w:val="1"/>
      <w:marLeft w:val="0"/>
      <w:marRight w:val="0"/>
      <w:marTop w:val="0"/>
      <w:marBottom w:val="0"/>
      <w:divBdr>
        <w:top w:val="none" w:sz="0" w:space="0" w:color="auto"/>
        <w:left w:val="none" w:sz="0" w:space="0" w:color="auto"/>
        <w:bottom w:val="none" w:sz="0" w:space="0" w:color="auto"/>
        <w:right w:val="none" w:sz="0" w:space="0" w:color="auto"/>
      </w:divBdr>
    </w:div>
    <w:div w:id="259457746">
      <w:bodyDiv w:val="1"/>
      <w:marLeft w:val="0"/>
      <w:marRight w:val="0"/>
      <w:marTop w:val="0"/>
      <w:marBottom w:val="0"/>
      <w:divBdr>
        <w:top w:val="none" w:sz="0" w:space="0" w:color="auto"/>
        <w:left w:val="none" w:sz="0" w:space="0" w:color="auto"/>
        <w:bottom w:val="none" w:sz="0" w:space="0" w:color="auto"/>
        <w:right w:val="none" w:sz="0" w:space="0" w:color="auto"/>
      </w:divBdr>
    </w:div>
    <w:div w:id="282268667">
      <w:bodyDiv w:val="1"/>
      <w:marLeft w:val="0"/>
      <w:marRight w:val="0"/>
      <w:marTop w:val="0"/>
      <w:marBottom w:val="0"/>
      <w:divBdr>
        <w:top w:val="none" w:sz="0" w:space="0" w:color="auto"/>
        <w:left w:val="none" w:sz="0" w:space="0" w:color="auto"/>
        <w:bottom w:val="none" w:sz="0" w:space="0" w:color="auto"/>
        <w:right w:val="none" w:sz="0" w:space="0" w:color="auto"/>
      </w:divBdr>
    </w:div>
    <w:div w:id="318314598">
      <w:bodyDiv w:val="1"/>
      <w:marLeft w:val="0"/>
      <w:marRight w:val="0"/>
      <w:marTop w:val="0"/>
      <w:marBottom w:val="0"/>
      <w:divBdr>
        <w:top w:val="none" w:sz="0" w:space="0" w:color="auto"/>
        <w:left w:val="none" w:sz="0" w:space="0" w:color="auto"/>
        <w:bottom w:val="none" w:sz="0" w:space="0" w:color="auto"/>
        <w:right w:val="none" w:sz="0" w:space="0" w:color="auto"/>
      </w:divBdr>
    </w:div>
    <w:div w:id="342097931">
      <w:bodyDiv w:val="1"/>
      <w:marLeft w:val="0"/>
      <w:marRight w:val="0"/>
      <w:marTop w:val="0"/>
      <w:marBottom w:val="0"/>
      <w:divBdr>
        <w:top w:val="none" w:sz="0" w:space="0" w:color="auto"/>
        <w:left w:val="none" w:sz="0" w:space="0" w:color="auto"/>
        <w:bottom w:val="none" w:sz="0" w:space="0" w:color="auto"/>
        <w:right w:val="none" w:sz="0" w:space="0" w:color="auto"/>
      </w:divBdr>
    </w:div>
    <w:div w:id="404886074">
      <w:bodyDiv w:val="1"/>
      <w:marLeft w:val="0"/>
      <w:marRight w:val="0"/>
      <w:marTop w:val="0"/>
      <w:marBottom w:val="0"/>
      <w:divBdr>
        <w:top w:val="none" w:sz="0" w:space="0" w:color="auto"/>
        <w:left w:val="none" w:sz="0" w:space="0" w:color="auto"/>
        <w:bottom w:val="none" w:sz="0" w:space="0" w:color="auto"/>
        <w:right w:val="none" w:sz="0" w:space="0" w:color="auto"/>
      </w:divBdr>
    </w:div>
    <w:div w:id="414518388">
      <w:bodyDiv w:val="1"/>
      <w:marLeft w:val="0"/>
      <w:marRight w:val="0"/>
      <w:marTop w:val="0"/>
      <w:marBottom w:val="0"/>
      <w:divBdr>
        <w:top w:val="none" w:sz="0" w:space="0" w:color="auto"/>
        <w:left w:val="none" w:sz="0" w:space="0" w:color="auto"/>
        <w:bottom w:val="none" w:sz="0" w:space="0" w:color="auto"/>
        <w:right w:val="none" w:sz="0" w:space="0" w:color="auto"/>
      </w:divBdr>
    </w:div>
    <w:div w:id="446237052">
      <w:bodyDiv w:val="1"/>
      <w:marLeft w:val="0"/>
      <w:marRight w:val="0"/>
      <w:marTop w:val="0"/>
      <w:marBottom w:val="0"/>
      <w:divBdr>
        <w:top w:val="none" w:sz="0" w:space="0" w:color="auto"/>
        <w:left w:val="none" w:sz="0" w:space="0" w:color="auto"/>
        <w:bottom w:val="none" w:sz="0" w:space="0" w:color="auto"/>
        <w:right w:val="none" w:sz="0" w:space="0" w:color="auto"/>
      </w:divBdr>
    </w:div>
    <w:div w:id="466241650">
      <w:bodyDiv w:val="1"/>
      <w:marLeft w:val="0"/>
      <w:marRight w:val="0"/>
      <w:marTop w:val="0"/>
      <w:marBottom w:val="0"/>
      <w:divBdr>
        <w:top w:val="none" w:sz="0" w:space="0" w:color="auto"/>
        <w:left w:val="none" w:sz="0" w:space="0" w:color="auto"/>
        <w:bottom w:val="none" w:sz="0" w:space="0" w:color="auto"/>
        <w:right w:val="none" w:sz="0" w:space="0" w:color="auto"/>
      </w:divBdr>
    </w:div>
    <w:div w:id="472254099">
      <w:bodyDiv w:val="1"/>
      <w:marLeft w:val="0"/>
      <w:marRight w:val="0"/>
      <w:marTop w:val="0"/>
      <w:marBottom w:val="0"/>
      <w:divBdr>
        <w:top w:val="none" w:sz="0" w:space="0" w:color="auto"/>
        <w:left w:val="none" w:sz="0" w:space="0" w:color="auto"/>
        <w:bottom w:val="none" w:sz="0" w:space="0" w:color="auto"/>
        <w:right w:val="none" w:sz="0" w:space="0" w:color="auto"/>
      </w:divBdr>
    </w:div>
    <w:div w:id="478696301">
      <w:bodyDiv w:val="1"/>
      <w:marLeft w:val="0"/>
      <w:marRight w:val="0"/>
      <w:marTop w:val="0"/>
      <w:marBottom w:val="0"/>
      <w:divBdr>
        <w:top w:val="none" w:sz="0" w:space="0" w:color="auto"/>
        <w:left w:val="none" w:sz="0" w:space="0" w:color="auto"/>
        <w:bottom w:val="none" w:sz="0" w:space="0" w:color="auto"/>
        <w:right w:val="none" w:sz="0" w:space="0" w:color="auto"/>
      </w:divBdr>
    </w:div>
    <w:div w:id="495147532">
      <w:bodyDiv w:val="1"/>
      <w:marLeft w:val="0"/>
      <w:marRight w:val="0"/>
      <w:marTop w:val="0"/>
      <w:marBottom w:val="0"/>
      <w:divBdr>
        <w:top w:val="none" w:sz="0" w:space="0" w:color="auto"/>
        <w:left w:val="none" w:sz="0" w:space="0" w:color="auto"/>
        <w:bottom w:val="none" w:sz="0" w:space="0" w:color="auto"/>
        <w:right w:val="none" w:sz="0" w:space="0" w:color="auto"/>
      </w:divBdr>
    </w:div>
    <w:div w:id="515197178">
      <w:bodyDiv w:val="1"/>
      <w:marLeft w:val="0"/>
      <w:marRight w:val="0"/>
      <w:marTop w:val="0"/>
      <w:marBottom w:val="0"/>
      <w:divBdr>
        <w:top w:val="none" w:sz="0" w:space="0" w:color="auto"/>
        <w:left w:val="none" w:sz="0" w:space="0" w:color="auto"/>
        <w:bottom w:val="none" w:sz="0" w:space="0" w:color="auto"/>
        <w:right w:val="none" w:sz="0" w:space="0" w:color="auto"/>
      </w:divBdr>
    </w:div>
    <w:div w:id="553658380">
      <w:bodyDiv w:val="1"/>
      <w:marLeft w:val="0"/>
      <w:marRight w:val="0"/>
      <w:marTop w:val="0"/>
      <w:marBottom w:val="0"/>
      <w:divBdr>
        <w:top w:val="none" w:sz="0" w:space="0" w:color="auto"/>
        <w:left w:val="none" w:sz="0" w:space="0" w:color="auto"/>
        <w:bottom w:val="none" w:sz="0" w:space="0" w:color="auto"/>
        <w:right w:val="none" w:sz="0" w:space="0" w:color="auto"/>
      </w:divBdr>
    </w:div>
    <w:div w:id="567960034">
      <w:bodyDiv w:val="1"/>
      <w:marLeft w:val="0"/>
      <w:marRight w:val="0"/>
      <w:marTop w:val="0"/>
      <w:marBottom w:val="0"/>
      <w:divBdr>
        <w:top w:val="none" w:sz="0" w:space="0" w:color="auto"/>
        <w:left w:val="none" w:sz="0" w:space="0" w:color="auto"/>
        <w:bottom w:val="none" w:sz="0" w:space="0" w:color="auto"/>
        <w:right w:val="none" w:sz="0" w:space="0" w:color="auto"/>
      </w:divBdr>
    </w:div>
    <w:div w:id="569118913">
      <w:bodyDiv w:val="1"/>
      <w:marLeft w:val="0"/>
      <w:marRight w:val="0"/>
      <w:marTop w:val="0"/>
      <w:marBottom w:val="0"/>
      <w:divBdr>
        <w:top w:val="none" w:sz="0" w:space="0" w:color="auto"/>
        <w:left w:val="none" w:sz="0" w:space="0" w:color="auto"/>
        <w:bottom w:val="none" w:sz="0" w:space="0" w:color="auto"/>
        <w:right w:val="none" w:sz="0" w:space="0" w:color="auto"/>
      </w:divBdr>
    </w:div>
    <w:div w:id="577521079">
      <w:bodyDiv w:val="1"/>
      <w:marLeft w:val="0"/>
      <w:marRight w:val="0"/>
      <w:marTop w:val="0"/>
      <w:marBottom w:val="0"/>
      <w:divBdr>
        <w:top w:val="none" w:sz="0" w:space="0" w:color="auto"/>
        <w:left w:val="none" w:sz="0" w:space="0" w:color="auto"/>
        <w:bottom w:val="none" w:sz="0" w:space="0" w:color="auto"/>
        <w:right w:val="none" w:sz="0" w:space="0" w:color="auto"/>
      </w:divBdr>
    </w:div>
    <w:div w:id="585388052">
      <w:bodyDiv w:val="1"/>
      <w:marLeft w:val="0"/>
      <w:marRight w:val="0"/>
      <w:marTop w:val="0"/>
      <w:marBottom w:val="0"/>
      <w:divBdr>
        <w:top w:val="none" w:sz="0" w:space="0" w:color="auto"/>
        <w:left w:val="none" w:sz="0" w:space="0" w:color="auto"/>
        <w:bottom w:val="none" w:sz="0" w:space="0" w:color="auto"/>
        <w:right w:val="none" w:sz="0" w:space="0" w:color="auto"/>
      </w:divBdr>
    </w:div>
    <w:div w:id="593441347">
      <w:bodyDiv w:val="1"/>
      <w:marLeft w:val="0"/>
      <w:marRight w:val="0"/>
      <w:marTop w:val="0"/>
      <w:marBottom w:val="0"/>
      <w:divBdr>
        <w:top w:val="none" w:sz="0" w:space="0" w:color="auto"/>
        <w:left w:val="none" w:sz="0" w:space="0" w:color="auto"/>
        <w:bottom w:val="none" w:sz="0" w:space="0" w:color="auto"/>
        <w:right w:val="none" w:sz="0" w:space="0" w:color="auto"/>
      </w:divBdr>
    </w:div>
    <w:div w:id="594050121">
      <w:bodyDiv w:val="1"/>
      <w:marLeft w:val="0"/>
      <w:marRight w:val="0"/>
      <w:marTop w:val="0"/>
      <w:marBottom w:val="0"/>
      <w:divBdr>
        <w:top w:val="none" w:sz="0" w:space="0" w:color="auto"/>
        <w:left w:val="none" w:sz="0" w:space="0" w:color="auto"/>
        <w:bottom w:val="none" w:sz="0" w:space="0" w:color="auto"/>
        <w:right w:val="none" w:sz="0" w:space="0" w:color="auto"/>
      </w:divBdr>
    </w:div>
    <w:div w:id="595750414">
      <w:bodyDiv w:val="1"/>
      <w:marLeft w:val="0"/>
      <w:marRight w:val="0"/>
      <w:marTop w:val="0"/>
      <w:marBottom w:val="0"/>
      <w:divBdr>
        <w:top w:val="none" w:sz="0" w:space="0" w:color="auto"/>
        <w:left w:val="none" w:sz="0" w:space="0" w:color="auto"/>
        <w:bottom w:val="none" w:sz="0" w:space="0" w:color="auto"/>
        <w:right w:val="none" w:sz="0" w:space="0" w:color="auto"/>
      </w:divBdr>
    </w:div>
    <w:div w:id="603537065">
      <w:bodyDiv w:val="1"/>
      <w:marLeft w:val="0"/>
      <w:marRight w:val="0"/>
      <w:marTop w:val="0"/>
      <w:marBottom w:val="0"/>
      <w:divBdr>
        <w:top w:val="none" w:sz="0" w:space="0" w:color="auto"/>
        <w:left w:val="none" w:sz="0" w:space="0" w:color="auto"/>
        <w:bottom w:val="none" w:sz="0" w:space="0" w:color="auto"/>
        <w:right w:val="none" w:sz="0" w:space="0" w:color="auto"/>
      </w:divBdr>
    </w:div>
    <w:div w:id="611202557">
      <w:bodyDiv w:val="1"/>
      <w:marLeft w:val="0"/>
      <w:marRight w:val="0"/>
      <w:marTop w:val="0"/>
      <w:marBottom w:val="0"/>
      <w:divBdr>
        <w:top w:val="none" w:sz="0" w:space="0" w:color="auto"/>
        <w:left w:val="none" w:sz="0" w:space="0" w:color="auto"/>
        <w:bottom w:val="none" w:sz="0" w:space="0" w:color="auto"/>
        <w:right w:val="none" w:sz="0" w:space="0" w:color="auto"/>
      </w:divBdr>
    </w:div>
    <w:div w:id="614410725">
      <w:bodyDiv w:val="1"/>
      <w:marLeft w:val="0"/>
      <w:marRight w:val="0"/>
      <w:marTop w:val="0"/>
      <w:marBottom w:val="0"/>
      <w:divBdr>
        <w:top w:val="none" w:sz="0" w:space="0" w:color="auto"/>
        <w:left w:val="none" w:sz="0" w:space="0" w:color="auto"/>
        <w:bottom w:val="none" w:sz="0" w:space="0" w:color="auto"/>
        <w:right w:val="none" w:sz="0" w:space="0" w:color="auto"/>
      </w:divBdr>
    </w:div>
    <w:div w:id="638731662">
      <w:bodyDiv w:val="1"/>
      <w:marLeft w:val="0"/>
      <w:marRight w:val="0"/>
      <w:marTop w:val="0"/>
      <w:marBottom w:val="0"/>
      <w:divBdr>
        <w:top w:val="none" w:sz="0" w:space="0" w:color="auto"/>
        <w:left w:val="none" w:sz="0" w:space="0" w:color="auto"/>
        <w:bottom w:val="none" w:sz="0" w:space="0" w:color="auto"/>
        <w:right w:val="none" w:sz="0" w:space="0" w:color="auto"/>
      </w:divBdr>
    </w:div>
    <w:div w:id="672878010">
      <w:bodyDiv w:val="1"/>
      <w:marLeft w:val="0"/>
      <w:marRight w:val="0"/>
      <w:marTop w:val="0"/>
      <w:marBottom w:val="0"/>
      <w:divBdr>
        <w:top w:val="none" w:sz="0" w:space="0" w:color="auto"/>
        <w:left w:val="none" w:sz="0" w:space="0" w:color="auto"/>
        <w:bottom w:val="none" w:sz="0" w:space="0" w:color="auto"/>
        <w:right w:val="none" w:sz="0" w:space="0" w:color="auto"/>
      </w:divBdr>
    </w:div>
    <w:div w:id="687801566">
      <w:bodyDiv w:val="1"/>
      <w:marLeft w:val="0"/>
      <w:marRight w:val="0"/>
      <w:marTop w:val="0"/>
      <w:marBottom w:val="0"/>
      <w:divBdr>
        <w:top w:val="none" w:sz="0" w:space="0" w:color="auto"/>
        <w:left w:val="none" w:sz="0" w:space="0" w:color="auto"/>
        <w:bottom w:val="none" w:sz="0" w:space="0" w:color="auto"/>
        <w:right w:val="none" w:sz="0" w:space="0" w:color="auto"/>
      </w:divBdr>
    </w:div>
    <w:div w:id="695227718">
      <w:bodyDiv w:val="1"/>
      <w:marLeft w:val="0"/>
      <w:marRight w:val="0"/>
      <w:marTop w:val="0"/>
      <w:marBottom w:val="0"/>
      <w:divBdr>
        <w:top w:val="none" w:sz="0" w:space="0" w:color="auto"/>
        <w:left w:val="none" w:sz="0" w:space="0" w:color="auto"/>
        <w:bottom w:val="none" w:sz="0" w:space="0" w:color="auto"/>
        <w:right w:val="none" w:sz="0" w:space="0" w:color="auto"/>
      </w:divBdr>
    </w:div>
    <w:div w:id="714043138">
      <w:bodyDiv w:val="1"/>
      <w:marLeft w:val="0"/>
      <w:marRight w:val="0"/>
      <w:marTop w:val="0"/>
      <w:marBottom w:val="0"/>
      <w:divBdr>
        <w:top w:val="none" w:sz="0" w:space="0" w:color="auto"/>
        <w:left w:val="none" w:sz="0" w:space="0" w:color="auto"/>
        <w:bottom w:val="none" w:sz="0" w:space="0" w:color="auto"/>
        <w:right w:val="none" w:sz="0" w:space="0" w:color="auto"/>
      </w:divBdr>
    </w:div>
    <w:div w:id="742527640">
      <w:bodyDiv w:val="1"/>
      <w:marLeft w:val="0"/>
      <w:marRight w:val="0"/>
      <w:marTop w:val="0"/>
      <w:marBottom w:val="0"/>
      <w:divBdr>
        <w:top w:val="none" w:sz="0" w:space="0" w:color="auto"/>
        <w:left w:val="none" w:sz="0" w:space="0" w:color="auto"/>
        <w:bottom w:val="none" w:sz="0" w:space="0" w:color="auto"/>
        <w:right w:val="none" w:sz="0" w:space="0" w:color="auto"/>
      </w:divBdr>
    </w:div>
    <w:div w:id="770126751">
      <w:bodyDiv w:val="1"/>
      <w:marLeft w:val="0"/>
      <w:marRight w:val="0"/>
      <w:marTop w:val="0"/>
      <w:marBottom w:val="0"/>
      <w:divBdr>
        <w:top w:val="none" w:sz="0" w:space="0" w:color="auto"/>
        <w:left w:val="none" w:sz="0" w:space="0" w:color="auto"/>
        <w:bottom w:val="none" w:sz="0" w:space="0" w:color="auto"/>
        <w:right w:val="none" w:sz="0" w:space="0" w:color="auto"/>
      </w:divBdr>
    </w:div>
    <w:div w:id="789787250">
      <w:bodyDiv w:val="1"/>
      <w:marLeft w:val="0"/>
      <w:marRight w:val="0"/>
      <w:marTop w:val="0"/>
      <w:marBottom w:val="0"/>
      <w:divBdr>
        <w:top w:val="none" w:sz="0" w:space="0" w:color="auto"/>
        <w:left w:val="none" w:sz="0" w:space="0" w:color="auto"/>
        <w:bottom w:val="none" w:sz="0" w:space="0" w:color="auto"/>
        <w:right w:val="none" w:sz="0" w:space="0" w:color="auto"/>
      </w:divBdr>
    </w:div>
    <w:div w:id="805706956">
      <w:bodyDiv w:val="1"/>
      <w:marLeft w:val="0"/>
      <w:marRight w:val="0"/>
      <w:marTop w:val="0"/>
      <w:marBottom w:val="0"/>
      <w:divBdr>
        <w:top w:val="none" w:sz="0" w:space="0" w:color="auto"/>
        <w:left w:val="none" w:sz="0" w:space="0" w:color="auto"/>
        <w:bottom w:val="none" w:sz="0" w:space="0" w:color="auto"/>
        <w:right w:val="none" w:sz="0" w:space="0" w:color="auto"/>
      </w:divBdr>
    </w:div>
    <w:div w:id="828059614">
      <w:bodyDiv w:val="1"/>
      <w:marLeft w:val="0"/>
      <w:marRight w:val="0"/>
      <w:marTop w:val="0"/>
      <w:marBottom w:val="0"/>
      <w:divBdr>
        <w:top w:val="none" w:sz="0" w:space="0" w:color="auto"/>
        <w:left w:val="none" w:sz="0" w:space="0" w:color="auto"/>
        <w:bottom w:val="none" w:sz="0" w:space="0" w:color="auto"/>
        <w:right w:val="none" w:sz="0" w:space="0" w:color="auto"/>
      </w:divBdr>
    </w:div>
    <w:div w:id="840391823">
      <w:bodyDiv w:val="1"/>
      <w:marLeft w:val="0"/>
      <w:marRight w:val="0"/>
      <w:marTop w:val="0"/>
      <w:marBottom w:val="0"/>
      <w:divBdr>
        <w:top w:val="none" w:sz="0" w:space="0" w:color="auto"/>
        <w:left w:val="none" w:sz="0" w:space="0" w:color="auto"/>
        <w:bottom w:val="none" w:sz="0" w:space="0" w:color="auto"/>
        <w:right w:val="none" w:sz="0" w:space="0" w:color="auto"/>
      </w:divBdr>
    </w:div>
    <w:div w:id="842934429">
      <w:bodyDiv w:val="1"/>
      <w:marLeft w:val="0"/>
      <w:marRight w:val="0"/>
      <w:marTop w:val="0"/>
      <w:marBottom w:val="0"/>
      <w:divBdr>
        <w:top w:val="none" w:sz="0" w:space="0" w:color="auto"/>
        <w:left w:val="none" w:sz="0" w:space="0" w:color="auto"/>
        <w:bottom w:val="none" w:sz="0" w:space="0" w:color="auto"/>
        <w:right w:val="none" w:sz="0" w:space="0" w:color="auto"/>
      </w:divBdr>
    </w:div>
    <w:div w:id="858156791">
      <w:bodyDiv w:val="1"/>
      <w:marLeft w:val="0"/>
      <w:marRight w:val="0"/>
      <w:marTop w:val="0"/>
      <w:marBottom w:val="0"/>
      <w:divBdr>
        <w:top w:val="none" w:sz="0" w:space="0" w:color="auto"/>
        <w:left w:val="none" w:sz="0" w:space="0" w:color="auto"/>
        <w:bottom w:val="none" w:sz="0" w:space="0" w:color="auto"/>
        <w:right w:val="none" w:sz="0" w:space="0" w:color="auto"/>
      </w:divBdr>
    </w:div>
    <w:div w:id="929851886">
      <w:bodyDiv w:val="1"/>
      <w:marLeft w:val="0"/>
      <w:marRight w:val="0"/>
      <w:marTop w:val="0"/>
      <w:marBottom w:val="0"/>
      <w:divBdr>
        <w:top w:val="none" w:sz="0" w:space="0" w:color="auto"/>
        <w:left w:val="none" w:sz="0" w:space="0" w:color="auto"/>
        <w:bottom w:val="none" w:sz="0" w:space="0" w:color="auto"/>
        <w:right w:val="none" w:sz="0" w:space="0" w:color="auto"/>
      </w:divBdr>
    </w:div>
    <w:div w:id="956059559">
      <w:bodyDiv w:val="1"/>
      <w:marLeft w:val="0"/>
      <w:marRight w:val="0"/>
      <w:marTop w:val="0"/>
      <w:marBottom w:val="0"/>
      <w:divBdr>
        <w:top w:val="none" w:sz="0" w:space="0" w:color="auto"/>
        <w:left w:val="none" w:sz="0" w:space="0" w:color="auto"/>
        <w:bottom w:val="none" w:sz="0" w:space="0" w:color="auto"/>
        <w:right w:val="none" w:sz="0" w:space="0" w:color="auto"/>
      </w:divBdr>
    </w:div>
    <w:div w:id="991762822">
      <w:bodyDiv w:val="1"/>
      <w:marLeft w:val="0"/>
      <w:marRight w:val="0"/>
      <w:marTop w:val="0"/>
      <w:marBottom w:val="0"/>
      <w:divBdr>
        <w:top w:val="none" w:sz="0" w:space="0" w:color="auto"/>
        <w:left w:val="none" w:sz="0" w:space="0" w:color="auto"/>
        <w:bottom w:val="none" w:sz="0" w:space="0" w:color="auto"/>
        <w:right w:val="none" w:sz="0" w:space="0" w:color="auto"/>
      </w:divBdr>
    </w:div>
    <w:div w:id="1007177907">
      <w:bodyDiv w:val="1"/>
      <w:marLeft w:val="0"/>
      <w:marRight w:val="0"/>
      <w:marTop w:val="0"/>
      <w:marBottom w:val="0"/>
      <w:divBdr>
        <w:top w:val="none" w:sz="0" w:space="0" w:color="auto"/>
        <w:left w:val="none" w:sz="0" w:space="0" w:color="auto"/>
        <w:bottom w:val="none" w:sz="0" w:space="0" w:color="auto"/>
        <w:right w:val="none" w:sz="0" w:space="0" w:color="auto"/>
      </w:divBdr>
    </w:div>
    <w:div w:id="1035229807">
      <w:bodyDiv w:val="1"/>
      <w:marLeft w:val="0"/>
      <w:marRight w:val="0"/>
      <w:marTop w:val="0"/>
      <w:marBottom w:val="0"/>
      <w:divBdr>
        <w:top w:val="none" w:sz="0" w:space="0" w:color="auto"/>
        <w:left w:val="none" w:sz="0" w:space="0" w:color="auto"/>
        <w:bottom w:val="none" w:sz="0" w:space="0" w:color="auto"/>
        <w:right w:val="none" w:sz="0" w:space="0" w:color="auto"/>
      </w:divBdr>
    </w:div>
    <w:div w:id="1044257262">
      <w:bodyDiv w:val="1"/>
      <w:marLeft w:val="0"/>
      <w:marRight w:val="0"/>
      <w:marTop w:val="0"/>
      <w:marBottom w:val="0"/>
      <w:divBdr>
        <w:top w:val="none" w:sz="0" w:space="0" w:color="auto"/>
        <w:left w:val="none" w:sz="0" w:space="0" w:color="auto"/>
        <w:bottom w:val="none" w:sz="0" w:space="0" w:color="auto"/>
        <w:right w:val="none" w:sz="0" w:space="0" w:color="auto"/>
      </w:divBdr>
    </w:div>
    <w:div w:id="1062211103">
      <w:bodyDiv w:val="1"/>
      <w:marLeft w:val="0"/>
      <w:marRight w:val="0"/>
      <w:marTop w:val="0"/>
      <w:marBottom w:val="0"/>
      <w:divBdr>
        <w:top w:val="none" w:sz="0" w:space="0" w:color="auto"/>
        <w:left w:val="none" w:sz="0" w:space="0" w:color="auto"/>
        <w:bottom w:val="none" w:sz="0" w:space="0" w:color="auto"/>
        <w:right w:val="none" w:sz="0" w:space="0" w:color="auto"/>
      </w:divBdr>
    </w:div>
    <w:div w:id="1068960266">
      <w:bodyDiv w:val="1"/>
      <w:marLeft w:val="0"/>
      <w:marRight w:val="0"/>
      <w:marTop w:val="0"/>
      <w:marBottom w:val="0"/>
      <w:divBdr>
        <w:top w:val="none" w:sz="0" w:space="0" w:color="auto"/>
        <w:left w:val="none" w:sz="0" w:space="0" w:color="auto"/>
        <w:bottom w:val="none" w:sz="0" w:space="0" w:color="auto"/>
        <w:right w:val="none" w:sz="0" w:space="0" w:color="auto"/>
      </w:divBdr>
    </w:div>
    <w:div w:id="1096054623">
      <w:bodyDiv w:val="1"/>
      <w:marLeft w:val="0"/>
      <w:marRight w:val="0"/>
      <w:marTop w:val="0"/>
      <w:marBottom w:val="0"/>
      <w:divBdr>
        <w:top w:val="none" w:sz="0" w:space="0" w:color="auto"/>
        <w:left w:val="none" w:sz="0" w:space="0" w:color="auto"/>
        <w:bottom w:val="none" w:sz="0" w:space="0" w:color="auto"/>
        <w:right w:val="none" w:sz="0" w:space="0" w:color="auto"/>
      </w:divBdr>
    </w:div>
    <w:div w:id="1096832059">
      <w:bodyDiv w:val="1"/>
      <w:marLeft w:val="0"/>
      <w:marRight w:val="0"/>
      <w:marTop w:val="0"/>
      <w:marBottom w:val="0"/>
      <w:divBdr>
        <w:top w:val="none" w:sz="0" w:space="0" w:color="auto"/>
        <w:left w:val="none" w:sz="0" w:space="0" w:color="auto"/>
        <w:bottom w:val="none" w:sz="0" w:space="0" w:color="auto"/>
        <w:right w:val="none" w:sz="0" w:space="0" w:color="auto"/>
      </w:divBdr>
    </w:div>
    <w:div w:id="1098257264">
      <w:bodyDiv w:val="1"/>
      <w:marLeft w:val="0"/>
      <w:marRight w:val="0"/>
      <w:marTop w:val="0"/>
      <w:marBottom w:val="0"/>
      <w:divBdr>
        <w:top w:val="none" w:sz="0" w:space="0" w:color="auto"/>
        <w:left w:val="none" w:sz="0" w:space="0" w:color="auto"/>
        <w:bottom w:val="none" w:sz="0" w:space="0" w:color="auto"/>
        <w:right w:val="none" w:sz="0" w:space="0" w:color="auto"/>
      </w:divBdr>
    </w:div>
    <w:div w:id="1107887859">
      <w:bodyDiv w:val="1"/>
      <w:marLeft w:val="0"/>
      <w:marRight w:val="0"/>
      <w:marTop w:val="0"/>
      <w:marBottom w:val="0"/>
      <w:divBdr>
        <w:top w:val="none" w:sz="0" w:space="0" w:color="auto"/>
        <w:left w:val="none" w:sz="0" w:space="0" w:color="auto"/>
        <w:bottom w:val="none" w:sz="0" w:space="0" w:color="auto"/>
        <w:right w:val="none" w:sz="0" w:space="0" w:color="auto"/>
      </w:divBdr>
    </w:div>
    <w:div w:id="1135485825">
      <w:bodyDiv w:val="1"/>
      <w:marLeft w:val="0"/>
      <w:marRight w:val="0"/>
      <w:marTop w:val="0"/>
      <w:marBottom w:val="0"/>
      <w:divBdr>
        <w:top w:val="none" w:sz="0" w:space="0" w:color="auto"/>
        <w:left w:val="none" w:sz="0" w:space="0" w:color="auto"/>
        <w:bottom w:val="none" w:sz="0" w:space="0" w:color="auto"/>
        <w:right w:val="none" w:sz="0" w:space="0" w:color="auto"/>
      </w:divBdr>
    </w:div>
    <w:div w:id="1197548252">
      <w:bodyDiv w:val="1"/>
      <w:marLeft w:val="0"/>
      <w:marRight w:val="0"/>
      <w:marTop w:val="0"/>
      <w:marBottom w:val="0"/>
      <w:divBdr>
        <w:top w:val="none" w:sz="0" w:space="0" w:color="auto"/>
        <w:left w:val="none" w:sz="0" w:space="0" w:color="auto"/>
        <w:bottom w:val="none" w:sz="0" w:space="0" w:color="auto"/>
        <w:right w:val="none" w:sz="0" w:space="0" w:color="auto"/>
      </w:divBdr>
    </w:div>
    <w:div w:id="1258518347">
      <w:bodyDiv w:val="1"/>
      <w:marLeft w:val="0"/>
      <w:marRight w:val="0"/>
      <w:marTop w:val="0"/>
      <w:marBottom w:val="0"/>
      <w:divBdr>
        <w:top w:val="none" w:sz="0" w:space="0" w:color="auto"/>
        <w:left w:val="none" w:sz="0" w:space="0" w:color="auto"/>
        <w:bottom w:val="none" w:sz="0" w:space="0" w:color="auto"/>
        <w:right w:val="none" w:sz="0" w:space="0" w:color="auto"/>
      </w:divBdr>
    </w:div>
    <w:div w:id="1266428081">
      <w:bodyDiv w:val="1"/>
      <w:marLeft w:val="0"/>
      <w:marRight w:val="0"/>
      <w:marTop w:val="0"/>
      <w:marBottom w:val="0"/>
      <w:divBdr>
        <w:top w:val="none" w:sz="0" w:space="0" w:color="auto"/>
        <w:left w:val="none" w:sz="0" w:space="0" w:color="auto"/>
        <w:bottom w:val="none" w:sz="0" w:space="0" w:color="auto"/>
        <w:right w:val="none" w:sz="0" w:space="0" w:color="auto"/>
      </w:divBdr>
    </w:div>
    <w:div w:id="1273365490">
      <w:bodyDiv w:val="1"/>
      <w:marLeft w:val="0"/>
      <w:marRight w:val="0"/>
      <w:marTop w:val="0"/>
      <w:marBottom w:val="0"/>
      <w:divBdr>
        <w:top w:val="none" w:sz="0" w:space="0" w:color="auto"/>
        <w:left w:val="none" w:sz="0" w:space="0" w:color="auto"/>
        <w:bottom w:val="none" w:sz="0" w:space="0" w:color="auto"/>
        <w:right w:val="none" w:sz="0" w:space="0" w:color="auto"/>
      </w:divBdr>
    </w:div>
    <w:div w:id="1298144384">
      <w:bodyDiv w:val="1"/>
      <w:marLeft w:val="0"/>
      <w:marRight w:val="0"/>
      <w:marTop w:val="0"/>
      <w:marBottom w:val="0"/>
      <w:divBdr>
        <w:top w:val="none" w:sz="0" w:space="0" w:color="auto"/>
        <w:left w:val="none" w:sz="0" w:space="0" w:color="auto"/>
        <w:bottom w:val="none" w:sz="0" w:space="0" w:color="auto"/>
        <w:right w:val="none" w:sz="0" w:space="0" w:color="auto"/>
      </w:divBdr>
    </w:div>
    <w:div w:id="1298757252">
      <w:bodyDiv w:val="1"/>
      <w:marLeft w:val="0"/>
      <w:marRight w:val="0"/>
      <w:marTop w:val="0"/>
      <w:marBottom w:val="0"/>
      <w:divBdr>
        <w:top w:val="none" w:sz="0" w:space="0" w:color="auto"/>
        <w:left w:val="none" w:sz="0" w:space="0" w:color="auto"/>
        <w:bottom w:val="none" w:sz="0" w:space="0" w:color="auto"/>
        <w:right w:val="none" w:sz="0" w:space="0" w:color="auto"/>
      </w:divBdr>
    </w:div>
    <w:div w:id="1309937781">
      <w:bodyDiv w:val="1"/>
      <w:marLeft w:val="0"/>
      <w:marRight w:val="0"/>
      <w:marTop w:val="0"/>
      <w:marBottom w:val="0"/>
      <w:divBdr>
        <w:top w:val="none" w:sz="0" w:space="0" w:color="auto"/>
        <w:left w:val="none" w:sz="0" w:space="0" w:color="auto"/>
        <w:bottom w:val="none" w:sz="0" w:space="0" w:color="auto"/>
        <w:right w:val="none" w:sz="0" w:space="0" w:color="auto"/>
      </w:divBdr>
    </w:div>
    <w:div w:id="1316297055">
      <w:bodyDiv w:val="1"/>
      <w:marLeft w:val="0"/>
      <w:marRight w:val="0"/>
      <w:marTop w:val="0"/>
      <w:marBottom w:val="0"/>
      <w:divBdr>
        <w:top w:val="none" w:sz="0" w:space="0" w:color="auto"/>
        <w:left w:val="none" w:sz="0" w:space="0" w:color="auto"/>
        <w:bottom w:val="none" w:sz="0" w:space="0" w:color="auto"/>
        <w:right w:val="none" w:sz="0" w:space="0" w:color="auto"/>
      </w:divBdr>
    </w:div>
    <w:div w:id="1385519111">
      <w:bodyDiv w:val="1"/>
      <w:marLeft w:val="0"/>
      <w:marRight w:val="0"/>
      <w:marTop w:val="0"/>
      <w:marBottom w:val="0"/>
      <w:divBdr>
        <w:top w:val="none" w:sz="0" w:space="0" w:color="auto"/>
        <w:left w:val="none" w:sz="0" w:space="0" w:color="auto"/>
        <w:bottom w:val="none" w:sz="0" w:space="0" w:color="auto"/>
        <w:right w:val="none" w:sz="0" w:space="0" w:color="auto"/>
      </w:divBdr>
    </w:div>
    <w:div w:id="1396900131">
      <w:bodyDiv w:val="1"/>
      <w:marLeft w:val="0"/>
      <w:marRight w:val="0"/>
      <w:marTop w:val="0"/>
      <w:marBottom w:val="0"/>
      <w:divBdr>
        <w:top w:val="none" w:sz="0" w:space="0" w:color="auto"/>
        <w:left w:val="none" w:sz="0" w:space="0" w:color="auto"/>
        <w:bottom w:val="none" w:sz="0" w:space="0" w:color="auto"/>
        <w:right w:val="none" w:sz="0" w:space="0" w:color="auto"/>
      </w:divBdr>
    </w:div>
    <w:div w:id="1439983982">
      <w:bodyDiv w:val="1"/>
      <w:marLeft w:val="0"/>
      <w:marRight w:val="0"/>
      <w:marTop w:val="0"/>
      <w:marBottom w:val="0"/>
      <w:divBdr>
        <w:top w:val="none" w:sz="0" w:space="0" w:color="auto"/>
        <w:left w:val="none" w:sz="0" w:space="0" w:color="auto"/>
        <w:bottom w:val="none" w:sz="0" w:space="0" w:color="auto"/>
        <w:right w:val="none" w:sz="0" w:space="0" w:color="auto"/>
      </w:divBdr>
    </w:div>
    <w:div w:id="1442341522">
      <w:bodyDiv w:val="1"/>
      <w:marLeft w:val="0"/>
      <w:marRight w:val="0"/>
      <w:marTop w:val="0"/>
      <w:marBottom w:val="0"/>
      <w:divBdr>
        <w:top w:val="none" w:sz="0" w:space="0" w:color="auto"/>
        <w:left w:val="none" w:sz="0" w:space="0" w:color="auto"/>
        <w:bottom w:val="none" w:sz="0" w:space="0" w:color="auto"/>
        <w:right w:val="none" w:sz="0" w:space="0" w:color="auto"/>
      </w:divBdr>
    </w:div>
    <w:div w:id="1450129674">
      <w:bodyDiv w:val="1"/>
      <w:marLeft w:val="0"/>
      <w:marRight w:val="0"/>
      <w:marTop w:val="0"/>
      <w:marBottom w:val="0"/>
      <w:divBdr>
        <w:top w:val="none" w:sz="0" w:space="0" w:color="auto"/>
        <w:left w:val="none" w:sz="0" w:space="0" w:color="auto"/>
        <w:bottom w:val="none" w:sz="0" w:space="0" w:color="auto"/>
        <w:right w:val="none" w:sz="0" w:space="0" w:color="auto"/>
      </w:divBdr>
      <w:divsChild>
        <w:div w:id="376246522">
          <w:marLeft w:val="274"/>
          <w:marRight w:val="0"/>
          <w:marTop w:val="0"/>
          <w:marBottom w:val="0"/>
          <w:divBdr>
            <w:top w:val="none" w:sz="0" w:space="0" w:color="auto"/>
            <w:left w:val="none" w:sz="0" w:space="0" w:color="auto"/>
            <w:bottom w:val="none" w:sz="0" w:space="0" w:color="auto"/>
            <w:right w:val="none" w:sz="0" w:space="0" w:color="auto"/>
          </w:divBdr>
        </w:div>
        <w:div w:id="500776971">
          <w:marLeft w:val="274"/>
          <w:marRight w:val="0"/>
          <w:marTop w:val="0"/>
          <w:marBottom w:val="0"/>
          <w:divBdr>
            <w:top w:val="none" w:sz="0" w:space="0" w:color="auto"/>
            <w:left w:val="none" w:sz="0" w:space="0" w:color="auto"/>
            <w:bottom w:val="none" w:sz="0" w:space="0" w:color="auto"/>
            <w:right w:val="none" w:sz="0" w:space="0" w:color="auto"/>
          </w:divBdr>
        </w:div>
        <w:div w:id="1396391546">
          <w:marLeft w:val="274"/>
          <w:marRight w:val="0"/>
          <w:marTop w:val="0"/>
          <w:marBottom w:val="0"/>
          <w:divBdr>
            <w:top w:val="none" w:sz="0" w:space="0" w:color="auto"/>
            <w:left w:val="none" w:sz="0" w:space="0" w:color="auto"/>
            <w:bottom w:val="none" w:sz="0" w:space="0" w:color="auto"/>
            <w:right w:val="none" w:sz="0" w:space="0" w:color="auto"/>
          </w:divBdr>
        </w:div>
        <w:div w:id="2076586003">
          <w:marLeft w:val="274"/>
          <w:marRight w:val="0"/>
          <w:marTop w:val="0"/>
          <w:marBottom w:val="0"/>
          <w:divBdr>
            <w:top w:val="none" w:sz="0" w:space="0" w:color="auto"/>
            <w:left w:val="none" w:sz="0" w:space="0" w:color="auto"/>
            <w:bottom w:val="none" w:sz="0" w:space="0" w:color="auto"/>
            <w:right w:val="none" w:sz="0" w:space="0" w:color="auto"/>
          </w:divBdr>
        </w:div>
        <w:div w:id="2093113216">
          <w:marLeft w:val="274"/>
          <w:marRight w:val="0"/>
          <w:marTop w:val="0"/>
          <w:marBottom w:val="0"/>
          <w:divBdr>
            <w:top w:val="none" w:sz="0" w:space="0" w:color="auto"/>
            <w:left w:val="none" w:sz="0" w:space="0" w:color="auto"/>
            <w:bottom w:val="none" w:sz="0" w:space="0" w:color="auto"/>
            <w:right w:val="none" w:sz="0" w:space="0" w:color="auto"/>
          </w:divBdr>
        </w:div>
      </w:divsChild>
    </w:div>
    <w:div w:id="1455099108">
      <w:bodyDiv w:val="1"/>
      <w:marLeft w:val="0"/>
      <w:marRight w:val="0"/>
      <w:marTop w:val="0"/>
      <w:marBottom w:val="0"/>
      <w:divBdr>
        <w:top w:val="none" w:sz="0" w:space="0" w:color="auto"/>
        <w:left w:val="none" w:sz="0" w:space="0" w:color="auto"/>
        <w:bottom w:val="none" w:sz="0" w:space="0" w:color="auto"/>
        <w:right w:val="none" w:sz="0" w:space="0" w:color="auto"/>
      </w:divBdr>
    </w:div>
    <w:div w:id="1480997512">
      <w:bodyDiv w:val="1"/>
      <w:marLeft w:val="0"/>
      <w:marRight w:val="0"/>
      <w:marTop w:val="0"/>
      <w:marBottom w:val="0"/>
      <w:divBdr>
        <w:top w:val="none" w:sz="0" w:space="0" w:color="auto"/>
        <w:left w:val="none" w:sz="0" w:space="0" w:color="auto"/>
        <w:bottom w:val="none" w:sz="0" w:space="0" w:color="auto"/>
        <w:right w:val="none" w:sz="0" w:space="0" w:color="auto"/>
      </w:divBdr>
    </w:div>
    <w:div w:id="1500317176">
      <w:bodyDiv w:val="1"/>
      <w:marLeft w:val="0"/>
      <w:marRight w:val="0"/>
      <w:marTop w:val="0"/>
      <w:marBottom w:val="0"/>
      <w:divBdr>
        <w:top w:val="none" w:sz="0" w:space="0" w:color="auto"/>
        <w:left w:val="none" w:sz="0" w:space="0" w:color="auto"/>
        <w:bottom w:val="none" w:sz="0" w:space="0" w:color="auto"/>
        <w:right w:val="none" w:sz="0" w:space="0" w:color="auto"/>
      </w:divBdr>
    </w:div>
    <w:div w:id="1514566531">
      <w:bodyDiv w:val="1"/>
      <w:marLeft w:val="0"/>
      <w:marRight w:val="0"/>
      <w:marTop w:val="0"/>
      <w:marBottom w:val="0"/>
      <w:divBdr>
        <w:top w:val="none" w:sz="0" w:space="0" w:color="auto"/>
        <w:left w:val="none" w:sz="0" w:space="0" w:color="auto"/>
        <w:bottom w:val="none" w:sz="0" w:space="0" w:color="auto"/>
        <w:right w:val="none" w:sz="0" w:space="0" w:color="auto"/>
      </w:divBdr>
    </w:div>
    <w:div w:id="1514609186">
      <w:bodyDiv w:val="1"/>
      <w:marLeft w:val="0"/>
      <w:marRight w:val="0"/>
      <w:marTop w:val="0"/>
      <w:marBottom w:val="0"/>
      <w:divBdr>
        <w:top w:val="none" w:sz="0" w:space="0" w:color="auto"/>
        <w:left w:val="none" w:sz="0" w:space="0" w:color="auto"/>
        <w:bottom w:val="none" w:sz="0" w:space="0" w:color="auto"/>
        <w:right w:val="none" w:sz="0" w:space="0" w:color="auto"/>
      </w:divBdr>
    </w:div>
    <w:div w:id="1558931327">
      <w:bodyDiv w:val="1"/>
      <w:marLeft w:val="0"/>
      <w:marRight w:val="0"/>
      <w:marTop w:val="0"/>
      <w:marBottom w:val="0"/>
      <w:divBdr>
        <w:top w:val="none" w:sz="0" w:space="0" w:color="auto"/>
        <w:left w:val="none" w:sz="0" w:space="0" w:color="auto"/>
        <w:bottom w:val="none" w:sz="0" w:space="0" w:color="auto"/>
        <w:right w:val="none" w:sz="0" w:space="0" w:color="auto"/>
      </w:divBdr>
    </w:div>
    <w:div w:id="1592087716">
      <w:bodyDiv w:val="1"/>
      <w:marLeft w:val="0"/>
      <w:marRight w:val="0"/>
      <w:marTop w:val="0"/>
      <w:marBottom w:val="0"/>
      <w:divBdr>
        <w:top w:val="none" w:sz="0" w:space="0" w:color="auto"/>
        <w:left w:val="none" w:sz="0" w:space="0" w:color="auto"/>
        <w:bottom w:val="none" w:sz="0" w:space="0" w:color="auto"/>
        <w:right w:val="none" w:sz="0" w:space="0" w:color="auto"/>
      </w:divBdr>
    </w:div>
    <w:div w:id="1631591930">
      <w:bodyDiv w:val="1"/>
      <w:marLeft w:val="0"/>
      <w:marRight w:val="0"/>
      <w:marTop w:val="0"/>
      <w:marBottom w:val="0"/>
      <w:divBdr>
        <w:top w:val="none" w:sz="0" w:space="0" w:color="auto"/>
        <w:left w:val="none" w:sz="0" w:space="0" w:color="auto"/>
        <w:bottom w:val="none" w:sz="0" w:space="0" w:color="auto"/>
        <w:right w:val="none" w:sz="0" w:space="0" w:color="auto"/>
      </w:divBdr>
    </w:div>
    <w:div w:id="1632441028">
      <w:bodyDiv w:val="1"/>
      <w:marLeft w:val="0"/>
      <w:marRight w:val="0"/>
      <w:marTop w:val="0"/>
      <w:marBottom w:val="0"/>
      <w:divBdr>
        <w:top w:val="none" w:sz="0" w:space="0" w:color="auto"/>
        <w:left w:val="none" w:sz="0" w:space="0" w:color="auto"/>
        <w:bottom w:val="none" w:sz="0" w:space="0" w:color="auto"/>
        <w:right w:val="none" w:sz="0" w:space="0" w:color="auto"/>
      </w:divBdr>
    </w:div>
    <w:div w:id="1665280148">
      <w:bodyDiv w:val="1"/>
      <w:marLeft w:val="0"/>
      <w:marRight w:val="0"/>
      <w:marTop w:val="0"/>
      <w:marBottom w:val="0"/>
      <w:divBdr>
        <w:top w:val="none" w:sz="0" w:space="0" w:color="auto"/>
        <w:left w:val="none" w:sz="0" w:space="0" w:color="auto"/>
        <w:bottom w:val="none" w:sz="0" w:space="0" w:color="auto"/>
        <w:right w:val="none" w:sz="0" w:space="0" w:color="auto"/>
      </w:divBdr>
      <w:divsChild>
        <w:div w:id="1593316890">
          <w:marLeft w:val="0"/>
          <w:marRight w:val="0"/>
          <w:marTop w:val="0"/>
          <w:marBottom w:val="0"/>
          <w:divBdr>
            <w:top w:val="none" w:sz="0" w:space="0" w:color="auto"/>
            <w:left w:val="none" w:sz="0" w:space="0" w:color="auto"/>
            <w:bottom w:val="none" w:sz="0" w:space="0" w:color="auto"/>
            <w:right w:val="none" w:sz="0" w:space="0" w:color="auto"/>
          </w:divBdr>
          <w:divsChild>
            <w:div w:id="1466310287">
              <w:marLeft w:val="0"/>
              <w:marRight w:val="0"/>
              <w:marTop w:val="0"/>
              <w:marBottom w:val="0"/>
              <w:divBdr>
                <w:top w:val="none" w:sz="0" w:space="0" w:color="auto"/>
                <w:left w:val="none" w:sz="0" w:space="0" w:color="auto"/>
                <w:bottom w:val="none" w:sz="0" w:space="0" w:color="auto"/>
                <w:right w:val="none" w:sz="0" w:space="0" w:color="auto"/>
              </w:divBdr>
              <w:divsChild>
                <w:div w:id="935942663">
                  <w:marLeft w:val="0"/>
                  <w:marRight w:val="0"/>
                  <w:marTop w:val="0"/>
                  <w:marBottom w:val="0"/>
                  <w:divBdr>
                    <w:top w:val="none" w:sz="0" w:space="0" w:color="auto"/>
                    <w:left w:val="none" w:sz="0" w:space="0" w:color="auto"/>
                    <w:bottom w:val="none" w:sz="0" w:space="0" w:color="auto"/>
                    <w:right w:val="none" w:sz="0" w:space="0" w:color="auto"/>
                  </w:divBdr>
                  <w:divsChild>
                    <w:div w:id="755715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7054380">
      <w:bodyDiv w:val="1"/>
      <w:marLeft w:val="0"/>
      <w:marRight w:val="0"/>
      <w:marTop w:val="0"/>
      <w:marBottom w:val="0"/>
      <w:divBdr>
        <w:top w:val="none" w:sz="0" w:space="0" w:color="auto"/>
        <w:left w:val="none" w:sz="0" w:space="0" w:color="auto"/>
        <w:bottom w:val="none" w:sz="0" w:space="0" w:color="auto"/>
        <w:right w:val="none" w:sz="0" w:space="0" w:color="auto"/>
      </w:divBdr>
    </w:div>
    <w:div w:id="1710690856">
      <w:bodyDiv w:val="1"/>
      <w:marLeft w:val="0"/>
      <w:marRight w:val="0"/>
      <w:marTop w:val="0"/>
      <w:marBottom w:val="0"/>
      <w:divBdr>
        <w:top w:val="none" w:sz="0" w:space="0" w:color="auto"/>
        <w:left w:val="none" w:sz="0" w:space="0" w:color="auto"/>
        <w:bottom w:val="none" w:sz="0" w:space="0" w:color="auto"/>
        <w:right w:val="none" w:sz="0" w:space="0" w:color="auto"/>
      </w:divBdr>
    </w:div>
    <w:div w:id="1729257150">
      <w:bodyDiv w:val="1"/>
      <w:marLeft w:val="0"/>
      <w:marRight w:val="0"/>
      <w:marTop w:val="0"/>
      <w:marBottom w:val="0"/>
      <w:divBdr>
        <w:top w:val="none" w:sz="0" w:space="0" w:color="auto"/>
        <w:left w:val="none" w:sz="0" w:space="0" w:color="auto"/>
        <w:bottom w:val="none" w:sz="0" w:space="0" w:color="auto"/>
        <w:right w:val="none" w:sz="0" w:space="0" w:color="auto"/>
      </w:divBdr>
    </w:div>
    <w:div w:id="1734964940">
      <w:bodyDiv w:val="1"/>
      <w:marLeft w:val="0"/>
      <w:marRight w:val="0"/>
      <w:marTop w:val="0"/>
      <w:marBottom w:val="0"/>
      <w:divBdr>
        <w:top w:val="none" w:sz="0" w:space="0" w:color="auto"/>
        <w:left w:val="none" w:sz="0" w:space="0" w:color="auto"/>
        <w:bottom w:val="none" w:sz="0" w:space="0" w:color="auto"/>
        <w:right w:val="none" w:sz="0" w:space="0" w:color="auto"/>
      </w:divBdr>
    </w:div>
    <w:div w:id="1739476268">
      <w:bodyDiv w:val="1"/>
      <w:marLeft w:val="0"/>
      <w:marRight w:val="0"/>
      <w:marTop w:val="0"/>
      <w:marBottom w:val="0"/>
      <w:divBdr>
        <w:top w:val="none" w:sz="0" w:space="0" w:color="auto"/>
        <w:left w:val="none" w:sz="0" w:space="0" w:color="auto"/>
        <w:bottom w:val="none" w:sz="0" w:space="0" w:color="auto"/>
        <w:right w:val="none" w:sz="0" w:space="0" w:color="auto"/>
      </w:divBdr>
    </w:div>
    <w:div w:id="1747877417">
      <w:bodyDiv w:val="1"/>
      <w:marLeft w:val="0"/>
      <w:marRight w:val="0"/>
      <w:marTop w:val="0"/>
      <w:marBottom w:val="0"/>
      <w:divBdr>
        <w:top w:val="none" w:sz="0" w:space="0" w:color="auto"/>
        <w:left w:val="none" w:sz="0" w:space="0" w:color="auto"/>
        <w:bottom w:val="none" w:sz="0" w:space="0" w:color="auto"/>
        <w:right w:val="none" w:sz="0" w:space="0" w:color="auto"/>
      </w:divBdr>
    </w:div>
    <w:div w:id="1755273873">
      <w:bodyDiv w:val="1"/>
      <w:marLeft w:val="0"/>
      <w:marRight w:val="0"/>
      <w:marTop w:val="0"/>
      <w:marBottom w:val="0"/>
      <w:divBdr>
        <w:top w:val="none" w:sz="0" w:space="0" w:color="auto"/>
        <w:left w:val="none" w:sz="0" w:space="0" w:color="auto"/>
        <w:bottom w:val="none" w:sz="0" w:space="0" w:color="auto"/>
        <w:right w:val="none" w:sz="0" w:space="0" w:color="auto"/>
      </w:divBdr>
    </w:div>
    <w:div w:id="1805006109">
      <w:bodyDiv w:val="1"/>
      <w:marLeft w:val="0"/>
      <w:marRight w:val="0"/>
      <w:marTop w:val="0"/>
      <w:marBottom w:val="0"/>
      <w:divBdr>
        <w:top w:val="none" w:sz="0" w:space="0" w:color="auto"/>
        <w:left w:val="none" w:sz="0" w:space="0" w:color="auto"/>
        <w:bottom w:val="none" w:sz="0" w:space="0" w:color="auto"/>
        <w:right w:val="none" w:sz="0" w:space="0" w:color="auto"/>
      </w:divBdr>
    </w:div>
    <w:div w:id="1818690639">
      <w:bodyDiv w:val="1"/>
      <w:marLeft w:val="0"/>
      <w:marRight w:val="0"/>
      <w:marTop w:val="0"/>
      <w:marBottom w:val="0"/>
      <w:divBdr>
        <w:top w:val="none" w:sz="0" w:space="0" w:color="auto"/>
        <w:left w:val="none" w:sz="0" w:space="0" w:color="auto"/>
        <w:bottom w:val="none" w:sz="0" w:space="0" w:color="auto"/>
        <w:right w:val="none" w:sz="0" w:space="0" w:color="auto"/>
      </w:divBdr>
    </w:div>
    <w:div w:id="1821992423">
      <w:bodyDiv w:val="1"/>
      <w:marLeft w:val="0"/>
      <w:marRight w:val="0"/>
      <w:marTop w:val="0"/>
      <w:marBottom w:val="0"/>
      <w:divBdr>
        <w:top w:val="none" w:sz="0" w:space="0" w:color="auto"/>
        <w:left w:val="none" w:sz="0" w:space="0" w:color="auto"/>
        <w:bottom w:val="none" w:sz="0" w:space="0" w:color="auto"/>
        <w:right w:val="none" w:sz="0" w:space="0" w:color="auto"/>
      </w:divBdr>
    </w:div>
    <w:div w:id="1823348344">
      <w:bodyDiv w:val="1"/>
      <w:marLeft w:val="0"/>
      <w:marRight w:val="0"/>
      <w:marTop w:val="0"/>
      <w:marBottom w:val="0"/>
      <w:divBdr>
        <w:top w:val="none" w:sz="0" w:space="0" w:color="auto"/>
        <w:left w:val="none" w:sz="0" w:space="0" w:color="auto"/>
        <w:bottom w:val="none" w:sz="0" w:space="0" w:color="auto"/>
        <w:right w:val="none" w:sz="0" w:space="0" w:color="auto"/>
      </w:divBdr>
    </w:div>
    <w:div w:id="1826969073">
      <w:bodyDiv w:val="1"/>
      <w:marLeft w:val="0"/>
      <w:marRight w:val="0"/>
      <w:marTop w:val="0"/>
      <w:marBottom w:val="0"/>
      <w:divBdr>
        <w:top w:val="none" w:sz="0" w:space="0" w:color="auto"/>
        <w:left w:val="none" w:sz="0" w:space="0" w:color="auto"/>
        <w:bottom w:val="none" w:sz="0" w:space="0" w:color="auto"/>
        <w:right w:val="none" w:sz="0" w:space="0" w:color="auto"/>
      </w:divBdr>
    </w:div>
    <w:div w:id="1832331739">
      <w:bodyDiv w:val="1"/>
      <w:marLeft w:val="0"/>
      <w:marRight w:val="0"/>
      <w:marTop w:val="0"/>
      <w:marBottom w:val="0"/>
      <w:divBdr>
        <w:top w:val="none" w:sz="0" w:space="0" w:color="auto"/>
        <w:left w:val="none" w:sz="0" w:space="0" w:color="auto"/>
        <w:bottom w:val="none" w:sz="0" w:space="0" w:color="auto"/>
        <w:right w:val="none" w:sz="0" w:space="0" w:color="auto"/>
      </w:divBdr>
    </w:div>
    <w:div w:id="1854953371">
      <w:bodyDiv w:val="1"/>
      <w:marLeft w:val="0"/>
      <w:marRight w:val="0"/>
      <w:marTop w:val="0"/>
      <w:marBottom w:val="0"/>
      <w:divBdr>
        <w:top w:val="none" w:sz="0" w:space="0" w:color="auto"/>
        <w:left w:val="none" w:sz="0" w:space="0" w:color="auto"/>
        <w:bottom w:val="none" w:sz="0" w:space="0" w:color="auto"/>
        <w:right w:val="none" w:sz="0" w:space="0" w:color="auto"/>
      </w:divBdr>
    </w:div>
    <w:div w:id="1871795253">
      <w:bodyDiv w:val="1"/>
      <w:marLeft w:val="0"/>
      <w:marRight w:val="0"/>
      <w:marTop w:val="0"/>
      <w:marBottom w:val="0"/>
      <w:divBdr>
        <w:top w:val="none" w:sz="0" w:space="0" w:color="auto"/>
        <w:left w:val="none" w:sz="0" w:space="0" w:color="auto"/>
        <w:bottom w:val="none" w:sz="0" w:space="0" w:color="auto"/>
        <w:right w:val="none" w:sz="0" w:space="0" w:color="auto"/>
      </w:divBdr>
    </w:div>
    <w:div w:id="1877962733">
      <w:bodyDiv w:val="1"/>
      <w:marLeft w:val="0"/>
      <w:marRight w:val="0"/>
      <w:marTop w:val="0"/>
      <w:marBottom w:val="0"/>
      <w:divBdr>
        <w:top w:val="none" w:sz="0" w:space="0" w:color="auto"/>
        <w:left w:val="none" w:sz="0" w:space="0" w:color="auto"/>
        <w:bottom w:val="none" w:sz="0" w:space="0" w:color="auto"/>
        <w:right w:val="none" w:sz="0" w:space="0" w:color="auto"/>
      </w:divBdr>
    </w:div>
    <w:div w:id="1885366324">
      <w:bodyDiv w:val="1"/>
      <w:marLeft w:val="0"/>
      <w:marRight w:val="0"/>
      <w:marTop w:val="0"/>
      <w:marBottom w:val="0"/>
      <w:divBdr>
        <w:top w:val="none" w:sz="0" w:space="0" w:color="auto"/>
        <w:left w:val="none" w:sz="0" w:space="0" w:color="auto"/>
        <w:bottom w:val="none" w:sz="0" w:space="0" w:color="auto"/>
        <w:right w:val="none" w:sz="0" w:space="0" w:color="auto"/>
      </w:divBdr>
    </w:div>
    <w:div w:id="1895579994">
      <w:bodyDiv w:val="1"/>
      <w:marLeft w:val="0"/>
      <w:marRight w:val="0"/>
      <w:marTop w:val="0"/>
      <w:marBottom w:val="0"/>
      <w:divBdr>
        <w:top w:val="none" w:sz="0" w:space="0" w:color="auto"/>
        <w:left w:val="none" w:sz="0" w:space="0" w:color="auto"/>
        <w:bottom w:val="none" w:sz="0" w:space="0" w:color="auto"/>
        <w:right w:val="none" w:sz="0" w:space="0" w:color="auto"/>
      </w:divBdr>
    </w:div>
    <w:div w:id="1898399405">
      <w:bodyDiv w:val="1"/>
      <w:marLeft w:val="0"/>
      <w:marRight w:val="0"/>
      <w:marTop w:val="0"/>
      <w:marBottom w:val="0"/>
      <w:divBdr>
        <w:top w:val="none" w:sz="0" w:space="0" w:color="auto"/>
        <w:left w:val="none" w:sz="0" w:space="0" w:color="auto"/>
        <w:bottom w:val="none" w:sz="0" w:space="0" w:color="auto"/>
        <w:right w:val="none" w:sz="0" w:space="0" w:color="auto"/>
      </w:divBdr>
    </w:div>
    <w:div w:id="1898782198">
      <w:bodyDiv w:val="1"/>
      <w:marLeft w:val="0"/>
      <w:marRight w:val="0"/>
      <w:marTop w:val="0"/>
      <w:marBottom w:val="0"/>
      <w:divBdr>
        <w:top w:val="none" w:sz="0" w:space="0" w:color="auto"/>
        <w:left w:val="none" w:sz="0" w:space="0" w:color="auto"/>
        <w:bottom w:val="none" w:sz="0" w:space="0" w:color="auto"/>
        <w:right w:val="none" w:sz="0" w:space="0" w:color="auto"/>
      </w:divBdr>
    </w:div>
    <w:div w:id="1902249679">
      <w:bodyDiv w:val="1"/>
      <w:marLeft w:val="0"/>
      <w:marRight w:val="0"/>
      <w:marTop w:val="0"/>
      <w:marBottom w:val="0"/>
      <w:divBdr>
        <w:top w:val="none" w:sz="0" w:space="0" w:color="auto"/>
        <w:left w:val="none" w:sz="0" w:space="0" w:color="auto"/>
        <w:bottom w:val="none" w:sz="0" w:space="0" w:color="auto"/>
        <w:right w:val="none" w:sz="0" w:space="0" w:color="auto"/>
      </w:divBdr>
    </w:div>
    <w:div w:id="1945069726">
      <w:bodyDiv w:val="1"/>
      <w:marLeft w:val="0"/>
      <w:marRight w:val="0"/>
      <w:marTop w:val="0"/>
      <w:marBottom w:val="0"/>
      <w:divBdr>
        <w:top w:val="none" w:sz="0" w:space="0" w:color="auto"/>
        <w:left w:val="none" w:sz="0" w:space="0" w:color="auto"/>
        <w:bottom w:val="none" w:sz="0" w:space="0" w:color="auto"/>
        <w:right w:val="none" w:sz="0" w:space="0" w:color="auto"/>
      </w:divBdr>
    </w:div>
    <w:div w:id="1952084202">
      <w:bodyDiv w:val="1"/>
      <w:marLeft w:val="0"/>
      <w:marRight w:val="0"/>
      <w:marTop w:val="0"/>
      <w:marBottom w:val="0"/>
      <w:divBdr>
        <w:top w:val="none" w:sz="0" w:space="0" w:color="auto"/>
        <w:left w:val="none" w:sz="0" w:space="0" w:color="auto"/>
        <w:bottom w:val="none" w:sz="0" w:space="0" w:color="auto"/>
        <w:right w:val="none" w:sz="0" w:space="0" w:color="auto"/>
      </w:divBdr>
    </w:div>
    <w:div w:id="1958098100">
      <w:bodyDiv w:val="1"/>
      <w:marLeft w:val="0"/>
      <w:marRight w:val="0"/>
      <w:marTop w:val="0"/>
      <w:marBottom w:val="0"/>
      <w:divBdr>
        <w:top w:val="none" w:sz="0" w:space="0" w:color="auto"/>
        <w:left w:val="none" w:sz="0" w:space="0" w:color="auto"/>
        <w:bottom w:val="none" w:sz="0" w:space="0" w:color="auto"/>
        <w:right w:val="none" w:sz="0" w:space="0" w:color="auto"/>
      </w:divBdr>
    </w:div>
    <w:div w:id="1959481120">
      <w:bodyDiv w:val="1"/>
      <w:marLeft w:val="0"/>
      <w:marRight w:val="0"/>
      <w:marTop w:val="0"/>
      <w:marBottom w:val="0"/>
      <w:divBdr>
        <w:top w:val="none" w:sz="0" w:space="0" w:color="auto"/>
        <w:left w:val="none" w:sz="0" w:space="0" w:color="auto"/>
        <w:bottom w:val="none" w:sz="0" w:space="0" w:color="auto"/>
        <w:right w:val="none" w:sz="0" w:space="0" w:color="auto"/>
      </w:divBdr>
    </w:div>
    <w:div w:id="1991516738">
      <w:bodyDiv w:val="1"/>
      <w:marLeft w:val="0"/>
      <w:marRight w:val="0"/>
      <w:marTop w:val="0"/>
      <w:marBottom w:val="0"/>
      <w:divBdr>
        <w:top w:val="none" w:sz="0" w:space="0" w:color="auto"/>
        <w:left w:val="none" w:sz="0" w:space="0" w:color="auto"/>
        <w:bottom w:val="none" w:sz="0" w:space="0" w:color="auto"/>
        <w:right w:val="none" w:sz="0" w:space="0" w:color="auto"/>
      </w:divBdr>
    </w:div>
    <w:div w:id="1994675996">
      <w:bodyDiv w:val="1"/>
      <w:marLeft w:val="0"/>
      <w:marRight w:val="0"/>
      <w:marTop w:val="0"/>
      <w:marBottom w:val="0"/>
      <w:divBdr>
        <w:top w:val="none" w:sz="0" w:space="0" w:color="auto"/>
        <w:left w:val="none" w:sz="0" w:space="0" w:color="auto"/>
        <w:bottom w:val="none" w:sz="0" w:space="0" w:color="auto"/>
        <w:right w:val="none" w:sz="0" w:space="0" w:color="auto"/>
      </w:divBdr>
    </w:div>
    <w:div w:id="1994680656">
      <w:bodyDiv w:val="1"/>
      <w:marLeft w:val="0"/>
      <w:marRight w:val="0"/>
      <w:marTop w:val="0"/>
      <w:marBottom w:val="0"/>
      <w:divBdr>
        <w:top w:val="none" w:sz="0" w:space="0" w:color="auto"/>
        <w:left w:val="none" w:sz="0" w:space="0" w:color="auto"/>
        <w:bottom w:val="none" w:sz="0" w:space="0" w:color="auto"/>
        <w:right w:val="none" w:sz="0" w:space="0" w:color="auto"/>
      </w:divBdr>
    </w:div>
    <w:div w:id="2004772835">
      <w:bodyDiv w:val="1"/>
      <w:marLeft w:val="0"/>
      <w:marRight w:val="0"/>
      <w:marTop w:val="0"/>
      <w:marBottom w:val="0"/>
      <w:divBdr>
        <w:top w:val="none" w:sz="0" w:space="0" w:color="auto"/>
        <w:left w:val="none" w:sz="0" w:space="0" w:color="auto"/>
        <w:bottom w:val="none" w:sz="0" w:space="0" w:color="auto"/>
        <w:right w:val="none" w:sz="0" w:space="0" w:color="auto"/>
      </w:divBdr>
    </w:div>
    <w:div w:id="2016154514">
      <w:bodyDiv w:val="1"/>
      <w:marLeft w:val="0"/>
      <w:marRight w:val="0"/>
      <w:marTop w:val="0"/>
      <w:marBottom w:val="0"/>
      <w:divBdr>
        <w:top w:val="none" w:sz="0" w:space="0" w:color="auto"/>
        <w:left w:val="none" w:sz="0" w:space="0" w:color="auto"/>
        <w:bottom w:val="none" w:sz="0" w:space="0" w:color="auto"/>
        <w:right w:val="none" w:sz="0" w:space="0" w:color="auto"/>
      </w:divBdr>
    </w:div>
    <w:div w:id="2017613790">
      <w:bodyDiv w:val="1"/>
      <w:marLeft w:val="0"/>
      <w:marRight w:val="0"/>
      <w:marTop w:val="0"/>
      <w:marBottom w:val="0"/>
      <w:divBdr>
        <w:top w:val="none" w:sz="0" w:space="0" w:color="auto"/>
        <w:left w:val="none" w:sz="0" w:space="0" w:color="auto"/>
        <w:bottom w:val="none" w:sz="0" w:space="0" w:color="auto"/>
        <w:right w:val="none" w:sz="0" w:space="0" w:color="auto"/>
      </w:divBdr>
    </w:div>
    <w:div w:id="2044088806">
      <w:bodyDiv w:val="1"/>
      <w:marLeft w:val="0"/>
      <w:marRight w:val="0"/>
      <w:marTop w:val="0"/>
      <w:marBottom w:val="0"/>
      <w:divBdr>
        <w:top w:val="none" w:sz="0" w:space="0" w:color="auto"/>
        <w:left w:val="none" w:sz="0" w:space="0" w:color="auto"/>
        <w:bottom w:val="none" w:sz="0" w:space="0" w:color="auto"/>
        <w:right w:val="none" w:sz="0" w:space="0" w:color="auto"/>
      </w:divBdr>
    </w:div>
    <w:div w:id="2074890379">
      <w:bodyDiv w:val="1"/>
      <w:marLeft w:val="0"/>
      <w:marRight w:val="0"/>
      <w:marTop w:val="0"/>
      <w:marBottom w:val="0"/>
      <w:divBdr>
        <w:top w:val="none" w:sz="0" w:space="0" w:color="auto"/>
        <w:left w:val="none" w:sz="0" w:space="0" w:color="auto"/>
        <w:bottom w:val="none" w:sz="0" w:space="0" w:color="auto"/>
        <w:right w:val="none" w:sz="0" w:space="0" w:color="auto"/>
      </w:divBdr>
    </w:div>
    <w:div w:id="2090807214">
      <w:bodyDiv w:val="1"/>
      <w:marLeft w:val="0"/>
      <w:marRight w:val="0"/>
      <w:marTop w:val="0"/>
      <w:marBottom w:val="0"/>
      <w:divBdr>
        <w:top w:val="none" w:sz="0" w:space="0" w:color="auto"/>
        <w:left w:val="none" w:sz="0" w:space="0" w:color="auto"/>
        <w:bottom w:val="none" w:sz="0" w:space="0" w:color="auto"/>
        <w:right w:val="none" w:sz="0" w:space="0" w:color="auto"/>
      </w:divBdr>
    </w:div>
    <w:div w:id="2092390135">
      <w:bodyDiv w:val="1"/>
      <w:marLeft w:val="0"/>
      <w:marRight w:val="0"/>
      <w:marTop w:val="0"/>
      <w:marBottom w:val="0"/>
      <w:divBdr>
        <w:top w:val="none" w:sz="0" w:space="0" w:color="auto"/>
        <w:left w:val="none" w:sz="0" w:space="0" w:color="auto"/>
        <w:bottom w:val="none" w:sz="0" w:space="0" w:color="auto"/>
        <w:right w:val="none" w:sz="0" w:space="0" w:color="auto"/>
      </w:divBdr>
    </w:div>
    <w:div w:id="2120442521">
      <w:bodyDiv w:val="1"/>
      <w:marLeft w:val="0"/>
      <w:marRight w:val="0"/>
      <w:marTop w:val="0"/>
      <w:marBottom w:val="0"/>
      <w:divBdr>
        <w:top w:val="none" w:sz="0" w:space="0" w:color="auto"/>
        <w:left w:val="none" w:sz="0" w:space="0" w:color="auto"/>
        <w:bottom w:val="none" w:sz="0" w:space="0" w:color="auto"/>
        <w:right w:val="none" w:sz="0" w:space="0" w:color="auto"/>
      </w:divBdr>
    </w:div>
    <w:div w:id="2125928751">
      <w:bodyDiv w:val="1"/>
      <w:marLeft w:val="0"/>
      <w:marRight w:val="0"/>
      <w:marTop w:val="0"/>
      <w:marBottom w:val="0"/>
      <w:divBdr>
        <w:top w:val="none" w:sz="0" w:space="0" w:color="auto"/>
        <w:left w:val="none" w:sz="0" w:space="0" w:color="auto"/>
        <w:bottom w:val="none" w:sz="0" w:space="0" w:color="auto"/>
        <w:right w:val="none" w:sz="0" w:space="0" w:color="auto"/>
      </w:divBdr>
    </w:div>
    <w:div w:id="21445013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emf"/><Relationship Id="rId21" Type="http://schemas.openxmlformats.org/officeDocument/2006/relationships/image" Target="media/image100.wmf"/><Relationship Id="rId42" Type="http://schemas.openxmlformats.org/officeDocument/2006/relationships/image" Target="media/image29.emf"/><Relationship Id="rId47" Type="http://schemas.openxmlformats.org/officeDocument/2006/relationships/image" Target="media/image34.emf"/><Relationship Id="rId63" Type="http://schemas.openxmlformats.org/officeDocument/2006/relationships/image" Target="media/image480.wmf"/><Relationship Id="rId68" Type="http://schemas.openxmlformats.org/officeDocument/2006/relationships/image" Target="media/image52.wmf"/><Relationship Id="rId16" Type="http://schemas.openxmlformats.org/officeDocument/2006/relationships/image" Target="media/image7.emf"/><Relationship Id="rId11" Type="http://schemas.openxmlformats.org/officeDocument/2006/relationships/footer" Target="footer2.xml"/><Relationship Id="rId32" Type="http://schemas.openxmlformats.org/officeDocument/2006/relationships/image" Target="media/image19.emf"/><Relationship Id="rId37" Type="http://schemas.openxmlformats.org/officeDocument/2006/relationships/image" Target="media/image24.emf"/><Relationship Id="rId53" Type="http://schemas.openxmlformats.org/officeDocument/2006/relationships/image" Target="media/image40.emf"/><Relationship Id="rId58" Type="http://schemas.openxmlformats.org/officeDocument/2006/relationships/image" Target="media/image45.wmf"/><Relationship Id="rId74" Type="http://schemas.openxmlformats.org/officeDocument/2006/relationships/footer" Target="footer3.xml"/><Relationship Id="rId79" Type="http://schemas.openxmlformats.org/officeDocument/2006/relationships/image" Target="media/image58.emf"/><Relationship Id="rId5" Type="http://schemas.openxmlformats.org/officeDocument/2006/relationships/webSettings" Target="webSettings.xml"/><Relationship Id="rId61" Type="http://schemas.openxmlformats.org/officeDocument/2006/relationships/image" Target="media/image47.emf"/><Relationship Id="rId82" Type="http://schemas.openxmlformats.org/officeDocument/2006/relationships/theme" Target="theme/theme1.xml"/><Relationship Id="rId19" Type="http://schemas.openxmlformats.org/officeDocument/2006/relationships/image" Target="media/image90.wmf"/><Relationship Id="rId14" Type="http://schemas.openxmlformats.org/officeDocument/2006/relationships/image" Target="media/image5.emf"/><Relationship Id="rId22" Type="http://schemas.openxmlformats.org/officeDocument/2006/relationships/image" Target="media/image11.emf"/><Relationship Id="rId27" Type="http://schemas.openxmlformats.org/officeDocument/2006/relationships/image" Target="media/image15.emf"/><Relationship Id="rId30" Type="http://schemas.openxmlformats.org/officeDocument/2006/relationships/image" Target="media/image170.wmf"/><Relationship Id="rId35" Type="http://schemas.openxmlformats.org/officeDocument/2006/relationships/image" Target="media/image22.emf"/><Relationship Id="rId43" Type="http://schemas.openxmlformats.org/officeDocument/2006/relationships/image" Target="media/image30.emf"/><Relationship Id="rId48" Type="http://schemas.openxmlformats.org/officeDocument/2006/relationships/image" Target="media/image35.emf"/><Relationship Id="rId56" Type="http://schemas.openxmlformats.org/officeDocument/2006/relationships/image" Target="media/image43.emf"/><Relationship Id="rId64" Type="http://schemas.openxmlformats.org/officeDocument/2006/relationships/image" Target="media/image49.emf"/><Relationship Id="rId69" Type="http://schemas.openxmlformats.org/officeDocument/2006/relationships/image" Target="media/image520.wmf"/><Relationship Id="rId77" Type="http://schemas.openxmlformats.org/officeDocument/2006/relationships/image" Target="media/image57.emf"/><Relationship Id="rId8" Type="http://schemas.openxmlformats.org/officeDocument/2006/relationships/image" Target="media/image1.jpeg"/><Relationship Id="rId51" Type="http://schemas.openxmlformats.org/officeDocument/2006/relationships/image" Target="media/image38.emf"/><Relationship Id="rId72" Type="http://schemas.openxmlformats.org/officeDocument/2006/relationships/image" Target="media/image55.emf"/><Relationship Id="rId80" Type="http://schemas.openxmlformats.org/officeDocument/2006/relationships/image" Target="media/image59.emf"/><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image" Target="media/image8.emf"/><Relationship Id="rId25" Type="http://schemas.openxmlformats.org/officeDocument/2006/relationships/image" Target="media/image130.wmf"/><Relationship Id="rId33" Type="http://schemas.openxmlformats.org/officeDocument/2006/relationships/image" Target="media/image20.emf"/><Relationship Id="rId38" Type="http://schemas.openxmlformats.org/officeDocument/2006/relationships/image" Target="media/image25.emf"/><Relationship Id="rId46" Type="http://schemas.openxmlformats.org/officeDocument/2006/relationships/image" Target="media/image33.emf"/><Relationship Id="rId59" Type="http://schemas.openxmlformats.org/officeDocument/2006/relationships/image" Target="media/image450.wmf"/><Relationship Id="rId67" Type="http://schemas.openxmlformats.org/officeDocument/2006/relationships/image" Target="media/image51.emf"/><Relationship Id="rId20" Type="http://schemas.openxmlformats.org/officeDocument/2006/relationships/image" Target="media/image10.wmf"/><Relationship Id="rId41" Type="http://schemas.openxmlformats.org/officeDocument/2006/relationships/image" Target="media/image28.emf"/><Relationship Id="rId54" Type="http://schemas.openxmlformats.org/officeDocument/2006/relationships/image" Target="media/image41.emf"/><Relationship Id="rId62" Type="http://schemas.openxmlformats.org/officeDocument/2006/relationships/image" Target="media/image48.wmf"/><Relationship Id="rId70" Type="http://schemas.openxmlformats.org/officeDocument/2006/relationships/image" Target="media/image53.emf"/><Relationship Id="rId75"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emf"/><Relationship Id="rId23" Type="http://schemas.openxmlformats.org/officeDocument/2006/relationships/image" Target="media/image12.emf"/><Relationship Id="rId28" Type="http://schemas.openxmlformats.org/officeDocument/2006/relationships/image" Target="media/image16.emf"/><Relationship Id="rId36" Type="http://schemas.openxmlformats.org/officeDocument/2006/relationships/image" Target="media/image23.emf"/><Relationship Id="rId49" Type="http://schemas.openxmlformats.org/officeDocument/2006/relationships/image" Target="media/image36.emf"/><Relationship Id="rId57" Type="http://schemas.openxmlformats.org/officeDocument/2006/relationships/image" Target="media/image44.emf"/><Relationship Id="rId10" Type="http://schemas.openxmlformats.org/officeDocument/2006/relationships/header" Target="header1.xml"/><Relationship Id="rId31" Type="http://schemas.openxmlformats.org/officeDocument/2006/relationships/image" Target="media/image18.emf"/><Relationship Id="rId44" Type="http://schemas.openxmlformats.org/officeDocument/2006/relationships/image" Target="media/image31.emf"/><Relationship Id="rId52" Type="http://schemas.openxmlformats.org/officeDocument/2006/relationships/image" Target="media/image39.emf"/><Relationship Id="rId60" Type="http://schemas.openxmlformats.org/officeDocument/2006/relationships/image" Target="media/image46.emf"/><Relationship Id="rId65" Type="http://schemas.openxmlformats.org/officeDocument/2006/relationships/image" Target="media/image50.wmf"/><Relationship Id="rId73" Type="http://schemas.openxmlformats.org/officeDocument/2006/relationships/image" Target="media/image56.emf"/><Relationship Id="rId78" Type="http://schemas.openxmlformats.org/officeDocument/2006/relationships/header" Target="header3.xml"/><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4.emf"/><Relationship Id="rId18" Type="http://schemas.openxmlformats.org/officeDocument/2006/relationships/image" Target="media/image9.wmf"/><Relationship Id="rId39" Type="http://schemas.openxmlformats.org/officeDocument/2006/relationships/image" Target="media/image26.emf"/><Relationship Id="rId34" Type="http://schemas.openxmlformats.org/officeDocument/2006/relationships/image" Target="media/image21.emf"/><Relationship Id="rId50" Type="http://schemas.openxmlformats.org/officeDocument/2006/relationships/image" Target="media/image37.emf"/><Relationship Id="rId55" Type="http://schemas.openxmlformats.org/officeDocument/2006/relationships/image" Target="media/image42.emf"/><Relationship Id="rId76" Type="http://schemas.openxmlformats.org/officeDocument/2006/relationships/footer" Target="footer4.xml"/><Relationship Id="rId7" Type="http://schemas.openxmlformats.org/officeDocument/2006/relationships/endnotes" Target="endnotes.xml"/><Relationship Id="rId71" Type="http://schemas.openxmlformats.org/officeDocument/2006/relationships/image" Target="media/image54.emf"/><Relationship Id="rId2" Type="http://schemas.openxmlformats.org/officeDocument/2006/relationships/numbering" Target="numbering.xml"/><Relationship Id="rId29" Type="http://schemas.openxmlformats.org/officeDocument/2006/relationships/image" Target="media/image17.wmf"/><Relationship Id="rId24" Type="http://schemas.openxmlformats.org/officeDocument/2006/relationships/image" Target="media/image13.wmf"/><Relationship Id="rId40" Type="http://schemas.openxmlformats.org/officeDocument/2006/relationships/image" Target="media/image27.emf"/><Relationship Id="rId45" Type="http://schemas.openxmlformats.org/officeDocument/2006/relationships/image" Target="media/image32.emf"/><Relationship Id="rId66" Type="http://schemas.openxmlformats.org/officeDocument/2006/relationships/image" Target="media/image500.wm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auto">
        <a:solidFill>
          <a:srgbClr val="2E3192"/>
        </a:solidFill>
        <a:ln>
          <a:noFill/>
        </a:ln>
      </a:spPr>
      <a:bodyPr rot="0" vert="horz" wrap="square" lIns="91440" tIns="45720" rIns="91440" bIns="45720" anchor="ctr" anchorCtr="0" upright="1">
        <a:noAutofit/>
      </a:bodyPr>
      <a:lstStyle/>
    </a:spDef>
    <a:txDef>
      <a:spPr bwMode="auto">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a:spPr>
      <a:bodyPr rot="0" vert="horz" wrap="square" lIns="0" tIns="0" rIns="0" bIns="0" anchor="t" anchorCtr="0" upright="1">
        <a:no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CD6E44-A3B1-4F09-A30B-B8895220A5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39</Pages>
  <Words>9930</Words>
  <Characters>58591</Characters>
  <Application>Microsoft Office Word</Application>
  <DocSecurity>0</DocSecurity>
  <Lines>488</Lines>
  <Paragraphs>136</Paragraphs>
  <ScaleCrop>false</ScaleCrop>
  <HeadingPairs>
    <vt:vector size="2" baseType="variant">
      <vt:variant>
        <vt:lpstr>Název</vt:lpstr>
      </vt:variant>
      <vt:variant>
        <vt:i4>1</vt:i4>
      </vt:variant>
    </vt:vector>
  </HeadingPairs>
  <TitlesOfParts>
    <vt:vector size="1" baseType="lpstr">
      <vt:lpstr/>
    </vt:vector>
  </TitlesOfParts>
  <Company>AQE advisors, a.s.</Company>
  <LinksUpToDate>false</LinksUpToDate>
  <CharactersWithSpaces>68385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Jan Brychta</dc:creator>
  <cp:lastModifiedBy>Matějková Romana</cp:lastModifiedBy>
  <cp:revision>2</cp:revision>
  <cp:lastPrinted>2021-03-04T11:24:00Z</cp:lastPrinted>
  <dcterms:created xsi:type="dcterms:W3CDTF">2022-11-15T13:31:00Z</dcterms:created>
  <dcterms:modified xsi:type="dcterms:W3CDTF">2022-11-15T13:31:00Z</dcterms:modified>
</cp:coreProperties>
</file>